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沂源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县公安局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法治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44444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县公安局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统筹推进安保维稳、服务发展、打击犯罪等各项工作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转理念、抓质效、严规范为统领，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责任落实、监督服务、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上突破提升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执法质效和执法公信力全面攀升，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推动县局工作高质量发展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。现将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2025年度法治政府建设情况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如下：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一、党政主要负责人履行推进法治建设第一责任人职责情况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（一）深入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推进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习近平法治思想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学习宣传贯彻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严格落实第一议题制度，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将习近平法治思想、习近平总书记关于法治建设的重要指示精神作为党委理论中心组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学习内容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组织收看公安部法治讲堂、省厅法治巡讲、市局执法培训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，组织召开执法监督管理委员会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12期；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先后组织学习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《国家赔偿法修正草案》《治安管理处罚法》《关于办理拒不执行判决、裁定刑事案件若干问题的意见》《公安机关跨省涉企犯罪案件管辖规定》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，提高领导干部法律能力和水平。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加强党对全面依法治县的领导情况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将法治建设紧紧抓在手上，今年以来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12次执法监督管理委员会会议，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研究部署法治工作，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连续出台多项执法机制，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全力提升执法质效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《沂源县公安局整治执法突出问题暨执法质效提升年行动实施方案》，全面提升执法质量和执法公信力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。制定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规范涉企执法问题指引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《人员身份及前科材料调取工作指引》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8项办案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指引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，规范执法行为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精选2024年全局优秀案例，编制形成《精品案例》，进一步提升了一线执法精细化、标准化水平。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深入推进法治社会建设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按照“谁执法谁普法”要求，制定了普法计划和普法清单，集中开展了“110”宣传日、“12.4”宪法宣传日、宪法宣传月、打击经济犯罪集中宣传、禁毒宣传日等宣传活动，建禁毒基地1个，通过警民恳谈、法律赶大集和法制宣传教育进课堂等形式，深入社区、机关、学校、乡村和企业、单位开展经常性的宣传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利用普法网站、微信公众号、抖音客户端进行经常性的法律宣传和以案释法活动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以群众喜闻乐见的方式讲述普法故事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。今年以来，制作宣传微视频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400余个。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推进法治政府建设的主要举措和成效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建立类案指引，完善执法制度。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制定《人员身份及前科材料调取工作指引》，对案件办理中人员身份及违法犯罪记录证明材料进行规范。为严格规范涉企执法行为，将涉企及异地执法相关法律法规汇编成册，供办案民警在办理案件中借鉴使用。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为增强规范涉企执法专项行动的精准性、实效性，细化对涉企执法专项行动相关工作的标准要求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，研究制定《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规范涉企执法问题指引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》。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为贯彻落实公安部《公安机关接报案与立案工作规定》，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下发《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instrText xml:space="preserve"> HYPERLINK "http://56.55.129.10/admin/wz_100.asp?id=59167&amp;lx=1&amp;dl=42"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关于进一步明确接报案首接责任制有关事项的通知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》，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优化内部工作流程，强化部门协作，提高执法效能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为进一步规范异地公安机关到县局办案协作工作，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制定《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关于异地公安到县局办案协作指引的通知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》，优化办案协作机制。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畅通公检沟通，完善提前介入机制。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为进一步深化以审判为中心的办案理念，提升刑事案件办理质效，法制大队与县检察院联合制定了《刑事案件提前介入暂行方案》，每月召开检警联席会，启动提前介入程序，覆盖电信诈骗、性侵害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、合同诈骗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等重点案件类型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在立案、采取强制措施、提请逮捕、移送起诉前及时与检察部门沟通交流，围绕重点案件的定性、证据标准及起诉条件等关键问题开展专题研讨。通过联席会议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，有效统一了执法司法尺度，强化了诉前协作效能，进一步提升了侦查办案的针对性和公诉准备的精准度，为依法、高效办结案件奠定了坚实基础。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成监督管理，解决执法问题。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每月定期召开执法监督管理委员会全体会议，听取全局执法状况分析报告，分析执法存在问题，研究疑难复杂案件。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2025年研究22起疑难复杂案件，推动案件进展。执法监督深入一线，将执法音视频资料与执法音视频管理系统相关联，所有警情处置均可通过系统监督，强化执法监督保障落实，提高执法水平和办案质量。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压实法制员“执法质量第一道防线”责任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法制员审核履职每月通报制度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以《法制员审核登记表》为核心抓手，建立“月度汇总、定期通报、问题追踪、考核挂钩”的闭环管理机制。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推进法治政府建设存在的不足和原因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虽然县局在法治建设工作取得了一定成绩，但与上级部署要求仍然存在一定差距，主要问题表现在：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一是培训推进节奏失衡，动态跟踪不足。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2025年制定了对单位负责人、法制民警、办案民警分层级培训计划，受工作任务等因素影响，培训未完全按计划启动。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楷体_GB2312" w:cs="Times New Roman"/>
          <w:b w:val="0"/>
          <w:bCs w:val="0"/>
          <w:kern w:val="44"/>
          <w:sz w:val="32"/>
          <w:szCs w:val="32"/>
          <w:lang w:val="en-US" w:eastAsia="zh-CN" w:bidi="ar-SA"/>
        </w:rPr>
        <w:t>制度执行依赖人工，缺乏监督反馈。</w:t>
      </w:r>
      <w:r>
        <w:rPr>
          <w:rFonts w:hint="default" w:ascii="Times New Roman" w:hAnsi="Times New Roman" w:eastAsia="仿宋_GB2312" w:cs="Times New Roman"/>
          <w:b w:val="0"/>
          <w:bCs w:val="0"/>
          <w:kern w:val="44"/>
          <w:sz w:val="32"/>
          <w:szCs w:val="32"/>
          <w:lang w:val="en-US" w:eastAsia="zh-CN" w:bidi="ar-SA"/>
        </w:rPr>
        <w:t>多数制度的执行、跟踪仍以“人工统计”为主，未配套数字化工具或简化流程。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三是普法宣传成效不够明显。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法治教育宣传的形式、措施、方法较为单一，宣传工作的深度和氛围还不够，普法工作与具体工作结合还不够紧密。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Cs w:val="32"/>
          <w:lang w:val="en-US" w:eastAsia="zh-CN"/>
        </w:rPr>
        <w:t>2026年推进法治政府建设的主要计划安排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 w:bidi="ar-SA"/>
        </w:rPr>
        <w:t>（一）强化执法培训，补短板树典型，全面提升执法能力。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《治安管理处罚法》实施，及时组织开展培训，严格执法程序审核，促进执法习惯养成。邀请局领导、检法部门领导到县局讲课，从法律素养、执法习惯、证据搜集、诉讼应对等方面进行专题培训。组织优秀法制员赴外参观学习，参加庭审、听证等活动，及时总结复盘，全面提升。加强办案区管理使用，学习外地先进经验，促进办案中心提档升级，从执法意识、安全管理、习惯作风养成方面形成体系和规范。全方位加强法制审核工作，深入到接处警、受立案、取证、询问、扣押、案卷等各环节，纠正民警意识、习惯，练好基本功，养成依法、严格、安全、规范的执法能力和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（二）向智能预警转型，打破“单向管理”局限。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当前风险预判滞后、隐患排查依赖人工的问题，谋划搭建“数据+模型”的智能预警体系。大力推动智慧法制建设，让机器完成大部分枯燥的筛查预警，让人专注于需要法律智慧和经验判断的复杂问题。将监督过程向指导、培训、服务一线倾斜，提供法律咨询，变“事后纠缠”为“事前预防、事中指导”。与督察、信访等法治合成化监督大模型运用起来，避免法制部门独自承担、其他部门仅挂名流于形式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强力推进说理式执法，化解矛盾纠纷。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契合县局矛盾纠纷排查化解要求，加大对受立案、处罚前告知、复议诉讼后工作跟进情况的监督敦促。审查群众投诉、复议诉讼相关案件能体现民警说理情况的接报案录音录像、接处警登记、告知录像等，对说理情况进行评估，通过民警办案效果予以评价。要求办案单位对复议申请人进行跟踪说理释法，帮助解决问题，争取群众理解。对行政复议后仍然不服提起诉讼的、或刑事复议后仍然不服申请刑事复核的，通过执法巡查予以通报，并将相关工作情况形成书面材料报分管领导审阅。通过法、理、情的解释说明工作，将民警执法办案的辛苦付出转化为实实在在的社会效果，同时减少行政复议诉讼、刑事复议复核、案件办理类信访投诉，提升公安执法公信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特此报告。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2026年1月15日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773C3"/>
    <w:rsid w:val="04077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6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2026-01-20T06:04:00Z</dcterms:created>
  <dc:creator>Administrator</dc:creator>
  <cp:lastModifiedBy>Administrator</cp:lastModifiedBy>
  <dcterms:modified xsi:type="dcterms:W3CDTF">2026-01-20T06:05:49Z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