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bookmarkStart w:id="0" w:name="_GoBack"/>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D3D3D"/>
          <w:spacing w:val="0"/>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caps w:val="0"/>
          <w:color w:val="3D3D3D"/>
          <w:spacing w:val="0"/>
          <w:sz w:val="22"/>
          <w:szCs w:val="22"/>
        </w:rPr>
      </w:pPr>
      <w:r>
        <w:rPr>
          <w:rStyle w:val="5"/>
          <w:rFonts w:ascii="仿宋" w:hAnsi="仿宋" w:eastAsia="仿宋" w:cs="仿宋"/>
          <w:b/>
          <w:i w:val="0"/>
          <w:caps w:val="0"/>
          <w:color w:val="3D3D3D"/>
          <w:spacing w:val="0"/>
          <w:sz w:val="31"/>
          <w:szCs w:val="31"/>
          <w:shd w:val="clear" w:fill="FFFFFF"/>
        </w:rPr>
        <w:t>源政办字〔2020〕70号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微软雅黑" w:hAnsi="微软雅黑" w:eastAsia="微软雅黑" w:cs="微软雅黑"/>
          <w:b/>
          <w:i w:val="0"/>
          <w:caps w:val="0"/>
          <w:color w:val="3D3D3D"/>
          <w:spacing w:val="0"/>
          <w:sz w:val="22"/>
          <w:szCs w:val="22"/>
          <w:shd w:val="clear" w:fill="FFFFFF"/>
        </w:rPr>
        <w:drawing>
          <wp:inline distT="0" distB="0" distL="114300" distR="114300">
            <wp:extent cx="5600700" cy="190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600700" cy="19050"/>
                    </a:xfrm>
                    <a:prstGeom prst="rect">
                      <a:avLst/>
                    </a:prstGeom>
                    <a:noFill/>
                    <a:ln w="9525">
                      <a:noFill/>
                    </a:ln>
                  </pic:spPr>
                </pic:pic>
              </a:graphicData>
            </a:graphic>
          </wp:inline>
        </w:drawing>
      </w:r>
      <w:r>
        <w:rPr>
          <w:rStyle w:val="5"/>
          <w:rFonts w:hint="eastAsia" w:ascii="仿宋" w:hAnsi="仿宋" w:eastAsia="仿宋" w:cs="仿宋"/>
          <w:b/>
          <w:i w:val="0"/>
          <w:caps w:val="0"/>
          <w:color w:val="3D3D3D"/>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D3D3D"/>
          <w:spacing w:val="0"/>
          <w:sz w:val="22"/>
          <w:szCs w:val="22"/>
        </w:rPr>
      </w:pPr>
      <w:r>
        <w:rPr>
          <w:rFonts w:ascii="黑体" w:hAnsi="宋体" w:eastAsia="黑体" w:cs="黑体"/>
          <w:i w:val="0"/>
          <w:caps w:val="0"/>
          <w:color w:val="3D3D3D"/>
          <w:spacing w:val="0"/>
          <w:sz w:val="43"/>
          <w:szCs w:val="43"/>
          <w:shd w:val="clear" w:fill="FFFFFF"/>
        </w:rPr>
        <w:t>沂源县人民政府办公室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D3D3D"/>
          <w:spacing w:val="0"/>
          <w:sz w:val="22"/>
          <w:szCs w:val="22"/>
        </w:rPr>
      </w:pPr>
      <w:r>
        <w:rPr>
          <w:rFonts w:hint="eastAsia" w:ascii="黑体" w:hAnsi="宋体" w:eastAsia="黑体" w:cs="黑体"/>
          <w:i w:val="0"/>
          <w:caps w:val="0"/>
          <w:color w:val="3D3D3D"/>
          <w:spacing w:val="0"/>
          <w:sz w:val="43"/>
          <w:szCs w:val="43"/>
          <w:shd w:val="clear" w:fill="FFFFFF"/>
        </w:rPr>
        <w:t>关于印发沂源县2020年冬季清洁取暖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D3D3D"/>
          <w:spacing w:val="0"/>
          <w:sz w:val="22"/>
          <w:szCs w:val="22"/>
        </w:rPr>
      </w:pPr>
      <w:r>
        <w:rPr>
          <w:rFonts w:hint="eastAsia" w:ascii="黑体" w:hAnsi="宋体" w:eastAsia="黑体" w:cs="黑体"/>
          <w:i w:val="0"/>
          <w:caps w:val="0"/>
          <w:color w:val="3D3D3D"/>
          <w:spacing w:val="0"/>
          <w:sz w:val="43"/>
          <w:szCs w:val="43"/>
          <w:shd w:val="clear" w:fill="FFFFFF"/>
        </w:rPr>
        <w:t>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shd w:val="clear" w:fill="FFFFFF"/>
        </w:rPr>
        <w:t>各镇人民政府，各街道办事处，开发区管委会，县政府有关部门，有关企事业单位：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shd w:val="clear" w:fill="FFFFFF"/>
        </w:rPr>
        <w:t>   《沂源县2020年冬季清洁取暖实施方案》已经县政府同意，现印发给你们，请认真组织实施。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shd w:val="clear" w:fill="FFFFFF"/>
        </w:rPr>
        <w:t>                                           沂源县人民政府办公室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shd w:val="clear" w:fill="FFFFFF"/>
        </w:rPr>
        <w:t>                                                2020年9月9日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shd w:val="clear" w:fill="FFFFFF"/>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5"/>
          <w:rFonts w:hint="eastAsia" w:ascii="黑体" w:hAnsi="宋体" w:eastAsia="黑体" w:cs="黑体"/>
          <w:b/>
          <w:i w:val="0"/>
          <w:caps w:val="0"/>
          <w:color w:val="3D3D3D"/>
          <w:spacing w:val="0"/>
          <w:sz w:val="43"/>
          <w:szCs w:val="43"/>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5"/>
          <w:rFonts w:hint="eastAsia" w:ascii="黑体" w:hAnsi="宋体" w:eastAsia="黑体" w:cs="黑体"/>
          <w:b/>
          <w:i w:val="0"/>
          <w:caps w:val="0"/>
          <w:color w:val="3D3D3D"/>
          <w:spacing w:val="0"/>
          <w:sz w:val="43"/>
          <w:szCs w:val="43"/>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5"/>
          <w:rFonts w:hint="eastAsia" w:ascii="黑体" w:hAnsi="宋体" w:eastAsia="黑体" w:cs="黑体"/>
          <w:b/>
          <w:i w:val="0"/>
          <w:caps w:val="0"/>
          <w:color w:val="3D3D3D"/>
          <w:spacing w:val="0"/>
          <w:sz w:val="43"/>
          <w:szCs w:val="43"/>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D3D3D"/>
          <w:spacing w:val="0"/>
          <w:sz w:val="22"/>
          <w:szCs w:val="22"/>
        </w:rPr>
      </w:pPr>
      <w:r>
        <w:rPr>
          <w:rStyle w:val="5"/>
          <w:rFonts w:hint="eastAsia" w:ascii="黑体" w:hAnsi="宋体" w:eastAsia="黑体" w:cs="黑体"/>
          <w:b/>
          <w:i w:val="0"/>
          <w:caps w:val="0"/>
          <w:color w:val="3D3D3D"/>
          <w:spacing w:val="0"/>
          <w:sz w:val="43"/>
          <w:szCs w:val="43"/>
          <w:shd w:val="clear" w:fill="FFFFFF"/>
        </w:rPr>
        <w:t>沂源县2020年冬季清洁取暖实施方案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shd w:val="clear" w:fill="FFFFFF"/>
        </w:rPr>
        <w:t>    为扎实推进2020年冬季清洁取暖工作，根据《淄博市人民政府办公室关于印发淄博市2020年冬季清洁取暖实施方案的通知》（淄政办字〔2020〕65号）要求，制定本方案。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黑体" w:hAnsi="宋体" w:eastAsia="黑体" w:cs="黑体"/>
          <w:b/>
          <w:i w:val="0"/>
          <w:caps w:val="0"/>
          <w:color w:val="3D3D3D"/>
          <w:spacing w:val="0"/>
          <w:sz w:val="31"/>
          <w:szCs w:val="31"/>
          <w:shd w:val="clear" w:fill="FFFFFF"/>
        </w:rPr>
        <w:t>     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shd w:val="clear" w:fill="FFFFFF"/>
        </w:rPr>
        <w:t>    深入贯彻中央关于清洁取暖决策部署和省市工作要求，立足我县实际，因地制宜，精准施策，持续推进集中供暖、气代煤、电代煤、建筑能效提升等多元化改造，全面完成清洁取暖任务目标。建立完善长效机制，做好后续服务保障工作，确保群众长期受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黑体" w:hAnsi="宋体" w:eastAsia="黑体" w:cs="黑体"/>
          <w:b/>
          <w:i w:val="0"/>
          <w:caps w:val="0"/>
          <w:color w:val="3D3D3D"/>
          <w:spacing w:val="0"/>
          <w:sz w:val="31"/>
          <w:szCs w:val="31"/>
          <w:shd w:val="clear" w:fill="FFFFFF"/>
        </w:rPr>
        <w:t>     二、任务目标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shd w:val="clear" w:fill="FFFFFF"/>
        </w:rPr>
        <w:t>    按照上级要求，2020年全县完成11400户清洁取暖改造任务。2020年年底前完成农房能效提升1200户、城区建筑能效提升50000平方米，有效降低用户取暖能耗，提升取暖效果。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黑体" w:hAnsi="宋体" w:eastAsia="黑体" w:cs="黑体"/>
          <w:b/>
          <w:i w:val="0"/>
          <w:caps w:val="0"/>
          <w:color w:val="3D3D3D"/>
          <w:spacing w:val="0"/>
          <w:sz w:val="31"/>
          <w:szCs w:val="31"/>
          <w:shd w:val="clear" w:fill="FFFFFF"/>
        </w:rPr>
        <w:t>     三、补贴政策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shd w:val="clear" w:fill="FFFFFF"/>
        </w:rPr>
        <w:t>    对列入2020年冬季清洁取暖改造任务的用户和项目，继续按照全县2017年、2018年、2019年清洁取暖实施方案明确的补贴政策执行。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黑体" w:hAnsi="宋体" w:eastAsia="黑体" w:cs="黑体"/>
          <w:b/>
          <w:i w:val="0"/>
          <w:caps w:val="0"/>
          <w:color w:val="3D3D3D"/>
          <w:spacing w:val="0"/>
          <w:sz w:val="31"/>
          <w:szCs w:val="31"/>
          <w:shd w:val="clear" w:fill="FFFFFF"/>
        </w:rPr>
        <w:t>     四、实施步骤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shd w:val="clear" w:fill="FFFFFF"/>
        </w:rPr>
        <w:t>    （一）制定工作方案。各镇（街道）要立足自身实际，将建设任务细化落实到户，根据确定的建设方式和技术路线，明确推进时间节点，细化工作方案。工作方案要报县清洁取暖建设推进工作领导小组办公室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shd w:val="clear" w:fill="FFFFFF"/>
        </w:rPr>
        <w:t>    （二）项目组织实施。各镇（街道）要根据实施方案确定的任务目标，制定完善的建设推进计划，做好施工安排，组织协调供电、燃气、供热企业统筹推进工程建设，确保按照时间节点完成改造任务。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shd w:val="clear" w:fill="FFFFFF"/>
        </w:rPr>
        <w:t>    （三）采暖设备选购。各镇（街道）要组织村居从市级招标入围的采暖设备目录中选购采暖设备，做好采暖设备的选购和服务保障工作。对出现的新技术、新设备等，按照要求进行招标。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shd w:val="clear" w:fill="FFFFFF"/>
        </w:rPr>
        <w:t>    （四）项目验收。清洁取暖工程完工后，按照相关工程建设标准和验收规范要求，由各镇（街道）及时组织竣工验收。县清洁取暖建设推进工作领导小组办公室委托第三方机构或者聘请燃气、供热专家进行抽检。各镇（街道）要切实规范台账录入和管理，组织有关村居做好用户信息统计工作，逐级审核，提高台账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shd w:val="clear" w:fill="FFFFFF"/>
        </w:rPr>
        <w:t>    （五）时间安排。10月底前完成工程建设任务并做好采暖设备的调试工作，达到交付使用条件。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黑体" w:hAnsi="宋体" w:eastAsia="黑体" w:cs="黑体"/>
          <w:b/>
          <w:i w:val="0"/>
          <w:caps w:val="0"/>
          <w:color w:val="3D3D3D"/>
          <w:spacing w:val="0"/>
          <w:sz w:val="31"/>
          <w:szCs w:val="31"/>
          <w:shd w:val="clear" w:fill="FFFFFF"/>
        </w:rPr>
        <w:t>     五、保障措施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shd w:val="clear" w:fill="FFFFFF"/>
        </w:rPr>
        <w:t>    （一）压实主体责任，完善长效机制。各镇政府、街道办事处作为冬季清洁取暖工作的责任主体，必须提高政治站位，进一步加大工作力度，严格落实监管责任，保障改造任务按照时间节点完成，同时做好后续服务工作，确保项目可持续。要切实加强对项目推进、施工组织、质量安全等工作的全过程监管，强化工程施工组织和质量安全监督。要进一步完善基础设施建设、项目运营管理、资金保障、应急保障、工作推进等长效机制，确保清洁取暖工程持续、规范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shd w:val="clear" w:fill="FFFFFF"/>
        </w:rPr>
        <w:t>    （二）加强资金管理，确保安全高效使用。加强对财政资金使用的监督管理，严格落实财政纪律和补贴政策，加快预算执行，提高资金拨付效率，及时将工程建设、设备购置、运行费用等各项补贴资金拨付到位，保障清洁取暖补贴资金专款专用，严禁截留、挤占、挪用和虚假冒领补贴资金。组织对 2017年以来我县清洁取暖财政资金使用情况进行跟踪审计，发现问题立即督促整改，确保资金安全高效使用。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shd w:val="clear" w:fill="FFFFFF"/>
        </w:rPr>
        <w:t>    （三）强化安全管理，提高服务质量。各镇（街道）要压实安全管理责任，严守安全生产底线，完善各项安全管理措施，切实把冬季清洁取暖安全工作抓紧抓实。一是发挥村居安全员日常巡查作用，协助解决村居取暖安全问题。持续做好镇（街道）、村居安全培训工作，切实提高群众取暖安全意识。二是建立应急救援保障体系。组织供热、供气、供电等企业与消防部门建立联勤联动机制，制定完善应急预案，定期开展应急救援演练，提高应急处置能力。三是严格责任追究。对安全监管工作不力、安全隐患整改不到位的，采取通报、约谈等方式督促整改。四是加强宣传服务。充分利用网络、广播、电视、报刊和宣传标语等形式，广泛宣传清洁取暖政策和安全用暖常识。组织有关企业在实施清洁取暖的区域增设服务机构或网点，配备专业服务人员，提高服务质量，满足群众服务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shd w:val="clear" w:fill="FFFFFF"/>
        </w:rPr>
        <w:t>    （四）加强监督考核，确保工作实效。要严格督导检查。县清洁取暖建设推进工作领导小组要发挥牵头抓总作用，定期调度全县清洁取暖工作进展情况，组织对各镇（街道）工作开展情况进行督导检查。对推进不力、进展缓慢的镇（街道）进行重点督办并督促限期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shd w:val="clear" w:fill="FFFFFF"/>
        </w:rPr>
        <w:t>     附件：1.沂源县2020年清洁取暖建设任务表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shd w:val="clear" w:fill="FFFFFF"/>
        </w:rPr>
        <w:t>           2.沂源县2020年建筑能效提升任务表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Style w:val="5"/>
          <w:rFonts w:hint="eastAsia" w:ascii="仿宋" w:hAnsi="仿宋" w:eastAsia="仿宋" w:cs="仿宋"/>
          <w:b/>
          <w:i w:val="0"/>
          <w:caps w:val="0"/>
          <w:color w:val="3D3D3D"/>
          <w:spacing w:val="0"/>
          <w:sz w:val="31"/>
          <w:szCs w:val="31"/>
          <w:shd w:val="clear" w:fill="FFFFFF"/>
        </w:rPr>
        <w:t>             沂源县2020年清洁取暖建设任务表</w:t>
      </w:r>
    </w:p>
    <w:tbl>
      <w:tblPr>
        <w:tblStyle w:val="3"/>
        <w:tblW w:w="87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98"/>
        <w:gridCol w:w="1947"/>
        <w:gridCol w:w="2634"/>
        <w:gridCol w:w="2127"/>
        <w:gridCol w:w="11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eastAsia" w:ascii="黑体" w:hAnsi="宋体" w:eastAsia="黑体" w:cs="黑体"/>
                <w:i w:val="0"/>
                <w:caps w:val="0"/>
                <w:color w:val="3D3D3D"/>
                <w:spacing w:val="0"/>
                <w:sz w:val="25"/>
                <w:szCs w:val="25"/>
              </w:rPr>
              <w:t>序号</w:t>
            </w:r>
          </w:p>
        </w:tc>
        <w:tc>
          <w:tcPr>
            <w:tcW w:w="19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eastAsia" w:ascii="黑体" w:hAnsi="宋体" w:eastAsia="黑体" w:cs="黑体"/>
                <w:i w:val="0"/>
                <w:caps w:val="0"/>
                <w:color w:val="3D3D3D"/>
                <w:spacing w:val="0"/>
                <w:sz w:val="25"/>
                <w:szCs w:val="25"/>
              </w:rPr>
              <w:t>镇（街道）</w:t>
            </w: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eastAsia" w:ascii="黑体" w:hAnsi="宋体" w:eastAsia="黑体" w:cs="黑体"/>
                <w:i w:val="0"/>
                <w:caps w:val="0"/>
                <w:color w:val="3D3D3D"/>
                <w:spacing w:val="0"/>
                <w:sz w:val="25"/>
                <w:szCs w:val="25"/>
              </w:rPr>
              <w:t>村居</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eastAsia" w:ascii="黑体" w:hAnsi="宋体" w:eastAsia="黑体" w:cs="黑体"/>
                <w:i w:val="0"/>
                <w:caps w:val="0"/>
                <w:color w:val="3D3D3D"/>
                <w:spacing w:val="0"/>
                <w:sz w:val="25"/>
                <w:szCs w:val="25"/>
              </w:rPr>
              <w:t>建设任务（户）</w:t>
            </w:r>
          </w:p>
        </w:tc>
        <w:tc>
          <w:tcPr>
            <w:tcW w:w="11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eastAsia" w:ascii="黑体" w:hAnsi="宋体" w:eastAsia="黑体" w:cs="黑体"/>
                <w:i w:val="0"/>
                <w:caps w:val="0"/>
                <w:color w:val="3D3D3D"/>
                <w:spacing w:val="0"/>
                <w:sz w:val="25"/>
                <w:szCs w:val="25"/>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w:t>
            </w:r>
          </w:p>
        </w:tc>
        <w:tc>
          <w:tcPr>
            <w:tcW w:w="19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ascii="仿宋_GB2312" w:hAnsi="微软雅黑" w:eastAsia="仿宋_GB2312" w:cs="仿宋_GB2312"/>
                <w:i w:val="0"/>
                <w:caps w:val="0"/>
                <w:color w:val="3D3D3D"/>
                <w:spacing w:val="0"/>
                <w:sz w:val="25"/>
                <w:szCs w:val="25"/>
              </w:rPr>
              <w:t>南麻街道</w:t>
            </w: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高庄社区</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1114</w:t>
            </w:r>
          </w:p>
        </w:tc>
        <w:tc>
          <w:tcPr>
            <w:tcW w:w="11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2</w:t>
            </w:r>
          </w:p>
        </w:tc>
        <w:tc>
          <w:tcPr>
            <w:tcW w:w="19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南鲁山镇</w:t>
            </w: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茅台村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102</w:t>
            </w:r>
          </w:p>
        </w:tc>
        <w:tc>
          <w:tcPr>
            <w:tcW w:w="114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3</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胜家庄村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103</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4</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上文坦村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169</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5</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车场村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240</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6</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水么头河北村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170</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7</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芝芳村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500</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8</w:t>
            </w:r>
          </w:p>
        </w:tc>
        <w:tc>
          <w:tcPr>
            <w:tcW w:w="19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鲁村镇</w:t>
            </w: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埠前村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27</w:t>
            </w:r>
          </w:p>
        </w:tc>
        <w:tc>
          <w:tcPr>
            <w:tcW w:w="114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9</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楼子村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185</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10</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南泉村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169</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11</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泉峪村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89</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12</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西埠村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122</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13</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月庄村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290</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14</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张家庄村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34</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15</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西徐家庄村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157</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16</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刘家庄村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142</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17</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石家庄村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75</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18</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西寨村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161</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19</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涝坡村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127</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20</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北徐家庄村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210</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21</w:t>
            </w:r>
          </w:p>
        </w:tc>
        <w:tc>
          <w:tcPr>
            <w:tcW w:w="19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大张庄镇</w:t>
            </w: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水营村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237</w:t>
            </w:r>
          </w:p>
        </w:tc>
        <w:tc>
          <w:tcPr>
            <w:tcW w:w="114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22</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茧场村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171</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23</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龙旺村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69</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24</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娄家铺子村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111</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25</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明末峪村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193</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26</w:t>
            </w:r>
          </w:p>
        </w:tc>
        <w:tc>
          <w:tcPr>
            <w:tcW w:w="19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燕崖镇</w:t>
            </w: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冯家峪村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51</w:t>
            </w:r>
          </w:p>
        </w:tc>
        <w:tc>
          <w:tcPr>
            <w:tcW w:w="114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27</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红岭子村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87</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28</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大洪峪村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106</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29</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胡围村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111</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30</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北安乐村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199</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31</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朱家户村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204</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32</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燕崖村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258</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33</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马岭村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110</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34</w:t>
            </w:r>
          </w:p>
        </w:tc>
        <w:tc>
          <w:tcPr>
            <w:tcW w:w="19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中庄镇</w:t>
            </w: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张庄村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149</w:t>
            </w:r>
          </w:p>
        </w:tc>
        <w:tc>
          <w:tcPr>
            <w:tcW w:w="114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35</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道坐崮村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146</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36</w:t>
            </w:r>
          </w:p>
        </w:tc>
        <w:tc>
          <w:tcPr>
            <w:tcW w:w="19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西里镇</w:t>
            </w: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南月庄村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260</w:t>
            </w:r>
          </w:p>
        </w:tc>
        <w:tc>
          <w:tcPr>
            <w:tcW w:w="114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37</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柳枝峪村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438</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38</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大刘庄村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478</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39</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北王家庄村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211</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40</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五里沟村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371</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41</w:t>
            </w:r>
          </w:p>
        </w:tc>
        <w:tc>
          <w:tcPr>
            <w:tcW w:w="19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东里镇</w:t>
            </w: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东村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391</w:t>
            </w:r>
          </w:p>
        </w:tc>
        <w:tc>
          <w:tcPr>
            <w:tcW w:w="114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42</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西村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493</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43</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紫荆峪村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247</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44</w:t>
            </w:r>
          </w:p>
        </w:tc>
        <w:tc>
          <w:tcPr>
            <w:tcW w:w="19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张家坡镇</w:t>
            </w: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北店子村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255</w:t>
            </w:r>
          </w:p>
        </w:tc>
        <w:tc>
          <w:tcPr>
            <w:tcW w:w="114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45</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前瓜峪村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281</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46</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东王庄村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150</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47</w:t>
            </w:r>
          </w:p>
        </w:tc>
        <w:tc>
          <w:tcPr>
            <w:tcW w:w="19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石桥镇</w:t>
            </w: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后大泉村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300</w:t>
            </w:r>
          </w:p>
        </w:tc>
        <w:tc>
          <w:tcPr>
            <w:tcW w:w="114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48</w:t>
            </w:r>
          </w:p>
        </w:tc>
        <w:tc>
          <w:tcPr>
            <w:tcW w:w="19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郭家上峪村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300</w:t>
            </w:r>
          </w:p>
        </w:tc>
        <w:tc>
          <w:tcPr>
            <w:tcW w:w="11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49</w:t>
            </w:r>
          </w:p>
        </w:tc>
        <w:tc>
          <w:tcPr>
            <w:tcW w:w="19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悦庄镇</w:t>
            </w:r>
          </w:p>
        </w:tc>
        <w:tc>
          <w:tcPr>
            <w:tcW w:w="2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沂河头村</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315</w:t>
            </w:r>
          </w:p>
        </w:tc>
        <w:tc>
          <w:tcPr>
            <w:tcW w:w="11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50</w:t>
            </w:r>
          </w:p>
        </w:tc>
        <w:tc>
          <w:tcPr>
            <w:tcW w:w="4590" w:type="dxa"/>
            <w:gridSpan w:val="2"/>
            <w:tcBorders>
              <w:top w:val="single" w:color="auto" w:sz="6" w:space="0"/>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源能热电公司</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522</w:t>
            </w:r>
          </w:p>
        </w:tc>
        <w:tc>
          <w:tcPr>
            <w:tcW w:w="11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5490" w:type="dxa"/>
            <w:gridSpan w:val="3"/>
            <w:tcBorders>
              <w:top w:val="single" w:color="auto" w:sz="6" w:space="0"/>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5"/>
                <w:szCs w:val="25"/>
              </w:rPr>
              <w:t>合计</w:t>
            </w:r>
          </w:p>
        </w:tc>
        <w:tc>
          <w:tcPr>
            <w:tcW w:w="3255" w:type="dxa"/>
            <w:gridSpan w:val="2"/>
            <w:tcBorders>
              <w:top w:val="single" w:color="auto" w:sz="6" w:space="0"/>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3D3D3D"/>
                <w:spacing w:val="0"/>
                <w:sz w:val="25"/>
                <w:szCs w:val="25"/>
              </w:rPr>
              <w:t>11400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Fonts w:hint="eastAsia" w:ascii="黑体" w:hAnsi="宋体" w:eastAsia="黑体" w:cs="黑体"/>
          <w:i w:val="0"/>
          <w:caps w:val="0"/>
          <w:color w:val="3D3D3D"/>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Fonts w:hint="default" w:ascii="Calibri" w:hAnsi="Calibri" w:eastAsia="微软雅黑" w:cs="Calibri"/>
          <w:i w:val="0"/>
          <w:caps w:val="0"/>
          <w:color w:val="3D3D3D"/>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Fonts w:hint="eastAsia" w:ascii="黑体" w:hAnsi="宋体" w:eastAsia="黑体" w:cs="黑体"/>
          <w:i w:val="0"/>
          <w:caps w:val="0"/>
          <w:color w:val="3D3D3D"/>
          <w:spacing w:val="0"/>
          <w:sz w:val="31"/>
          <w:szCs w:val="31"/>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D3D3D"/>
          <w:spacing w:val="0"/>
          <w:sz w:val="22"/>
          <w:szCs w:val="22"/>
        </w:rPr>
      </w:pPr>
      <w:r>
        <w:rPr>
          <w:rFonts w:hint="eastAsia" w:ascii="黑体" w:hAnsi="宋体" w:eastAsia="黑体" w:cs="黑体"/>
          <w:i w:val="0"/>
          <w:caps w:val="0"/>
          <w:color w:val="3D3D3D"/>
          <w:spacing w:val="0"/>
          <w:sz w:val="31"/>
          <w:szCs w:val="31"/>
          <w:shd w:val="clear" w:fill="FFFFFF"/>
        </w:rPr>
        <w:t>             </w:t>
      </w:r>
      <w:r>
        <w:rPr>
          <w:rStyle w:val="5"/>
          <w:rFonts w:hint="eastAsia" w:ascii="黑体" w:hAnsi="宋体" w:eastAsia="黑体" w:cs="黑体"/>
          <w:b/>
          <w:i w:val="0"/>
          <w:caps w:val="0"/>
          <w:color w:val="3D3D3D"/>
          <w:spacing w:val="0"/>
          <w:sz w:val="31"/>
          <w:szCs w:val="31"/>
          <w:shd w:val="clear" w:fill="FFFFFF"/>
        </w:rPr>
        <w:t> </w:t>
      </w:r>
      <w:r>
        <w:rPr>
          <w:rStyle w:val="5"/>
          <w:rFonts w:hint="eastAsia" w:ascii="仿宋" w:hAnsi="仿宋" w:eastAsia="仿宋" w:cs="仿宋"/>
          <w:b/>
          <w:i w:val="0"/>
          <w:caps w:val="0"/>
          <w:color w:val="3D3D3D"/>
          <w:spacing w:val="0"/>
          <w:sz w:val="31"/>
          <w:szCs w:val="31"/>
          <w:shd w:val="clear" w:fill="FFFFFF"/>
        </w:rPr>
        <w:t>沂源县2020年建筑能效提升任务表</w:t>
      </w:r>
    </w:p>
    <w:tbl>
      <w:tblPr>
        <w:tblStyle w:val="3"/>
        <w:tblW w:w="87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395"/>
        <w:gridCol w:w="2455"/>
        <w:gridCol w:w="1708"/>
        <w:gridCol w:w="2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85" w:hRule="atLeast"/>
        </w:trPr>
        <w:tc>
          <w:tcPr>
            <w:tcW w:w="24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eastAsia" w:ascii="黑体" w:hAnsi="宋体" w:eastAsia="黑体" w:cs="黑体"/>
                <w:i w:val="0"/>
                <w:caps w:val="0"/>
                <w:color w:val="3D3D3D"/>
                <w:spacing w:val="0"/>
                <w:sz w:val="28"/>
                <w:szCs w:val="28"/>
              </w:rPr>
              <w:t>镇（街道）</w:t>
            </w:r>
          </w:p>
        </w:tc>
        <w:tc>
          <w:tcPr>
            <w:tcW w:w="24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eastAsia" w:ascii="黑体" w:hAnsi="宋体" w:eastAsia="黑体" w:cs="黑体"/>
                <w:i w:val="0"/>
                <w:caps w:val="0"/>
                <w:color w:val="3D3D3D"/>
                <w:spacing w:val="0"/>
                <w:sz w:val="28"/>
                <w:szCs w:val="28"/>
              </w:rPr>
              <w:t>村居</w:t>
            </w:r>
          </w:p>
        </w:tc>
        <w:tc>
          <w:tcPr>
            <w:tcW w:w="17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eastAsia" w:ascii="黑体" w:hAnsi="宋体" w:eastAsia="黑体" w:cs="黑体"/>
                <w:i w:val="0"/>
                <w:caps w:val="0"/>
                <w:color w:val="3D3D3D"/>
                <w:spacing w:val="0"/>
                <w:sz w:val="28"/>
                <w:szCs w:val="28"/>
              </w:rPr>
              <w:t>城区</w:t>
            </w:r>
            <w:r>
              <w:rPr>
                <w:rFonts w:hint="eastAsia" w:ascii="黑体" w:hAnsi="宋体" w:eastAsia="黑体" w:cs="黑体"/>
                <w:i w:val="0"/>
                <w:caps w:val="0"/>
                <w:color w:val="3D3D3D"/>
                <w:spacing w:val="0"/>
                <w:sz w:val="28"/>
                <w:szCs w:val="28"/>
              </w:rPr>
              <w:br w:type="textWrapping"/>
            </w:r>
            <w:r>
              <w:rPr>
                <w:rFonts w:hint="eastAsia" w:ascii="黑体" w:hAnsi="宋体" w:eastAsia="黑体" w:cs="黑体"/>
                <w:i w:val="0"/>
                <w:caps w:val="0"/>
                <w:color w:val="3D3D3D"/>
                <w:spacing w:val="0"/>
                <w:sz w:val="28"/>
                <w:szCs w:val="28"/>
              </w:rPr>
              <w:t>（平方米）</w:t>
            </w:r>
          </w:p>
        </w:tc>
        <w:tc>
          <w:tcPr>
            <w:tcW w:w="22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eastAsia" w:ascii="黑体" w:hAnsi="宋体" w:eastAsia="黑体" w:cs="黑体"/>
                <w:i w:val="0"/>
                <w:caps w:val="0"/>
                <w:color w:val="3D3D3D"/>
                <w:spacing w:val="0"/>
                <w:sz w:val="28"/>
                <w:szCs w:val="28"/>
              </w:rPr>
              <w:t>农房</w:t>
            </w:r>
            <w:r>
              <w:rPr>
                <w:rFonts w:hint="eastAsia" w:ascii="黑体" w:hAnsi="宋体" w:eastAsia="黑体" w:cs="黑体"/>
                <w:i w:val="0"/>
                <w:caps w:val="0"/>
                <w:color w:val="3D3D3D"/>
                <w:spacing w:val="0"/>
                <w:sz w:val="28"/>
                <w:szCs w:val="28"/>
              </w:rPr>
              <w:br w:type="textWrapping"/>
            </w:r>
            <w:r>
              <w:rPr>
                <w:rFonts w:hint="eastAsia" w:ascii="黑体" w:hAnsi="宋体" w:eastAsia="黑体" w:cs="黑体"/>
                <w:i w:val="0"/>
                <w:caps w:val="0"/>
                <w:color w:val="3D3D3D"/>
                <w:spacing w:val="0"/>
                <w:sz w:val="28"/>
                <w:szCs w:val="28"/>
              </w:rPr>
              <w:t>（户）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85" w:hRule="atLeast"/>
        </w:trPr>
        <w:tc>
          <w:tcPr>
            <w:tcW w:w="24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rPr>
              <w:t>南鲁山镇</w:t>
            </w:r>
          </w:p>
        </w:tc>
        <w:tc>
          <w:tcPr>
            <w:tcW w:w="24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rPr>
              <w:t>三岔店村</w:t>
            </w:r>
          </w:p>
        </w:tc>
        <w:tc>
          <w:tcPr>
            <w:tcW w:w="17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22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24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rPr>
              <w:t>鲁村镇</w:t>
            </w:r>
          </w:p>
        </w:tc>
        <w:tc>
          <w:tcPr>
            <w:tcW w:w="24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rPr>
              <w:t>龙子峪村</w:t>
            </w:r>
          </w:p>
        </w:tc>
        <w:tc>
          <w:tcPr>
            <w:tcW w:w="17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22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rPr>
              <w:t>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2400"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rPr>
              <w:t>大张庄镇</w:t>
            </w:r>
          </w:p>
        </w:tc>
        <w:tc>
          <w:tcPr>
            <w:tcW w:w="24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rPr>
              <w:t>土眉峪村</w:t>
            </w:r>
          </w:p>
        </w:tc>
        <w:tc>
          <w:tcPr>
            <w:tcW w:w="17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22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2400"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4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rPr>
              <w:t>洼子村</w:t>
            </w:r>
          </w:p>
        </w:tc>
        <w:tc>
          <w:tcPr>
            <w:tcW w:w="17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22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2400"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rPr>
              <w:t>中庄镇</w:t>
            </w:r>
          </w:p>
        </w:tc>
        <w:tc>
          <w:tcPr>
            <w:tcW w:w="24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rPr>
              <w:t>马莲峪村</w:t>
            </w:r>
          </w:p>
        </w:tc>
        <w:tc>
          <w:tcPr>
            <w:tcW w:w="17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22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2400"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4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rPr>
              <w:t>富家庄村</w:t>
            </w:r>
          </w:p>
        </w:tc>
        <w:tc>
          <w:tcPr>
            <w:tcW w:w="17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22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2400" w:type="dxa"/>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rPr>
              <w:t>石桥镇</w:t>
            </w:r>
          </w:p>
        </w:tc>
        <w:tc>
          <w:tcPr>
            <w:tcW w:w="24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rPr>
              <w:t>黄墩河村</w:t>
            </w:r>
          </w:p>
        </w:tc>
        <w:tc>
          <w:tcPr>
            <w:tcW w:w="17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22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rPr>
              <w:t>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2400" w:type="dxa"/>
            <w:vMerge w:val="continue"/>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4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rPr>
              <w:t>松峪村</w:t>
            </w:r>
          </w:p>
        </w:tc>
        <w:tc>
          <w:tcPr>
            <w:tcW w:w="17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22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4860" w:type="dxa"/>
            <w:gridSpan w:val="2"/>
            <w:tcBorders>
              <w:top w:val="single" w:color="auto" w:sz="6" w:space="0"/>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rPr>
              <w:t>鹏欢现代城小区</w:t>
            </w:r>
          </w:p>
        </w:tc>
        <w:tc>
          <w:tcPr>
            <w:tcW w:w="17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rPr>
              <w:t>35000</w:t>
            </w:r>
          </w:p>
        </w:tc>
        <w:tc>
          <w:tcPr>
            <w:tcW w:w="22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4860" w:type="dxa"/>
            <w:gridSpan w:val="2"/>
            <w:tcBorders>
              <w:top w:val="single" w:color="auto" w:sz="6" w:space="0"/>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rPr>
              <w:t>县公安局家属楼</w:t>
            </w:r>
          </w:p>
        </w:tc>
        <w:tc>
          <w:tcPr>
            <w:tcW w:w="17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rPr>
              <w:t>16200</w:t>
            </w:r>
          </w:p>
        </w:tc>
        <w:tc>
          <w:tcPr>
            <w:tcW w:w="22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4860" w:type="dxa"/>
            <w:gridSpan w:val="2"/>
            <w:tcBorders>
              <w:top w:val="single" w:color="auto" w:sz="6" w:space="0"/>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rPr>
              <w:t>合 计</w:t>
            </w:r>
          </w:p>
        </w:tc>
        <w:tc>
          <w:tcPr>
            <w:tcW w:w="17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rPr>
              <w:t>51200</w:t>
            </w:r>
          </w:p>
        </w:tc>
        <w:tc>
          <w:tcPr>
            <w:tcW w:w="22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D3D3D"/>
                <w:spacing w:val="0"/>
                <w:sz w:val="28"/>
                <w:szCs w:val="28"/>
              </w:rPr>
              <w:t>1213</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Fonts w:hint="eastAsia" w:ascii="黑体" w:hAnsi="宋体" w:eastAsia="黑体" w:cs="黑体"/>
          <w:i w:val="0"/>
          <w:caps w:val="0"/>
          <w:color w:val="3D3D3D"/>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Fonts w:hint="default" w:ascii="Calibri" w:hAnsi="Calibri" w:eastAsia="微软雅黑" w:cs="Calibri"/>
          <w:i w:val="0"/>
          <w:caps w:val="0"/>
          <w:color w:val="3D3D3D"/>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Fonts w:hint="eastAsia" w:ascii="黑体" w:hAnsi="宋体" w:eastAsia="黑体" w:cs="黑体"/>
          <w:i w:val="0"/>
          <w:caps w:val="0"/>
          <w:color w:val="3D3D3D"/>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Fonts w:hint="default" w:ascii="Calibri" w:hAnsi="Calibri" w:eastAsia="微软雅黑" w:cs="Calibri"/>
          <w:i w:val="0"/>
          <w:caps w:val="0"/>
          <w:color w:val="3D3D3D"/>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Fonts w:hint="default" w:ascii="Calibri" w:hAnsi="Calibri" w:eastAsia="微软雅黑" w:cs="Calibri"/>
          <w:i w:val="0"/>
          <w:caps w:val="0"/>
          <w:color w:val="3D3D3D"/>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3D3D3D"/>
          <w:spacing w:val="0"/>
          <w:sz w:val="22"/>
          <w:szCs w:val="22"/>
          <w:shd w:val="clear" w:fill="FFFFFF"/>
        </w:rPr>
        <w:drawing>
          <wp:inline distT="0" distB="0" distL="114300" distR="114300">
            <wp:extent cx="5629275" cy="1905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5629275" cy="19050"/>
                    </a:xfrm>
                    <a:prstGeom prst="rect">
                      <a:avLst/>
                    </a:prstGeom>
                    <a:noFill/>
                    <a:ln w="9525">
                      <a:noFill/>
                    </a:ln>
                  </pic:spPr>
                </pic:pic>
              </a:graphicData>
            </a:graphic>
          </wp:inline>
        </w:drawing>
      </w:r>
      <w:r>
        <w:rPr>
          <w:rFonts w:hint="eastAsia" w:ascii="仿宋" w:hAnsi="仿宋" w:eastAsia="仿宋" w:cs="仿宋"/>
          <w:i w:val="0"/>
          <w:caps w:val="0"/>
          <w:color w:val="3D3D3D"/>
          <w:spacing w:val="0"/>
          <w:sz w:val="31"/>
          <w:szCs w:val="31"/>
          <w:shd w:val="clear" w:fill="FFFFFF"/>
        </w:rPr>
        <w:t>  抄送：县委各部门，县人大常委会办公室，县政协办公室，县监委，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Fonts w:hint="eastAsia" w:ascii="仿宋" w:hAnsi="仿宋" w:eastAsia="仿宋" w:cs="仿宋"/>
          <w:i w:val="0"/>
          <w:caps w:val="0"/>
          <w:color w:val="3D3D3D"/>
          <w:spacing w:val="0"/>
          <w:sz w:val="31"/>
          <w:szCs w:val="31"/>
          <w:shd w:val="clear" w:fill="FFFFFF"/>
        </w:rPr>
        <w:t>        县法院，县检察院。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Fonts w:hint="eastAsia" w:ascii="仿宋" w:hAnsi="仿宋" w:eastAsia="仿宋" w:cs="仿宋"/>
          <w:i w:val="0"/>
          <w:caps w:val="0"/>
          <w:color w:val="3D3D3D"/>
          <w:spacing w:val="0"/>
          <w:sz w:val="31"/>
          <w:szCs w:val="31"/>
          <w:shd w:val="clear" w:fill="FFFFFF"/>
        </w:rPr>
        <w:t>        县工商联。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rPr>
      </w:pPr>
      <w:r>
        <w:rPr>
          <w:rFonts w:hint="eastAsia" w:ascii="微软雅黑" w:hAnsi="微软雅黑" w:eastAsia="微软雅黑" w:cs="微软雅黑"/>
          <w:i w:val="0"/>
          <w:caps w:val="0"/>
          <w:color w:val="3D3D3D"/>
          <w:spacing w:val="0"/>
          <w:sz w:val="22"/>
          <w:szCs w:val="22"/>
          <w:shd w:val="clear" w:fill="FFFFFF"/>
        </w:rPr>
        <w:drawing>
          <wp:inline distT="0" distB="0" distL="114300" distR="114300">
            <wp:extent cx="5629275" cy="1905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4"/>
                    <a:stretch>
                      <a:fillRect/>
                    </a:stretch>
                  </pic:blipFill>
                  <pic:spPr>
                    <a:xfrm>
                      <a:off x="0" y="0"/>
                      <a:ext cx="5629275" cy="19050"/>
                    </a:xfrm>
                    <a:prstGeom prst="rect">
                      <a:avLst/>
                    </a:prstGeom>
                    <a:noFill/>
                    <a:ln w="9525">
                      <a:noFill/>
                    </a:ln>
                  </pic:spPr>
                </pic:pic>
              </a:graphicData>
            </a:graphic>
          </wp:inline>
        </w:drawing>
      </w:r>
      <w:r>
        <w:rPr>
          <w:rFonts w:hint="eastAsia" w:ascii="微软雅黑" w:hAnsi="微软雅黑" w:eastAsia="微软雅黑" w:cs="微软雅黑"/>
          <w:i w:val="0"/>
          <w:caps w:val="0"/>
          <w:color w:val="3D3D3D"/>
          <w:spacing w:val="0"/>
          <w:sz w:val="22"/>
          <w:szCs w:val="22"/>
          <w:shd w:val="clear" w:fill="FFFFFF"/>
        </w:rPr>
        <w:drawing>
          <wp:inline distT="0" distB="0" distL="114300" distR="114300">
            <wp:extent cx="5629275" cy="19050"/>
            <wp:effectExtent l="0" t="0" r="0" b="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4"/>
                    <a:stretch>
                      <a:fillRect/>
                    </a:stretch>
                  </pic:blipFill>
                  <pic:spPr>
                    <a:xfrm>
                      <a:off x="0" y="0"/>
                      <a:ext cx="5629275" cy="19050"/>
                    </a:xfrm>
                    <a:prstGeom prst="rect">
                      <a:avLst/>
                    </a:prstGeom>
                    <a:noFill/>
                    <a:ln w="9525">
                      <a:noFill/>
                    </a:ln>
                  </pic:spPr>
                </pic:pic>
              </a:graphicData>
            </a:graphic>
          </wp:inline>
        </w:drawing>
      </w:r>
      <w:r>
        <w:rPr>
          <w:rFonts w:hint="eastAsia" w:ascii="仿宋" w:hAnsi="仿宋" w:eastAsia="仿宋" w:cs="仿宋"/>
          <w:i w:val="0"/>
          <w:caps w:val="0"/>
          <w:color w:val="3D3D3D"/>
          <w:spacing w:val="0"/>
          <w:sz w:val="31"/>
          <w:szCs w:val="31"/>
          <w:shd w:val="clear" w:fill="FFFFFF"/>
        </w:rPr>
        <w:t>  沂源县人民政府办公室                    2020年9月9日印发</w:t>
      </w: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4F1B3876"/>
    <w:rsid w:val="4F1B3876"/>
    <w:rsid w:val="60645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2408</Words>
  <Characters>2685</Characters>
  <Lines>0</Lines>
  <Paragraphs>0</Paragraphs>
  <TotalTime>6</TotalTime>
  <ScaleCrop>false</ScaleCrop>
  <LinksUpToDate>false</LinksUpToDate>
  <CharactersWithSpaces>2960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2020-12-18T06:42:00Z</dcterms:created>
  <dc:creator>suo孩子</dc:creator>
  <cp:lastModifiedBy>白白白白</cp:lastModifiedBy>
  <dcterms:modified xsi:type="dcterms:W3CDTF">2022-10-10T03:27:30Z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A588638138BB4A5CA54A1E6BF2CECF05</vt:lpwstr>
  </property>
</Properties>
</file>