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default" w:ascii="Times New Roman" w:hAnsi="Times New Roman" w:eastAsia="方正小标宋简体" w:cs="Times New Roman"/>
          <w:i w:val="0"/>
          <w:color w:val="000000"/>
          <w:kern w:val="0"/>
          <w:sz w:val="36"/>
          <w:szCs w:val="36"/>
          <w:u w:val="none"/>
          <w:lang w:val="en-US" w:eastAsia="zh-CN" w:bidi="ar"/>
        </w:rPr>
      </w:pPr>
      <w:r>
        <w:rPr>
          <w:rFonts w:hint="default" w:ascii="Times New Roman" w:hAnsi="Times New Roman" w:eastAsia="方正小标宋简体" w:cs="Times New Roman"/>
          <w:i w:val="0"/>
          <w:color w:val="000000"/>
          <w:spacing w:val="23"/>
          <w:kern w:val="0"/>
          <w:sz w:val="44"/>
          <w:szCs w:val="44"/>
          <w:u w:val="none"/>
          <w:lang w:val="en-US" w:eastAsia="zh-CN" w:bidi="ar"/>
        </w:rPr>
        <w:t>淄博市2023年“稳中向好、进中提质”</w:t>
      </w:r>
      <w:r>
        <w:rPr>
          <w:rFonts w:hint="default" w:ascii="Times New Roman" w:hAnsi="Times New Roman" w:eastAsia="方正小标宋简体" w:cs="Times New Roman"/>
          <w:i w:val="0"/>
          <w:color w:val="000000"/>
          <w:spacing w:val="85"/>
          <w:kern w:val="0"/>
          <w:sz w:val="44"/>
          <w:szCs w:val="44"/>
          <w:u w:val="none"/>
          <w:lang w:val="en-US" w:eastAsia="zh-CN" w:bidi="ar"/>
        </w:rPr>
        <w:t>政策清单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spacing w:val="2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732" w:firstLineChars="200"/>
        <w:textAlignment w:val="auto"/>
        <w:outlineLvl w:val="9"/>
        <w:rPr>
          <w:rFonts w:hint="default" w:ascii="Times New Roman" w:hAnsi="Times New Roman" w:eastAsia="仿宋_GB2312" w:cs="Times New Roman"/>
          <w:spacing w:val="23"/>
          <w:sz w:val="32"/>
          <w:szCs w:val="32"/>
          <w:lang w:val="en-US" w:eastAsia="zh-CN"/>
        </w:rPr>
      </w:pPr>
      <w:r>
        <w:rPr>
          <w:rFonts w:hint="default" w:ascii="Times New Roman" w:hAnsi="Times New Roman" w:eastAsia="仿宋_GB2312" w:cs="Times New Roman"/>
          <w:spacing w:val="23"/>
          <w:sz w:val="32"/>
          <w:szCs w:val="32"/>
          <w:lang w:val="en-US" w:eastAsia="zh-CN"/>
        </w:rPr>
        <w:t>2023年市级延续执行的政策清单，共54项。</w:t>
      </w:r>
    </w:p>
    <w:tbl>
      <w:tblPr>
        <w:tblStyle w:val="16"/>
        <w:tblW w:w="13326" w:type="dxa"/>
        <w:tblInd w:w="0" w:type="dxa"/>
        <w:shd w:val="clear" w:color="auto" w:fill="auto"/>
        <w:tblLayout w:type="fixed"/>
        <w:tblCellMar>
          <w:top w:w="0" w:type="dxa"/>
          <w:left w:w="57" w:type="dxa"/>
          <w:bottom w:w="0" w:type="dxa"/>
          <w:right w:w="28" w:type="dxa"/>
        </w:tblCellMar>
      </w:tblPr>
      <w:tblGrid>
        <w:gridCol w:w="651"/>
        <w:gridCol w:w="10035"/>
        <w:gridCol w:w="2640"/>
      </w:tblGrid>
      <w:tr>
        <w:tblPrEx>
          <w:tblCellMar>
            <w:top w:w="0" w:type="dxa"/>
            <w:left w:w="57" w:type="dxa"/>
            <w:bottom w:w="0" w:type="dxa"/>
            <w:right w:w="28" w:type="dxa"/>
          </w:tblCellMar>
        </w:tblPrEx>
        <w:trPr>
          <w:trHeight w:val="615" w:hRule="atLeast"/>
          <w:tblHeader/>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3"/>
                <w:rFonts w:hint="default" w:ascii="Times New Roman" w:hAnsi="Times New Roman" w:cs="Times New Roman"/>
                <w:lang w:val="en-US" w:eastAsia="zh-CN" w:bidi="ar"/>
              </w:rPr>
              <w:t>序号</w:t>
            </w:r>
          </w:p>
        </w:tc>
        <w:tc>
          <w:tcPr>
            <w:tcW w:w="10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3"/>
                <w:rFonts w:hint="default" w:ascii="Times New Roman" w:hAnsi="Times New Roman" w:cs="Times New Roman"/>
                <w:lang w:val="en-US" w:eastAsia="zh-CN" w:bidi="ar"/>
              </w:rPr>
              <w:t>政策内容</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3"/>
                <w:rFonts w:hint="default" w:ascii="Times New Roman" w:hAnsi="Times New Roman" w:cs="Times New Roman"/>
                <w:lang w:val="en-US" w:eastAsia="zh-CN" w:bidi="ar"/>
              </w:rPr>
              <w:t>责任单位</w:t>
            </w:r>
          </w:p>
        </w:tc>
      </w:tr>
      <w:tr>
        <w:tblPrEx>
          <w:tblCellMar>
            <w:top w:w="0" w:type="dxa"/>
            <w:left w:w="57" w:type="dxa"/>
            <w:bottom w:w="0" w:type="dxa"/>
            <w:right w:w="28" w:type="dxa"/>
          </w:tblCellMar>
        </w:tblPrEx>
        <w:trPr>
          <w:trHeight w:val="555"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5"/>
                <w:rFonts w:hint="default" w:ascii="Times New Roman" w:hAnsi="Times New Roman" w:cs="Times New Roman"/>
                <w:lang w:val="en-US" w:eastAsia="zh-CN" w:bidi="ar"/>
              </w:rPr>
            </w:pPr>
            <w:r>
              <w:rPr>
                <w:rStyle w:val="44"/>
                <w:rFonts w:hint="eastAsia" w:ascii="黑体" w:hAnsi="黑体" w:eastAsia="黑体" w:cs="黑体"/>
                <w:lang w:val="en-US" w:eastAsia="zh-CN" w:bidi="ar"/>
              </w:rPr>
              <w:t>一、稳定经济运行</w:t>
            </w:r>
          </w:p>
        </w:tc>
      </w:tr>
      <w:tr>
        <w:tblPrEx>
          <w:tblCellMar>
            <w:top w:w="0" w:type="dxa"/>
            <w:left w:w="57" w:type="dxa"/>
            <w:bottom w:w="0" w:type="dxa"/>
            <w:right w:w="28" w:type="dxa"/>
          </w:tblCellMar>
        </w:tblPrEx>
        <w:trPr>
          <w:trHeight w:val="18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0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关税保</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项下赔付损失补贴。对符合条件的保险公司在</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关税保</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项下出现赔付损失的给予支持，对年度赔付总额超过</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关税保</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年度保费收入</w:t>
            </w:r>
            <w:r>
              <w:rPr>
                <w:rStyle w:val="44"/>
                <w:rFonts w:hint="default" w:ascii="Times New Roman" w:hAnsi="Times New Roman" w:eastAsia="宋体" w:cs="Times New Roman"/>
                <w:lang w:val="en-US" w:eastAsia="zh-CN" w:bidi="ar"/>
              </w:rPr>
              <w:t>150%</w:t>
            </w:r>
            <w:r>
              <w:rPr>
                <w:rStyle w:val="45"/>
                <w:rFonts w:hint="default" w:ascii="Times New Roman" w:hAnsi="Times New Roman" w:cs="Times New Roman"/>
                <w:lang w:val="en-US" w:eastAsia="zh-CN" w:bidi="ar"/>
              </w:rPr>
              <w:t>以上、</w:t>
            </w:r>
            <w:r>
              <w:rPr>
                <w:rStyle w:val="44"/>
                <w:rFonts w:hint="default" w:ascii="Times New Roman" w:hAnsi="Times New Roman" w:eastAsia="宋体" w:cs="Times New Roman"/>
                <w:lang w:val="en-US" w:eastAsia="zh-CN" w:bidi="ar"/>
              </w:rPr>
              <w:t>200%</w:t>
            </w:r>
            <w:r>
              <w:rPr>
                <w:rStyle w:val="45"/>
                <w:rFonts w:hint="default" w:ascii="Times New Roman" w:hAnsi="Times New Roman" w:cs="Times New Roman"/>
                <w:lang w:val="en-US" w:eastAsia="zh-CN" w:bidi="ar"/>
              </w:rPr>
              <w:t>以下的部分，市财政承担</w:t>
            </w:r>
            <w:r>
              <w:rPr>
                <w:rStyle w:val="44"/>
                <w:rFonts w:hint="default" w:ascii="Times New Roman" w:hAnsi="Times New Roman" w:eastAsia="宋体" w:cs="Times New Roman"/>
                <w:lang w:val="en-US" w:eastAsia="zh-CN" w:bidi="ar"/>
              </w:rPr>
              <w:t>15%</w:t>
            </w:r>
            <w:r>
              <w:rPr>
                <w:rStyle w:val="45"/>
                <w:rFonts w:hint="default" w:ascii="Times New Roman" w:hAnsi="Times New Roman" w:cs="Times New Roman"/>
                <w:lang w:val="en-US" w:eastAsia="zh-CN" w:bidi="ar"/>
              </w:rPr>
              <w:t>；赔付总额超过保费收入</w:t>
            </w:r>
            <w:r>
              <w:rPr>
                <w:rStyle w:val="44"/>
                <w:rFonts w:hint="default" w:ascii="Times New Roman" w:hAnsi="Times New Roman" w:eastAsia="宋体" w:cs="Times New Roman"/>
                <w:lang w:val="en-US" w:eastAsia="zh-CN" w:bidi="ar"/>
              </w:rPr>
              <w:t>200%</w:t>
            </w:r>
            <w:r>
              <w:rPr>
                <w:rStyle w:val="45"/>
                <w:rFonts w:hint="default" w:ascii="Times New Roman" w:hAnsi="Times New Roman" w:cs="Times New Roman"/>
                <w:lang w:val="en-US" w:eastAsia="zh-CN" w:bidi="ar"/>
              </w:rPr>
              <w:t>以上的部分，市财政承担</w:t>
            </w:r>
            <w:r>
              <w:rPr>
                <w:rStyle w:val="44"/>
                <w:rFonts w:hint="default" w:ascii="Times New Roman" w:hAnsi="Times New Roman" w:eastAsia="宋体" w:cs="Times New Roman"/>
                <w:lang w:val="en-US" w:eastAsia="zh-CN" w:bidi="ar"/>
              </w:rPr>
              <w:t>10%</w:t>
            </w:r>
            <w:r>
              <w:rPr>
                <w:rStyle w:val="45"/>
                <w:rFonts w:hint="default" w:ascii="Times New Roman" w:hAnsi="Times New Roman" w:cs="Times New Roman"/>
                <w:lang w:val="en-US" w:eastAsia="zh-CN" w:bidi="ar"/>
              </w:rPr>
              <w:t>。（单户保险公司补偿额及最高补偿限额以省商务厅、省财政厅核定为准）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Style w:val="45"/>
                <w:rFonts w:hint="default" w:ascii="Times New Roman" w:hAnsi="Times New Roman" w:cs="Times New Roman"/>
                <w:lang w:val="en-US" w:eastAsia="zh-CN" w:bidi="ar"/>
              </w:rPr>
              <w:t>市商务局</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211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建立外商投资</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首席服务</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工作机制，对重点外资项目和企业设立首席服务官（</w:t>
            </w:r>
            <w:r>
              <w:rPr>
                <w:rStyle w:val="47"/>
                <w:rFonts w:hint="default" w:ascii="Times New Roman" w:hAnsi="Times New Roman" w:eastAsia="宋体" w:cs="Times New Roman"/>
                <w:lang w:val="en-US" w:eastAsia="zh-CN" w:bidi="ar"/>
              </w:rPr>
              <w:t>CSO</w:t>
            </w:r>
            <w:r>
              <w:rPr>
                <w:rStyle w:val="46"/>
                <w:rFonts w:hint="default" w:ascii="Times New Roman" w:hAnsi="Times New Roman" w:cs="Times New Roman"/>
                <w:lang w:val="en-US" w:eastAsia="zh-CN" w:bidi="ar"/>
              </w:rPr>
              <w:t>），由市、区县党政领导班子成员和市有关部门主要负责同志担任，每位首席服务官联系</w:t>
            </w:r>
            <w:r>
              <w:rPr>
                <w:rStyle w:val="47"/>
                <w:rFonts w:hint="default" w:ascii="Times New Roman" w:hAnsi="Times New Roman" w:eastAsia="宋体" w:cs="Times New Roman"/>
                <w:lang w:val="en-US" w:eastAsia="zh-CN" w:bidi="ar"/>
              </w:rPr>
              <w:t>3</w:t>
            </w:r>
            <w:r>
              <w:rPr>
                <w:rStyle w:val="46"/>
                <w:rFonts w:hint="default" w:ascii="Times New Roman" w:hAnsi="Times New Roman" w:cs="Times New Roman"/>
                <w:lang w:val="en-US" w:eastAsia="zh-CN" w:bidi="ar"/>
              </w:rPr>
              <w:t>家左右重点外资企业，并指定一名精通业务的工作人员担任首席服务大使，一口受理企业诉求，做到</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政策找人</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随叫随到</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全程代办</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Style w:val="45"/>
                <w:rFonts w:hint="default" w:ascii="Times New Roman" w:hAnsi="Times New Roman" w:cs="Times New Roman"/>
                <w:lang w:val="en-US" w:eastAsia="zh-CN" w:bidi="ar"/>
              </w:rPr>
              <w:t>市商务局</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8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实施淄博市优秀外资企业家绿色通道服务，对符合我市外资政策导向的，实际投资累计达到</w:t>
            </w:r>
            <w:r>
              <w:rPr>
                <w:rStyle w:val="47"/>
                <w:rFonts w:hint="default" w:ascii="Times New Roman" w:hAnsi="Times New Roman" w:eastAsia="宋体" w:cs="Times New Roman"/>
                <w:lang w:val="en-US" w:eastAsia="zh-CN" w:bidi="ar"/>
              </w:rPr>
              <w:t>5000</w:t>
            </w:r>
            <w:r>
              <w:rPr>
                <w:rStyle w:val="46"/>
                <w:rFonts w:hint="default" w:ascii="Times New Roman" w:hAnsi="Times New Roman" w:cs="Times New Roman"/>
                <w:lang w:val="en-US" w:eastAsia="zh-CN" w:bidi="ar"/>
              </w:rPr>
              <w:t>万美元以上的外资企业、境外世界</w:t>
            </w:r>
            <w:r>
              <w:rPr>
                <w:rStyle w:val="47"/>
                <w:rFonts w:hint="default" w:ascii="Times New Roman" w:hAnsi="Times New Roman" w:eastAsia="宋体" w:cs="Times New Roman"/>
                <w:lang w:val="en-US" w:eastAsia="zh-CN" w:bidi="ar"/>
              </w:rPr>
              <w:t>500</w:t>
            </w:r>
            <w:r>
              <w:rPr>
                <w:rStyle w:val="46"/>
                <w:rFonts w:hint="default" w:ascii="Times New Roman" w:hAnsi="Times New Roman" w:cs="Times New Roman"/>
                <w:lang w:val="en-US" w:eastAsia="zh-CN" w:bidi="ar"/>
              </w:rPr>
              <w:t>强及行业领军企业、在我市设立对产业生态有重大支撑作用的国际专业服务机构主要负责人，颁发</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淄博市优秀企业家服务保障卡（外商投资企业）</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，享受淄博市优秀企业家绿色通道相关服务。</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市商务局</w:t>
            </w:r>
          </w:p>
        </w:tc>
      </w:tr>
      <w:tr>
        <w:tblPrEx>
          <w:tblCellMar>
            <w:top w:w="0" w:type="dxa"/>
            <w:left w:w="57" w:type="dxa"/>
            <w:bottom w:w="0" w:type="dxa"/>
            <w:right w:w="28" w:type="dxa"/>
          </w:tblCellMar>
        </w:tblPrEx>
        <w:trPr>
          <w:trHeight w:val="18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建立人民银行再贷款资金与政策性农业信贷担保、小微企业信贷担保精准对接机制，指导地方法人银行加强与省农担公司淄博管理中心、淄博鑫润融资担保有限公司的业务合作，对符合条件的支农支小担保贷款业务，落实执行省级相关规定，人民银行淄博市中心支行提供全额再贷款支持，开展业务合作的银行为</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三农</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主体、小微企业提供年利率不高于</w:t>
            </w:r>
            <w:r>
              <w:rPr>
                <w:rStyle w:val="47"/>
                <w:rFonts w:hint="default" w:ascii="Times New Roman" w:hAnsi="Times New Roman" w:eastAsia="宋体" w:cs="Times New Roman"/>
                <w:lang w:val="en-US" w:eastAsia="zh-CN" w:bidi="ar"/>
              </w:rPr>
              <w:t>5.5%</w:t>
            </w:r>
            <w:r>
              <w:rPr>
                <w:rStyle w:val="46"/>
                <w:rFonts w:hint="default" w:ascii="Times New Roman" w:hAnsi="Times New Roman" w:cs="Times New Roman"/>
                <w:lang w:val="en-US" w:eastAsia="zh-CN" w:bidi="ar"/>
              </w:rPr>
              <w:t>的信贷服务。</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人民银行淄博市中心支行</w:t>
            </w:r>
          </w:p>
        </w:tc>
      </w:tr>
      <w:tr>
        <w:tblPrEx>
          <w:tblCellMar>
            <w:top w:w="0" w:type="dxa"/>
            <w:left w:w="57" w:type="dxa"/>
            <w:bottom w:w="0" w:type="dxa"/>
            <w:right w:w="28" w:type="dxa"/>
          </w:tblCellMar>
        </w:tblPrEx>
        <w:trPr>
          <w:trHeight w:val="172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结合人民银行济南分行按季度对银行业金融机构民营企业、小微企业信贷投放增速、利率情况的评估通报，引导地方法人金融机构持续提升民营和小微企业金融服务质效。根据省级关于做好小微、民营企业信贷政策导向效果年度评估工作的有关通知文件执行。</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人民银行淄博市中心支行</w:t>
            </w:r>
          </w:p>
        </w:tc>
      </w:tr>
      <w:tr>
        <w:tblPrEx>
          <w:tblCellMar>
            <w:top w:w="0" w:type="dxa"/>
            <w:left w:w="57" w:type="dxa"/>
            <w:bottom w:w="0" w:type="dxa"/>
            <w:right w:w="28" w:type="dxa"/>
          </w:tblCellMar>
        </w:tblPrEx>
        <w:trPr>
          <w:trHeight w:val="13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推进服务流程再造。实行</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一函通办</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制度，对企业上市挂牌再融资过程中需要相关职能部门协调解决的事项，汇总形成《协调事项函》，转交各职能部门依法依规办理，原则上５个工作日内办结并回复。</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市地方金融监管局</w:t>
            </w:r>
          </w:p>
        </w:tc>
      </w:tr>
      <w:tr>
        <w:tblPrEx>
          <w:tblCellMar>
            <w:top w:w="0" w:type="dxa"/>
            <w:left w:w="57" w:type="dxa"/>
            <w:bottom w:w="0" w:type="dxa"/>
            <w:right w:w="28" w:type="dxa"/>
          </w:tblCellMar>
        </w:tblPrEx>
        <w:trPr>
          <w:trHeight w:val="151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企业在沪、深证券交易所上市的，按照上市签约、首发辅导备案、受理首发申请、成功上市四个阶段，以</w:t>
            </w:r>
            <w:r>
              <w:rPr>
                <w:rStyle w:val="44"/>
                <w:rFonts w:hint="default" w:ascii="Times New Roman" w:hAnsi="Times New Roman" w:eastAsia="宋体" w:cs="Times New Roman"/>
                <w:lang w:val="en-US" w:eastAsia="zh-CN" w:bidi="ar"/>
              </w:rPr>
              <w:t>1:3:4:2</w:t>
            </w:r>
            <w:r>
              <w:rPr>
                <w:rStyle w:val="45"/>
                <w:rFonts w:hint="default" w:ascii="Times New Roman" w:hAnsi="Times New Roman" w:cs="Times New Roman"/>
                <w:lang w:val="en-US" w:eastAsia="zh-CN" w:bidi="ar"/>
              </w:rPr>
              <w:t>的比例，市财政分阶段给予总额</w:t>
            </w:r>
            <w:r>
              <w:rPr>
                <w:rStyle w:val="44"/>
                <w:rFonts w:hint="default" w:ascii="Times New Roman" w:hAnsi="Times New Roman" w:eastAsia="宋体" w:cs="Times New Roman"/>
                <w:lang w:val="en-US" w:eastAsia="zh-CN" w:bidi="ar"/>
              </w:rPr>
              <w:t>1000</w:t>
            </w:r>
            <w:r>
              <w:rPr>
                <w:rStyle w:val="45"/>
                <w:rFonts w:hint="default" w:ascii="Times New Roman" w:hAnsi="Times New Roman" w:cs="Times New Roman"/>
                <w:lang w:val="en-US" w:eastAsia="zh-CN" w:bidi="ar"/>
              </w:rPr>
              <w:t>万元的奖励，企业在新三板挂牌的，市财政给予一次性奖励</w:t>
            </w:r>
            <w:r>
              <w:rPr>
                <w:rStyle w:val="44"/>
                <w:rFonts w:hint="default" w:ascii="Times New Roman" w:hAnsi="Times New Roman" w:eastAsia="宋体" w:cs="Times New Roman"/>
                <w:lang w:val="en-US" w:eastAsia="zh-CN" w:bidi="ar"/>
              </w:rPr>
              <w:t>100</w:t>
            </w:r>
            <w:r>
              <w:rPr>
                <w:rStyle w:val="45"/>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市地方金融监管局</w:t>
            </w:r>
          </w:p>
        </w:tc>
      </w:tr>
      <w:tr>
        <w:tblPrEx>
          <w:tblCellMar>
            <w:top w:w="0" w:type="dxa"/>
            <w:left w:w="57" w:type="dxa"/>
            <w:bottom w:w="0" w:type="dxa"/>
            <w:right w:w="28" w:type="dxa"/>
          </w:tblCellMar>
        </w:tblPrEx>
        <w:trPr>
          <w:trHeight w:val="149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政府性融资担保机构重点支持单户担保金额</w:t>
            </w:r>
            <w:r>
              <w:rPr>
                <w:rStyle w:val="47"/>
                <w:rFonts w:hint="default" w:ascii="Times New Roman" w:hAnsi="Times New Roman" w:eastAsia="宋体" w:cs="Times New Roman"/>
                <w:lang w:val="en-US" w:eastAsia="zh-CN" w:bidi="ar"/>
              </w:rPr>
              <w:t>1000</w:t>
            </w:r>
            <w:r>
              <w:rPr>
                <w:rStyle w:val="46"/>
                <w:rFonts w:hint="default" w:ascii="Times New Roman" w:hAnsi="Times New Roman" w:cs="Times New Roman"/>
                <w:lang w:val="en-US" w:eastAsia="zh-CN" w:bidi="ar"/>
              </w:rPr>
              <w:t>万元及以下的小微企业和</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三农</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主体。市级政府性融资担保机构实行优惠担保费率，政策性担保业务费率原则上不高于</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49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9</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按照省农业农村厅下达我市高标准农田建设任务，及时将任务分解落实到各项目区县，配合市级财政做好高标准农田建设补助资金分配工作。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市农业农村局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78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10</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Style w:val="46"/>
                <w:rFonts w:hint="default" w:ascii="Times New Roman" w:hAnsi="Times New Roman" w:cs="Times New Roman"/>
                <w:lang w:val="en-US" w:eastAsia="zh-CN" w:bidi="ar"/>
              </w:rPr>
              <w:t>对单户科技型中小企业纳入风险补偿的科技成果转化贷款年度余额不超过</w:t>
            </w:r>
            <w:r>
              <w:rPr>
                <w:rStyle w:val="47"/>
                <w:rFonts w:hint="default" w:ascii="Times New Roman" w:hAnsi="Times New Roman" w:eastAsia="宋体" w:cs="Times New Roman"/>
                <w:lang w:val="en-US" w:eastAsia="zh-CN" w:bidi="ar"/>
              </w:rPr>
              <w:t>2000</w:t>
            </w:r>
            <w:r>
              <w:rPr>
                <w:rStyle w:val="46"/>
                <w:rFonts w:hint="default" w:ascii="Times New Roman" w:hAnsi="Times New Roman" w:cs="Times New Roman"/>
                <w:lang w:val="en-US" w:eastAsia="zh-CN" w:bidi="ar"/>
              </w:rPr>
              <w:t>万元，省级财政按备案贷款不良本金给予</w:t>
            </w:r>
            <w:r>
              <w:rPr>
                <w:rStyle w:val="47"/>
                <w:rFonts w:hint="default" w:ascii="Times New Roman" w:hAnsi="Times New Roman" w:eastAsia="宋体" w:cs="Times New Roman"/>
                <w:lang w:val="en-US" w:eastAsia="zh-CN" w:bidi="ar"/>
              </w:rPr>
              <w:t>35%</w:t>
            </w:r>
            <w:r>
              <w:rPr>
                <w:rStyle w:val="46"/>
                <w:rFonts w:hint="default" w:ascii="Times New Roman" w:hAnsi="Times New Roman" w:cs="Times New Roman"/>
                <w:lang w:val="en-US" w:eastAsia="zh-CN" w:bidi="ar"/>
              </w:rPr>
              <w:t>的风险补偿；对认定为高新技术企业的科技型中小企业，市级财政按备案贷款不良本金给予</w:t>
            </w:r>
            <w:r>
              <w:rPr>
                <w:rStyle w:val="47"/>
                <w:rFonts w:hint="default" w:ascii="Times New Roman" w:hAnsi="Times New Roman" w:eastAsia="宋体" w:cs="Times New Roman"/>
                <w:lang w:val="en-US" w:eastAsia="zh-CN" w:bidi="ar"/>
              </w:rPr>
              <w:t>45%</w:t>
            </w:r>
            <w:r>
              <w:rPr>
                <w:rStyle w:val="46"/>
                <w:rFonts w:hint="default" w:ascii="Times New Roman" w:hAnsi="Times New Roman" w:cs="Times New Roman"/>
                <w:lang w:val="en-US" w:eastAsia="zh-CN" w:bidi="ar"/>
              </w:rPr>
              <w:t>的风险补偿；对其他科技型中小企业，市级财政按备案贷款不良本金给予</w:t>
            </w:r>
            <w:r>
              <w:rPr>
                <w:rStyle w:val="47"/>
                <w:rFonts w:hint="default" w:ascii="Times New Roman" w:hAnsi="Times New Roman" w:eastAsia="宋体" w:cs="Times New Roman"/>
                <w:lang w:val="en-US" w:eastAsia="zh-CN" w:bidi="ar"/>
              </w:rPr>
              <w:t>35%</w:t>
            </w:r>
            <w:r>
              <w:rPr>
                <w:rStyle w:val="46"/>
                <w:rFonts w:hint="default" w:ascii="Times New Roman" w:hAnsi="Times New Roman" w:cs="Times New Roman"/>
                <w:lang w:val="en-US" w:eastAsia="zh-CN" w:bidi="ar"/>
              </w:rPr>
              <w:t>的风险补偿；剩余贷款损失由贷款银行承担。</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市科技局</w:t>
            </w:r>
          </w:p>
        </w:tc>
      </w:tr>
      <w:tr>
        <w:tblPrEx>
          <w:tblCellMar>
            <w:top w:w="0" w:type="dxa"/>
            <w:left w:w="57" w:type="dxa"/>
            <w:bottom w:w="0" w:type="dxa"/>
            <w:right w:w="28" w:type="dxa"/>
          </w:tblCellMar>
        </w:tblPrEx>
        <w:trPr>
          <w:trHeight w:val="193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1</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Style w:val="46"/>
                <w:rFonts w:hint="default" w:ascii="Times New Roman" w:hAnsi="Times New Roman" w:cs="Times New Roman"/>
                <w:lang w:val="en-US" w:eastAsia="zh-CN" w:bidi="ar"/>
              </w:rPr>
              <w:t>对示范性国家技术转移机构，市财政给予最高</w:t>
            </w:r>
            <w:r>
              <w:rPr>
                <w:rStyle w:val="47"/>
                <w:rFonts w:hint="default" w:ascii="Times New Roman" w:hAnsi="Times New Roman" w:eastAsia="宋体" w:cs="Times New Roman"/>
                <w:lang w:val="en-US" w:eastAsia="zh-CN" w:bidi="ar"/>
              </w:rPr>
              <w:t>200</w:t>
            </w:r>
            <w:r>
              <w:rPr>
                <w:rStyle w:val="46"/>
                <w:rFonts w:hint="default" w:ascii="Times New Roman" w:hAnsi="Times New Roman" w:cs="Times New Roman"/>
                <w:lang w:val="en-US" w:eastAsia="zh-CN" w:bidi="ar"/>
              </w:rPr>
              <w:t>万元奖励。对在省内转化山东高校和科研院所科技成果，年技术合同登记成交金额达</w:t>
            </w:r>
            <w:r>
              <w:rPr>
                <w:rStyle w:val="47"/>
                <w:rFonts w:hint="default" w:ascii="Times New Roman" w:hAnsi="Times New Roman" w:eastAsia="宋体" w:cs="Times New Roman"/>
                <w:lang w:val="en-US" w:eastAsia="zh-CN" w:bidi="ar"/>
              </w:rPr>
              <w:t>2000</w:t>
            </w:r>
            <w:r>
              <w:rPr>
                <w:rStyle w:val="46"/>
                <w:rFonts w:hint="default" w:ascii="Times New Roman" w:hAnsi="Times New Roman" w:cs="Times New Roman"/>
                <w:lang w:val="en-US" w:eastAsia="zh-CN" w:bidi="ar"/>
              </w:rPr>
              <w:t>万元以上，且促成不低于</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项重大科技成果转化的技术转移机构，省财政给予最高</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万元的经费补助，对促进科技成果落地我市的市内技术转移机构，市财政再给予最高</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万元补助。</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Style w:val="46"/>
                <w:rFonts w:hint="default" w:ascii="Times New Roman" w:hAnsi="Times New Roman" w:cs="Times New Roman"/>
                <w:lang w:val="en-US" w:eastAsia="zh-CN" w:bidi="ar"/>
              </w:rPr>
              <w:t>市科技局</w:t>
            </w:r>
          </w:p>
        </w:tc>
      </w:tr>
      <w:tr>
        <w:tblPrEx>
          <w:tblCellMar>
            <w:top w:w="0" w:type="dxa"/>
            <w:left w:w="57" w:type="dxa"/>
            <w:bottom w:w="0" w:type="dxa"/>
            <w:right w:w="28" w:type="dxa"/>
          </w:tblCellMar>
        </w:tblPrEx>
        <w:trPr>
          <w:trHeight w:val="294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2</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鼓励规模以上服务业企业做大做强。（</w:t>
            </w:r>
            <w:r>
              <w:rPr>
                <w:rStyle w:val="44"/>
                <w:rFonts w:hint="default" w:ascii="Times New Roman" w:hAnsi="Times New Roman" w:eastAsia="仿宋_GB2312" w:cs="Times New Roman"/>
                <w:lang w:val="en-US" w:eastAsia="zh-CN" w:bidi="ar"/>
              </w:rPr>
              <w:t>1</w:t>
            </w:r>
            <w:r>
              <w:rPr>
                <w:rStyle w:val="45"/>
                <w:rFonts w:hint="default" w:ascii="Times New Roman" w:hAnsi="Times New Roman" w:cs="Times New Roman"/>
                <w:lang w:val="en-US" w:eastAsia="zh-CN" w:bidi="ar"/>
              </w:rPr>
              <w:t>）对年内新注册、新引进的服务业企业纳入规模以上服务业统计的，前三年按照企业对市、区县财政贡献的</w:t>
            </w:r>
            <w:r>
              <w:rPr>
                <w:rStyle w:val="44"/>
                <w:rFonts w:hint="default" w:ascii="Times New Roman" w:hAnsi="Times New Roman" w:eastAsia="仿宋_GB2312" w:cs="Times New Roman"/>
                <w:lang w:val="en-US" w:eastAsia="zh-CN" w:bidi="ar"/>
              </w:rPr>
              <w:t>100%</w:t>
            </w:r>
            <w:r>
              <w:rPr>
                <w:rStyle w:val="45"/>
                <w:rFonts w:hint="default" w:ascii="Times New Roman" w:hAnsi="Times New Roman" w:cs="Times New Roman"/>
                <w:lang w:val="en-US" w:eastAsia="zh-CN" w:bidi="ar"/>
              </w:rPr>
              <w:t>，后两年按</w:t>
            </w:r>
            <w:r>
              <w:rPr>
                <w:rStyle w:val="44"/>
                <w:rFonts w:hint="default" w:ascii="Times New Roman" w:hAnsi="Times New Roman" w:eastAsia="仿宋_GB2312" w:cs="Times New Roman"/>
                <w:lang w:val="en-US" w:eastAsia="zh-CN" w:bidi="ar"/>
              </w:rPr>
              <w:t>50%</w:t>
            </w:r>
            <w:r>
              <w:rPr>
                <w:rStyle w:val="45"/>
                <w:rFonts w:hint="default" w:ascii="Times New Roman" w:hAnsi="Times New Roman" w:cs="Times New Roman"/>
                <w:lang w:val="en-US" w:eastAsia="zh-CN" w:bidi="ar"/>
              </w:rPr>
              <w:t>的标准专项用于支持服务业发展。（</w:t>
            </w:r>
            <w:r>
              <w:rPr>
                <w:rStyle w:val="44"/>
                <w:rFonts w:hint="default" w:ascii="Times New Roman" w:hAnsi="Times New Roman" w:eastAsia="仿宋_GB2312" w:cs="Times New Roman"/>
                <w:lang w:val="en-US" w:eastAsia="zh-CN" w:bidi="ar"/>
              </w:rPr>
              <w:t>2</w:t>
            </w:r>
            <w:r>
              <w:rPr>
                <w:rStyle w:val="45"/>
                <w:rFonts w:hint="default" w:ascii="Times New Roman" w:hAnsi="Times New Roman" w:cs="Times New Roman"/>
                <w:lang w:val="en-US" w:eastAsia="zh-CN" w:bidi="ar"/>
              </w:rPr>
              <w:t>）对营业收入年度增速超过全市纳统在库企业同行业平均水平的现有规模以上服务业企业，经统计部门核准后，每年单独核算，其对市、区县财政贡献增量超平均水平部分，按前三年</w:t>
            </w:r>
            <w:r>
              <w:rPr>
                <w:rStyle w:val="44"/>
                <w:rFonts w:hint="default" w:ascii="Times New Roman" w:hAnsi="Times New Roman" w:eastAsia="仿宋_GB2312" w:cs="Times New Roman"/>
                <w:lang w:val="en-US" w:eastAsia="zh-CN" w:bidi="ar"/>
              </w:rPr>
              <w:t>100%</w:t>
            </w:r>
            <w:r>
              <w:rPr>
                <w:rStyle w:val="45"/>
                <w:rFonts w:hint="default" w:ascii="Times New Roman" w:hAnsi="Times New Roman" w:cs="Times New Roman"/>
                <w:lang w:val="en-US" w:eastAsia="zh-CN" w:bidi="ar"/>
              </w:rPr>
              <w:t>、后两年</w:t>
            </w:r>
            <w:r>
              <w:rPr>
                <w:rStyle w:val="44"/>
                <w:rFonts w:hint="default" w:ascii="Times New Roman" w:hAnsi="Times New Roman" w:eastAsia="仿宋_GB2312" w:cs="Times New Roman"/>
                <w:lang w:val="en-US" w:eastAsia="zh-CN" w:bidi="ar"/>
              </w:rPr>
              <w:t>50%</w:t>
            </w:r>
            <w:r>
              <w:rPr>
                <w:rStyle w:val="45"/>
                <w:rFonts w:hint="default" w:ascii="Times New Roman" w:hAnsi="Times New Roman" w:cs="Times New Roman"/>
                <w:lang w:val="en-US" w:eastAsia="zh-CN" w:bidi="ar"/>
              </w:rPr>
              <w:t>的标准专项用于支持服务业发展。（</w:t>
            </w:r>
            <w:r>
              <w:rPr>
                <w:rStyle w:val="44"/>
                <w:rFonts w:hint="default" w:ascii="Times New Roman" w:hAnsi="Times New Roman" w:eastAsia="仿宋_GB2312" w:cs="Times New Roman"/>
                <w:lang w:val="en-US" w:eastAsia="zh-CN" w:bidi="ar"/>
              </w:rPr>
              <w:t>3</w:t>
            </w:r>
            <w:r>
              <w:rPr>
                <w:rStyle w:val="45"/>
                <w:rFonts w:hint="default" w:ascii="Times New Roman" w:hAnsi="Times New Roman" w:cs="Times New Roman"/>
                <w:lang w:val="en-US" w:eastAsia="zh-CN" w:bidi="ar"/>
              </w:rPr>
              <w:t>）对当年营业收入首次突破</w:t>
            </w:r>
            <w:r>
              <w:rPr>
                <w:rStyle w:val="44"/>
                <w:rFonts w:hint="default" w:ascii="Times New Roman" w:hAnsi="Times New Roman" w:eastAsia="仿宋_GB2312" w:cs="Times New Roman"/>
                <w:lang w:val="en-US" w:eastAsia="zh-CN" w:bidi="ar"/>
              </w:rPr>
              <w:t>5</w:t>
            </w:r>
            <w:r>
              <w:rPr>
                <w:rStyle w:val="45"/>
                <w:rFonts w:hint="default" w:ascii="Times New Roman" w:hAnsi="Times New Roman" w:cs="Times New Roman"/>
                <w:lang w:val="en-US" w:eastAsia="zh-CN" w:bidi="ar"/>
              </w:rPr>
              <w:t>亿元和</w:t>
            </w:r>
            <w:r>
              <w:rPr>
                <w:rStyle w:val="44"/>
                <w:rFonts w:hint="default" w:ascii="Times New Roman" w:hAnsi="Times New Roman" w:eastAsia="仿宋_GB2312" w:cs="Times New Roman"/>
                <w:lang w:val="en-US" w:eastAsia="zh-CN" w:bidi="ar"/>
              </w:rPr>
              <w:t>10</w:t>
            </w:r>
            <w:r>
              <w:rPr>
                <w:rStyle w:val="45"/>
                <w:rFonts w:hint="default" w:ascii="Times New Roman" w:hAnsi="Times New Roman" w:cs="Times New Roman"/>
                <w:lang w:val="en-US" w:eastAsia="zh-CN" w:bidi="ar"/>
              </w:rPr>
              <w:t>亿元的规模以上营利性服务业企业，由市级财政分别按照最高</w:t>
            </w:r>
            <w:r>
              <w:rPr>
                <w:rStyle w:val="44"/>
                <w:rFonts w:hint="default" w:ascii="Times New Roman" w:hAnsi="Times New Roman" w:eastAsia="仿宋_GB2312" w:cs="Times New Roman"/>
                <w:lang w:val="en-US" w:eastAsia="zh-CN" w:bidi="ar"/>
              </w:rPr>
              <w:t>30</w:t>
            </w:r>
            <w:r>
              <w:rPr>
                <w:rStyle w:val="45"/>
                <w:rFonts w:hint="default" w:ascii="Times New Roman" w:hAnsi="Times New Roman" w:cs="Times New Roman"/>
                <w:lang w:val="en-US" w:eastAsia="zh-CN" w:bidi="ar"/>
              </w:rPr>
              <w:t>万元和</w:t>
            </w:r>
            <w:r>
              <w:rPr>
                <w:rStyle w:val="44"/>
                <w:rFonts w:hint="default" w:ascii="Times New Roman" w:hAnsi="Times New Roman" w:eastAsia="仿宋_GB2312" w:cs="Times New Roman"/>
                <w:lang w:val="en-US" w:eastAsia="zh-CN" w:bidi="ar"/>
              </w:rPr>
              <w:t>60</w:t>
            </w:r>
            <w:r>
              <w:rPr>
                <w:rStyle w:val="45"/>
                <w:rFonts w:hint="default" w:ascii="Times New Roman" w:hAnsi="Times New Roman" w:cs="Times New Roman"/>
                <w:lang w:val="en-US" w:eastAsia="zh-CN" w:bidi="ar"/>
              </w:rPr>
              <w:t>万元的标准给予相应区县一次性奖励。</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市发展改革委</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市财政局</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市统计局</w:t>
            </w:r>
          </w:p>
        </w:tc>
      </w:tr>
      <w:tr>
        <w:tblPrEx>
          <w:tblCellMar>
            <w:top w:w="0" w:type="dxa"/>
            <w:left w:w="57" w:type="dxa"/>
            <w:bottom w:w="0" w:type="dxa"/>
            <w:right w:w="28" w:type="dxa"/>
          </w:tblCellMar>
        </w:tblPrEx>
        <w:trPr>
          <w:trHeight w:val="149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3</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明确工业用地的容积率，根据《山东省建设用地控制标准（</w:t>
            </w:r>
            <w:r>
              <w:rPr>
                <w:rStyle w:val="44"/>
                <w:rFonts w:hint="default" w:ascii="Times New Roman" w:hAnsi="Times New Roman" w:eastAsia="宋体" w:cs="Times New Roman"/>
                <w:lang w:val="en-US" w:eastAsia="zh-CN" w:bidi="ar"/>
              </w:rPr>
              <w:t>2019</w:t>
            </w:r>
            <w:r>
              <w:rPr>
                <w:rStyle w:val="45"/>
                <w:rFonts w:hint="default" w:ascii="Times New Roman" w:hAnsi="Times New Roman" w:cs="Times New Roman"/>
                <w:lang w:val="en-US" w:eastAsia="zh-CN" w:bidi="ar"/>
              </w:rPr>
              <w:t>年版）》的要求，只设置下限，不设置上限。</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市自然资源和规划局</w:t>
            </w:r>
          </w:p>
        </w:tc>
      </w:tr>
      <w:tr>
        <w:tblPrEx>
          <w:tblCellMar>
            <w:top w:w="0" w:type="dxa"/>
            <w:left w:w="57" w:type="dxa"/>
            <w:bottom w:w="0" w:type="dxa"/>
            <w:right w:w="28" w:type="dxa"/>
          </w:tblCellMar>
        </w:tblPrEx>
        <w:trPr>
          <w:trHeight w:val="237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4</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对符合集约节约用地要求的特色优势先进制造业新建或技术改造项目，土地出让底价可按不低于所在地土地等别对应全国工业用地出让最低价标准的</w:t>
            </w:r>
            <w:r>
              <w:rPr>
                <w:rStyle w:val="44"/>
                <w:rFonts w:hint="default" w:ascii="Times New Roman" w:hAnsi="Times New Roman" w:eastAsia="宋体" w:cs="Times New Roman"/>
                <w:lang w:val="en-US" w:eastAsia="zh-CN" w:bidi="ar"/>
              </w:rPr>
              <w:t>70%</w:t>
            </w:r>
            <w:r>
              <w:rPr>
                <w:rStyle w:val="45"/>
                <w:rFonts w:hint="default" w:ascii="Times New Roman" w:hAnsi="Times New Roman" w:cs="Times New Roman"/>
                <w:lang w:val="en-US" w:eastAsia="zh-CN" w:bidi="ar"/>
              </w:rPr>
              <w:t>执行。按比例计算后低于该项目实际土地取得成本、土地前期开发成本和按规定应收取的相关费用之和的，应按不低于实际各项成本费用之和的原则确定出让底价。对现有工业项目不改变用途前提下，提高利用效率和新建制造业项目建筑容积率超过国家、省、市规定部分，不再增收土地价款。</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市自然资源和规划局</w:t>
            </w:r>
          </w:p>
        </w:tc>
      </w:tr>
      <w:tr>
        <w:tblPrEx>
          <w:tblCellMar>
            <w:top w:w="0" w:type="dxa"/>
            <w:left w:w="57" w:type="dxa"/>
            <w:bottom w:w="0" w:type="dxa"/>
            <w:right w:w="28" w:type="dxa"/>
          </w:tblCellMar>
        </w:tblPrEx>
        <w:trPr>
          <w:trHeight w:val="200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5</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先进制造业项目用地可采取长期租赁、先租后让、弹性年期出让等多种方式取得土地使用权。采取长期租赁方式供地的可以调整为出让供地，采取弹性年期出让的在出让期间内可以调整至最高年期。以长期租赁、先租后让、弹性年期出让等方式取得土地使用权的，土地使用权在使用年期内可以依法转让、转租或抵押。</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市自然资源和规划局</w:t>
            </w:r>
          </w:p>
        </w:tc>
      </w:tr>
      <w:tr>
        <w:tblPrEx>
          <w:tblCellMar>
            <w:top w:w="0" w:type="dxa"/>
            <w:left w:w="57" w:type="dxa"/>
            <w:bottom w:w="0" w:type="dxa"/>
            <w:right w:w="28" w:type="dxa"/>
          </w:tblCellMar>
        </w:tblPrEx>
        <w:trPr>
          <w:trHeight w:val="184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6</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强化市重大项目服务保障，推行</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承诺制</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标准地</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等先进模式，为市重大项目开辟绿色通道，进一步优化市重大项目审批、服务和管理流程，将能耗指标、煤耗指标、排污指标等资源要素统筹用于市重大项目建设，实现项目</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拿地即开工</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Style w:val="45"/>
                <w:rFonts w:hint="default" w:ascii="Times New Roman" w:hAnsi="Times New Roman" w:cs="Times New Roman"/>
                <w:lang w:val="en-US" w:eastAsia="zh-CN" w:bidi="ar"/>
              </w:rPr>
              <w:t>市发展改革委</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市自然资源和规划局</w:t>
            </w:r>
          </w:p>
        </w:tc>
      </w:tr>
      <w:tr>
        <w:tblPrEx>
          <w:tblCellMar>
            <w:top w:w="0" w:type="dxa"/>
            <w:left w:w="57" w:type="dxa"/>
            <w:bottom w:w="0" w:type="dxa"/>
            <w:right w:w="28" w:type="dxa"/>
          </w:tblCellMar>
        </w:tblPrEx>
        <w:trPr>
          <w:trHeight w:val="560"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5"/>
                <w:rFonts w:hint="default" w:ascii="Times New Roman" w:hAnsi="Times New Roman" w:cs="Times New Roman"/>
                <w:lang w:val="en-US" w:eastAsia="zh-CN" w:bidi="ar"/>
              </w:rPr>
            </w:pPr>
            <w:r>
              <w:rPr>
                <w:rStyle w:val="45"/>
                <w:rFonts w:hint="eastAsia" w:ascii="黑体" w:hAnsi="黑体" w:eastAsia="黑体" w:cs="黑体"/>
                <w:lang w:val="en-US" w:eastAsia="zh-CN" w:bidi="ar"/>
              </w:rPr>
              <w:t>二、加快品质提升</w:t>
            </w:r>
          </w:p>
        </w:tc>
      </w:tr>
      <w:tr>
        <w:tblPrEx>
          <w:tblCellMar>
            <w:top w:w="0" w:type="dxa"/>
            <w:left w:w="57" w:type="dxa"/>
            <w:bottom w:w="0" w:type="dxa"/>
            <w:right w:w="28" w:type="dxa"/>
          </w:tblCellMar>
        </w:tblPrEx>
        <w:trPr>
          <w:trHeight w:val="43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17</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鼓励我市批零住餐行业提质升级。对成长为规模企业的新注册企业、现有企业分别奖补</w:t>
            </w:r>
            <w:r>
              <w:rPr>
                <w:rStyle w:val="47"/>
                <w:rFonts w:hint="default" w:ascii="Times New Roman" w:hAnsi="Times New Roman" w:eastAsia="宋体" w:cs="Times New Roman"/>
                <w:lang w:val="en-US" w:eastAsia="zh-CN" w:bidi="ar"/>
              </w:rPr>
              <w:t>15</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万元。对批发、零售行业年度销售额前</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名且实现正增长的企业，各奖补</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万元；对住宿、餐饮行业年度营业额前</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名且实现正增长的企业，各奖补</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万元。对批发、零售行业企业年度销售额同比增幅前</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名的，各奖补</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万元；对住宿、餐饮行业企业年度营业额同比增幅前</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名的，各奖补</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万元。对年度销售额达</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亿元以上（含）分别结算的专业市场、批发市场、城市综合体等，因实行统一结算成为规模企业的，奖补</w:t>
            </w:r>
            <w:r>
              <w:rPr>
                <w:rStyle w:val="47"/>
                <w:rFonts w:hint="default" w:ascii="Times New Roman" w:hAnsi="Times New Roman" w:eastAsia="宋体" w:cs="Times New Roman"/>
                <w:lang w:val="en-US" w:eastAsia="zh-CN" w:bidi="ar"/>
              </w:rPr>
              <w:t>30</w:t>
            </w:r>
            <w:r>
              <w:rPr>
                <w:rStyle w:val="46"/>
                <w:rFonts w:hint="default" w:ascii="Times New Roman" w:hAnsi="Times New Roman" w:cs="Times New Roman"/>
                <w:lang w:val="en-US" w:eastAsia="zh-CN" w:bidi="ar"/>
              </w:rPr>
              <w:t>万元。对零售行业年度销售额达</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亿元以上（含）成为规模企业的，一次性奖补</w:t>
            </w:r>
            <w:r>
              <w:rPr>
                <w:rStyle w:val="47"/>
                <w:rFonts w:hint="default" w:ascii="Times New Roman" w:hAnsi="Times New Roman" w:eastAsia="宋体" w:cs="Times New Roman"/>
                <w:lang w:val="en-US" w:eastAsia="zh-CN" w:bidi="ar"/>
              </w:rPr>
              <w:t>20</w:t>
            </w:r>
            <w:r>
              <w:rPr>
                <w:rStyle w:val="46"/>
                <w:rFonts w:hint="default" w:ascii="Times New Roman" w:hAnsi="Times New Roman" w:cs="Times New Roman"/>
                <w:lang w:val="en-US" w:eastAsia="zh-CN" w:bidi="ar"/>
              </w:rPr>
              <w:t>万元。连锁经营并成长为规模企业的，年度每新增</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个销售额（营业额）统计到总部的直营店，奖补</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万元，累计最高不超过</w:t>
            </w:r>
            <w:r>
              <w:rPr>
                <w:rStyle w:val="47"/>
                <w:rFonts w:hint="default" w:ascii="Times New Roman" w:hAnsi="Times New Roman" w:eastAsia="宋体" w:cs="Times New Roman"/>
                <w:lang w:val="en-US" w:eastAsia="zh-CN" w:bidi="ar"/>
              </w:rPr>
              <w:t>20</w:t>
            </w:r>
            <w:r>
              <w:rPr>
                <w:rStyle w:val="46"/>
                <w:rFonts w:hint="default" w:ascii="Times New Roman" w:hAnsi="Times New Roman" w:cs="Times New Roman"/>
                <w:lang w:val="en-US" w:eastAsia="zh-CN" w:bidi="ar"/>
              </w:rPr>
              <w:t>万元。批发、零售行业企业年度入库税额（含因享受国家税收优惠政策免予缴纳的税款金额）前</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名的，各奖补</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万元；住宿、餐饮行业企业年度入库税额前</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名的，各奖补</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万元。批发、零售行业企业年度入库税额同比增幅前</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名的，各奖补</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万元；住宿、餐饮行业企业年度入库税额同比增幅前</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名的，各奖补</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市商务局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44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Fonts w:hint="eastAsia" w:cs="Times New Roman"/>
                <w:i w:val="0"/>
                <w:color w:val="000000"/>
                <w:kern w:val="0"/>
                <w:sz w:val="24"/>
                <w:szCs w:val="24"/>
                <w:u w:val="none"/>
                <w:lang w:val="en-US" w:eastAsia="zh-CN" w:bidi="ar"/>
              </w:rPr>
              <w:t>8</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对符合条件的技术改造项目，根据第三方机构审核的实际设备（软件）投资额，市财政按照最高不超过10%标准给予补助、最高不超过500万元。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市工业和信息化局                                                市财政局</w:t>
            </w:r>
          </w:p>
        </w:tc>
      </w:tr>
      <w:tr>
        <w:tblPrEx>
          <w:tblCellMar>
            <w:top w:w="0" w:type="dxa"/>
            <w:left w:w="57" w:type="dxa"/>
            <w:bottom w:w="0" w:type="dxa"/>
            <w:right w:w="28" w:type="dxa"/>
          </w:tblCellMar>
        </w:tblPrEx>
        <w:trPr>
          <w:trHeight w:val="162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Fonts w:hint="eastAsia" w:cs="Times New Roman"/>
                <w:i w:val="0"/>
                <w:color w:val="000000"/>
                <w:kern w:val="0"/>
                <w:sz w:val="24"/>
                <w:szCs w:val="24"/>
                <w:u w:val="none"/>
                <w:lang w:val="en-US" w:eastAsia="zh-CN" w:bidi="ar"/>
              </w:rPr>
              <w:t>9</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对于营业收入首次突破</w:t>
            </w:r>
            <w:r>
              <w:rPr>
                <w:rStyle w:val="47"/>
                <w:rFonts w:hint="default" w:ascii="Times New Roman" w:hAnsi="Times New Roman" w:eastAsia="宋体" w:cs="Times New Roman"/>
                <w:lang w:val="en-US" w:eastAsia="zh-CN" w:bidi="ar"/>
              </w:rPr>
              <w:t>1000</w:t>
            </w:r>
            <w:r>
              <w:rPr>
                <w:rStyle w:val="46"/>
                <w:rFonts w:hint="default" w:ascii="Times New Roman" w:hAnsi="Times New Roman" w:cs="Times New Roman"/>
                <w:lang w:val="en-US" w:eastAsia="zh-CN" w:bidi="ar"/>
              </w:rPr>
              <w:t>亿元、</w:t>
            </w:r>
            <w:r>
              <w:rPr>
                <w:rStyle w:val="47"/>
                <w:rFonts w:hint="default" w:ascii="Times New Roman" w:hAnsi="Times New Roman" w:eastAsia="宋体" w:cs="Times New Roman"/>
                <w:lang w:val="en-US" w:eastAsia="zh-CN" w:bidi="ar"/>
              </w:rPr>
              <w:t>500</w:t>
            </w:r>
            <w:r>
              <w:rPr>
                <w:rStyle w:val="46"/>
                <w:rFonts w:hint="default" w:ascii="Times New Roman" w:hAnsi="Times New Roman" w:cs="Times New Roman"/>
                <w:lang w:val="en-US" w:eastAsia="zh-CN" w:bidi="ar"/>
              </w:rPr>
              <w:t>亿元、</w:t>
            </w:r>
            <w:r>
              <w:rPr>
                <w:rStyle w:val="47"/>
                <w:rFonts w:hint="default" w:ascii="Times New Roman" w:hAnsi="Times New Roman" w:eastAsia="宋体" w:cs="Times New Roman"/>
                <w:lang w:val="en-US" w:eastAsia="zh-CN" w:bidi="ar"/>
              </w:rPr>
              <w:t>300</w:t>
            </w:r>
            <w:r>
              <w:rPr>
                <w:rStyle w:val="46"/>
                <w:rFonts w:hint="default" w:ascii="Times New Roman" w:hAnsi="Times New Roman" w:cs="Times New Roman"/>
                <w:lang w:val="en-US" w:eastAsia="zh-CN" w:bidi="ar"/>
              </w:rPr>
              <w:t>亿元、</w:t>
            </w:r>
            <w:r>
              <w:rPr>
                <w:rStyle w:val="47"/>
                <w:rFonts w:hint="default" w:ascii="Times New Roman" w:hAnsi="Times New Roman" w:eastAsia="宋体" w:cs="Times New Roman"/>
                <w:lang w:val="en-US" w:eastAsia="zh-CN" w:bidi="ar"/>
              </w:rPr>
              <w:t>200</w:t>
            </w:r>
            <w:r>
              <w:rPr>
                <w:rStyle w:val="46"/>
                <w:rFonts w:hint="default" w:ascii="Times New Roman" w:hAnsi="Times New Roman" w:cs="Times New Roman"/>
                <w:lang w:val="en-US" w:eastAsia="zh-CN" w:bidi="ar"/>
              </w:rPr>
              <w:t>亿元、</w:t>
            </w:r>
            <w:r>
              <w:rPr>
                <w:rStyle w:val="47"/>
                <w:rFonts w:hint="default" w:ascii="Times New Roman" w:hAnsi="Times New Roman" w:eastAsia="宋体" w:cs="Times New Roman"/>
                <w:lang w:val="en-US" w:eastAsia="zh-CN" w:bidi="ar"/>
              </w:rPr>
              <w:t>100</w:t>
            </w:r>
            <w:r>
              <w:rPr>
                <w:rStyle w:val="46"/>
                <w:rFonts w:hint="default" w:ascii="Times New Roman" w:hAnsi="Times New Roman" w:cs="Times New Roman"/>
                <w:lang w:val="en-US" w:eastAsia="zh-CN" w:bidi="ar"/>
              </w:rPr>
              <w:t>亿元、</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亿元的企业，分别奖励企业</w:t>
            </w:r>
            <w:r>
              <w:rPr>
                <w:rStyle w:val="47"/>
                <w:rFonts w:hint="default" w:ascii="Times New Roman" w:hAnsi="Times New Roman" w:eastAsia="宋体" w:cs="Times New Roman"/>
                <w:lang w:val="en-US" w:eastAsia="zh-CN" w:bidi="ar"/>
              </w:rPr>
              <w:t>500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300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200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150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100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33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20</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对主营业务收入、地方财政贡献两项指标年增幅均超过</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的跨越发展计划企业，按照地方财政贡献超过</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部分的</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予以等额奖励，最高不超过</w:t>
            </w:r>
            <w:r>
              <w:rPr>
                <w:rStyle w:val="47"/>
                <w:rFonts w:hint="default" w:ascii="Times New Roman" w:hAnsi="Times New Roman" w:eastAsia="宋体" w:cs="Times New Roman"/>
                <w:lang w:val="en-US" w:eastAsia="zh-CN" w:bidi="ar"/>
              </w:rPr>
              <w:t>200</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40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21</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对连续三年主要经济指标（营业收入、税收地方留成）增幅均超过全市平均水平</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个百分点及以上的规模以上工业企业，按照第三年度税收地方留成（市级）超过企业上年增长部分的</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予以等额奖励，最高不超过</w:t>
            </w:r>
            <w:r>
              <w:rPr>
                <w:rStyle w:val="47"/>
                <w:rFonts w:hint="default" w:ascii="Times New Roman" w:hAnsi="Times New Roman" w:eastAsia="宋体" w:cs="Times New Roman"/>
                <w:lang w:val="en-US" w:eastAsia="zh-CN" w:bidi="ar"/>
              </w:rPr>
              <w:t>200</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0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22</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对通过国家两化融合管理体系贯标评定的企业，给予一次性10万元奖励。</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23</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跨越发展计划企业聘请国内外知名咨询机构，围绕发展战略、合规经营、法务管理、运营体系、激励机制、人力资源等方面开展专项咨询，市财政按照企业实际产生咨询服务费用的</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给予补贴，单个项目最高不超过</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35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24</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鼓励企业自主培养和外聘优秀职业经理人，从市外世界</w:t>
            </w:r>
            <w:r>
              <w:rPr>
                <w:rStyle w:val="47"/>
                <w:rFonts w:hint="default" w:ascii="Times New Roman" w:hAnsi="Times New Roman" w:eastAsia="宋体" w:cs="Times New Roman"/>
                <w:lang w:val="en-US" w:eastAsia="zh-CN" w:bidi="ar"/>
              </w:rPr>
              <w:t>500</w:t>
            </w:r>
            <w:r>
              <w:rPr>
                <w:rStyle w:val="46"/>
                <w:rFonts w:hint="default" w:ascii="Times New Roman" w:hAnsi="Times New Roman" w:cs="Times New Roman"/>
                <w:lang w:val="en-US" w:eastAsia="zh-CN" w:bidi="ar"/>
              </w:rPr>
              <w:t>强企业、中国</w:t>
            </w:r>
            <w:r>
              <w:rPr>
                <w:rStyle w:val="47"/>
                <w:rFonts w:hint="default" w:ascii="Times New Roman" w:hAnsi="Times New Roman" w:eastAsia="宋体" w:cs="Times New Roman"/>
                <w:lang w:val="en-US" w:eastAsia="zh-CN" w:bidi="ar"/>
              </w:rPr>
              <w:t>500</w:t>
            </w:r>
            <w:r>
              <w:rPr>
                <w:rStyle w:val="46"/>
                <w:rFonts w:hint="default" w:ascii="Times New Roman" w:hAnsi="Times New Roman" w:cs="Times New Roman"/>
                <w:lang w:val="en-US" w:eastAsia="zh-CN" w:bidi="ar"/>
              </w:rPr>
              <w:t>强企业全职引进符合《淄博市全职引进优秀职业经理人专项资金申报实施细则》规定条件职业经理人的，根据引进职业经理人的来源，每引进</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人分别给予企业奖励</w:t>
            </w:r>
            <w:r>
              <w:rPr>
                <w:rStyle w:val="47"/>
                <w:rFonts w:hint="default" w:ascii="Times New Roman" w:hAnsi="Times New Roman" w:eastAsia="宋体" w:cs="Times New Roman"/>
                <w:lang w:val="en-US" w:eastAsia="zh-CN" w:bidi="ar"/>
              </w:rPr>
              <w:t>100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51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25</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对列入全市跨越发展计划企业主要负责人，颁发</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淄博优秀企业家荣耀卡</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，享受绿色通道</w:t>
            </w:r>
            <w:r>
              <w:rPr>
                <w:rStyle w:val="47"/>
                <w:rFonts w:hint="default" w:ascii="Times New Roman" w:hAnsi="Times New Roman" w:eastAsia="宋体" w:cs="Times New Roman"/>
                <w:lang w:val="en-US" w:eastAsia="zh-CN" w:bidi="ar"/>
              </w:rPr>
              <w:t>8</w:t>
            </w:r>
            <w:r>
              <w:rPr>
                <w:rStyle w:val="46"/>
                <w:rFonts w:hint="default" w:ascii="Times New Roman" w:hAnsi="Times New Roman" w:cs="Times New Roman"/>
                <w:lang w:val="en-US" w:eastAsia="zh-CN" w:bidi="ar"/>
              </w:rPr>
              <w:t>类事项服务，优先受邀参加市级部门组织的休假疗养；同等条件下优先推荐为</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两代表一委员</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候选人或推荐为中央、省荣誉称号候选人；优先受邀参加党委、政府召开的经济和产业发展类会议。</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81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26</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Style w:val="46"/>
                <w:rFonts w:hint="default" w:ascii="Times New Roman" w:hAnsi="Times New Roman" w:cs="Times New Roman"/>
                <w:lang w:val="en-US" w:eastAsia="zh-CN" w:bidi="ar"/>
              </w:rPr>
              <w:t>新型研发机构引进高层次人才优先使用编制</w:t>
            </w:r>
            <w:r>
              <w:rPr>
                <w:rStyle w:val="47"/>
                <w:rFonts w:hint="default" w:ascii="Times New Roman" w:hAnsi="Times New Roman" w:eastAsia="仿宋_GB2312" w:cs="Times New Roman"/>
                <w:lang w:val="en-US" w:eastAsia="zh-CN" w:bidi="ar"/>
              </w:rPr>
              <w:t>“</w:t>
            </w:r>
            <w:r>
              <w:rPr>
                <w:rStyle w:val="46"/>
                <w:rFonts w:hint="default" w:ascii="Times New Roman" w:hAnsi="Times New Roman" w:cs="Times New Roman"/>
                <w:lang w:val="en-US" w:eastAsia="zh-CN" w:bidi="ar"/>
              </w:rPr>
              <w:t>周转池</w:t>
            </w:r>
            <w:r>
              <w:rPr>
                <w:rStyle w:val="47"/>
                <w:rFonts w:hint="default" w:ascii="Times New Roman" w:hAnsi="Times New Roman" w:eastAsia="仿宋_GB2312" w:cs="Times New Roman"/>
                <w:lang w:val="en-US" w:eastAsia="zh-CN" w:bidi="ar"/>
              </w:rPr>
              <w:t>”</w:t>
            </w:r>
            <w:r>
              <w:rPr>
                <w:rStyle w:val="46"/>
                <w:rFonts w:hint="default" w:ascii="Times New Roman" w:hAnsi="Times New Roman" w:cs="Times New Roman"/>
                <w:lang w:val="en-US" w:eastAsia="zh-CN" w:bidi="ar"/>
              </w:rPr>
              <w:t>。对我市引进的省外人才入选国家级人才工程领军人才和青年人才的，统筹省级及市级财力，分别给予</w:t>
            </w:r>
            <w:r>
              <w:rPr>
                <w:rStyle w:val="47"/>
                <w:rFonts w:hint="default" w:ascii="Times New Roman" w:hAnsi="Times New Roman" w:eastAsia="仿宋_GB2312" w:cs="Times New Roman"/>
                <w:lang w:val="en-US" w:eastAsia="zh-CN" w:bidi="ar"/>
              </w:rPr>
              <w:t>200</w:t>
            </w:r>
            <w:r>
              <w:rPr>
                <w:rStyle w:val="46"/>
                <w:rFonts w:hint="default" w:ascii="Times New Roman" w:hAnsi="Times New Roman" w:cs="Times New Roman"/>
                <w:lang w:val="en-US" w:eastAsia="zh-CN" w:bidi="ar"/>
              </w:rPr>
              <w:t>万元和</w:t>
            </w:r>
            <w:r>
              <w:rPr>
                <w:rStyle w:val="47"/>
                <w:rFonts w:hint="default" w:ascii="Times New Roman" w:hAnsi="Times New Roman" w:eastAsia="仿宋_GB2312" w:cs="Times New Roman"/>
                <w:lang w:val="en-US" w:eastAsia="zh-CN" w:bidi="ar"/>
              </w:rPr>
              <w:t>100</w:t>
            </w:r>
            <w:r>
              <w:rPr>
                <w:rStyle w:val="46"/>
                <w:rFonts w:hint="default" w:ascii="Times New Roman" w:hAnsi="Times New Roman" w:cs="Times New Roman"/>
                <w:lang w:val="en-US" w:eastAsia="zh-CN" w:bidi="ar"/>
              </w:rPr>
              <w:t>万元经费支持。博士后研究人员出站后留淄全职就业或创业的，市财政给予</w:t>
            </w:r>
            <w:r>
              <w:rPr>
                <w:rStyle w:val="47"/>
                <w:rFonts w:hint="default" w:ascii="Times New Roman" w:hAnsi="Times New Roman" w:eastAsia="仿宋_GB2312" w:cs="Times New Roman"/>
                <w:lang w:val="en-US" w:eastAsia="zh-CN" w:bidi="ar"/>
              </w:rPr>
              <w:t>10</w:t>
            </w:r>
            <w:r>
              <w:rPr>
                <w:rStyle w:val="46"/>
                <w:rFonts w:hint="default" w:ascii="Times New Roman" w:hAnsi="Times New Roman" w:cs="Times New Roman"/>
                <w:lang w:val="en-US" w:eastAsia="zh-CN" w:bidi="ar"/>
              </w:rPr>
              <w:t>万元的一次性补贴。</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Style w:val="45"/>
                <w:rFonts w:hint="default" w:ascii="Times New Roman" w:hAnsi="Times New Roman" w:cs="Times New Roman"/>
                <w:lang w:val="en-US" w:eastAsia="zh-CN" w:bidi="ar"/>
              </w:rPr>
              <w:t>市委编办</w:t>
            </w:r>
            <w:r>
              <w:rPr>
                <w:rStyle w:val="44"/>
                <w:rFonts w:hint="default" w:ascii="Times New Roman" w:hAnsi="Times New Roman" w:eastAsia="仿宋_GB2312" w:cs="Times New Roman"/>
                <w:lang w:val="en-US" w:eastAsia="zh-CN" w:bidi="ar"/>
              </w:rPr>
              <w:br w:type="textWrapping"/>
            </w:r>
            <w:r>
              <w:rPr>
                <w:rStyle w:val="45"/>
                <w:rFonts w:hint="default" w:ascii="Times New Roman" w:hAnsi="Times New Roman" w:cs="Times New Roman"/>
                <w:lang w:val="en-US" w:eastAsia="zh-CN" w:bidi="ar"/>
              </w:rPr>
              <w:t>市科技局</w:t>
            </w:r>
            <w:r>
              <w:rPr>
                <w:rStyle w:val="44"/>
                <w:rFonts w:hint="default" w:ascii="Times New Roman" w:hAnsi="Times New Roman" w:eastAsia="仿宋_GB2312" w:cs="Times New Roman"/>
                <w:lang w:val="en-US" w:eastAsia="zh-CN" w:bidi="ar"/>
              </w:rPr>
              <w:br w:type="textWrapping"/>
            </w:r>
            <w:r>
              <w:rPr>
                <w:rStyle w:val="45"/>
                <w:rFonts w:hint="default" w:ascii="Times New Roman" w:hAnsi="Times New Roman" w:cs="Times New Roman"/>
                <w:lang w:val="en-US" w:eastAsia="zh-CN" w:bidi="ar"/>
              </w:rPr>
              <w:t>市人力资源社会保障局</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84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27</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加快新型研发机构培育。强化对上沟通，及时掌握省开展新型研发机构绩效评价工作相关情况，积极争取资金支持。对符合条件的新型研发机构优先推荐省重点实验室、省技术创新中心建设。鼓励我市三级甲等医院根据条件加强基础条件建设，引进培养高层次人才和承担国家、省重点项目。</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市科技局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34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Fonts w:hint="eastAsia" w:cs="Times New Roman"/>
                <w:i w:val="0"/>
                <w:color w:val="000000"/>
                <w:kern w:val="0"/>
                <w:sz w:val="24"/>
                <w:szCs w:val="24"/>
                <w:u w:val="none"/>
                <w:lang w:val="en-US" w:eastAsia="zh-CN" w:bidi="ar"/>
              </w:rPr>
              <w:t>8</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加大省科技创新发展资金的对上争取工作力度，做好沟通汇报工作。在</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氢进万家</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北斗系统</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、智慧化工园区等领域及时跟进科技示范工程申报工作安排，做好筹备申报准备，力争在</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技术攻关</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产业化应用</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科技示范工程申报工作中取得新进展。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市科技局</w:t>
            </w:r>
            <w:r>
              <w:rPr>
                <w:rStyle w:val="44"/>
                <w:rFonts w:hint="default" w:ascii="Times New Roman" w:hAnsi="Times New Roman" w:eastAsia="宋体" w:cs="Times New Roman"/>
                <w:lang w:val="en-US" w:eastAsia="zh-CN" w:bidi="ar"/>
              </w:rPr>
              <w:br w:type="textWrapping"/>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23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Fonts w:hint="eastAsia" w:cs="Times New Roman"/>
                <w:i w:val="0"/>
                <w:color w:val="000000"/>
                <w:kern w:val="0"/>
                <w:sz w:val="24"/>
                <w:szCs w:val="24"/>
                <w:u w:val="none"/>
                <w:lang w:val="en-US" w:eastAsia="zh-CN" w:bidi="ar"/>
              </w:rPr>
              <w:t>9</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Style w:val="46"/>
                <w:rFonts w:hint="default" w:ascii="Times New Roman" w:hAnsi="Times New Roman" w:cs="Times New Roman"/>
                <w:lang w:val="en-US" w:eastAsia="zh-CN" w:bidi="ar"/>
              </w:rPr>
              <w:t>对新列入国家质量标杆和省质量标杆的企业，分别给予</w:t>
            </w:r>
            <w:r>
              <w:rPr>
                <w:rStyle w:val="47"/>
                <w:rFonts w:hint="default" w:ascii="Times New Roman" w:hAnsi="Times New Roman" w:eastAsia="仿宋_GB2312" w:cs="Times New Roman"/>
                <w:lang w:val="en-US" w:eastAsia="zh-CN" w:bidi="ar"/>
              </w:rPr>
              <w:t>100</w:t>
            </w:r>
            <w:r>
              <w:rPr>
                <w:rStyle w:val="46"/>
                <w:rFonts w:hint="default" w:ascii="Times New Roman" w:hAnsi="Times New Roman" w:cs="Times New Roman"/>
                <w:lang w:val="en-US" w:eastAsia="zh-CN" w:bidi="ar"/>
              </w:rPr>
              <w:t>万元、</w:t>
            </w:r>
            <w:r>
              <w:rPr>
                <w:rStyle w:val="47"/>
                <w:rFonts w:hint="default" w:ascii="Times New Roman" w:hAnsi="Times New Roman" w:eastAsia="仿宋_GB2312" w:cs="Times New Roman"/>
                <w:lang w:val="en-US" w:eastAsia="zh-CN" w:bidi="ar"/>
              </w:rPr>
              <w:t>50</w:t>
            </w:r>
            <w:r>
              <w:rPr>
                <w:rStyle w:val="46"/>
                <w:rFonts w:hint="default" w:ascii="Times New Roman" w:hAnsi="Times New Roman" w:cs="Times New Roman"/>
                <w:lang w:val="en-US" w:eastAsia="zh-CN" w:bidi="ar"/>
              </w:rPr>
              <w:t>万元奖励。</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43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30</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实施</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企业家素质提升工程</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，精准制定年度培训计划，以规模以上企业为重点、骨干企业为引领，用</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年时间，分行业、分层次、长期系统地对企业家进行培训。</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535"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5"/>
                <w:rFonts w:hint="default" w:ascii="Times New Roman" w:hAnsi="Times New Roman" w:cs="Times New Roman"/>
                <w:lang w:val="en-US" w:eastAsia="zh-CN" w:bidi="ar"/>
              </w:rPr>
            </w:pPr>
            <w:r>
              <w:rPr>
                <w:rStyle w:val="45"/>
                <w:rFonts w:hint="eastAsia" w:ascii="黑体" w:hAnsi="黑体" w:eastAsia="黑体" w:cs="黑体"/>
                <w:lang w:val="en-US" w:eastAsia="zh-CN" w:bidi="ar"/>
              </w:rPr>
              <w:t>三、保障社会民生</w:t>
            </w:r>
          </w:p>
        </w:tc>
      </w:tr>
      <w:tr>
        <w:tblPrEx>
          <w:tblCellMar>
            <w:top w:w="0" w:type="dxa"/>
            <w:left w:w="57" w:type="dxa"/>
            <w:bottom w:w="0" w:type="dxa"/>
            <w:right w:w="28" w:type="dxa"/>
          </w:tblCellMar>
        </w:tblPrEx>
        <w:trPr>
          <w:trHeight w:val="21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31</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Style w:val="45"/>
                <w:rFonts w:hint="default" w:ascii="Times New Roman" w:hAnsi="Times New Roman" w:cs="Times New Roman"/>
                <w:lang w:val="en-US" w:eastAsia="zh-CN" w:bidi="ar"/>
              </w:rPr>
              <w:t>指导各区县（功能区）做好新就业无房职工的住房保障工作，对新就业无房职工可累积发放不超过</w:t>
            </w:r>
            <w:r>
              <w:rPr>
                <w:rStyle w:val="44"/>
                <w:rFonts w:hint="default" w:ascii="Times New Roman" w:hAnsi="Times New Roman" w:eastAsia="仿宋_GB2312" w:cs="Times New Roman"/>
                <w:lang w:val="en-US" w:eastAsia="zh-CN" w:bidi="ar"/>
              </w:rPr>
              <w:t>36</w:t>
            </w:r>
            <w:r>
              <w:rPr>
                <w:rStyle w:val="45"/>
                <w:rFonts w:hint="default" w:ascii="Times New Roman" w:hAnsi="Times New Roman" w:cs="Times New Roman"/>
                <w:lang w:val="en-US" w:eastAsia="zh-CN" w:bidi="ar"/>
              </w:rPr>
              <w:t>个月的阶段性住房租赁补贴，最低补贴标准不低于</w:t>
            </w:r>
            <w:r>
              <w:rPr>
                <w:rStyle w:val="44"/>
                <w:rFonts w:hint="default" w:ascii="Times New Roman" w:hAnsi="Times New Roman" w:eastAsia="仿宋_GB2312" w:cs="Times New Roman"/>
                <w:lang w:val="en-US" w:eastAsia="zh-CN" w:bidi="ar"/>
              </w:rPr>
              <w:t>300</w:t>
            </w:r>
            <w:r>
              <w:rPr>
                <w:rStyle w:val="45"/>
                <w:rFonts w:hint="default" w:ascii="Times New Roman" w:hAnsi="Times New Roman" w:cs="Times New Roman"/>
                <w:lang w:val="en-US" w:eastAsia="zh-CN" w:bidi="ar"/>
              </w:rPr>
              <w:t>元</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月，承租人个人实际承担的住房租赁费用低于</w:t>
            </w:r>
            <w:r>
              <w:rPr>
                <w:rStyle w:val="44"/>
                <w:rFonts w:hint="default" w:ascii="Times New Roman" w:hAnsi="Times New Roman" w:eastAsia="仿宋_GB2312" w:cs="Times New Roman"/>
                <w:lang w:val="en-US" w:eastAsia="zh-CN" w:bidi="ar"/>
              </w:rPr>
              <w:t>300</w:t>
            </w:r>
            <w:r>
              <w:rPr>
                <w:rStyle w:val="45"/>
                <w:rFonts w:hint="default" w:ascii="Times New Roman" w:hAnsi="Times New Roman" w:cs="Times New Roman"/>
                <w:lang w:val="en-US" w:eastAsia="zh-CN" w:bidi="ar"/>
              </w:rPr>
              <w:t>元</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月的，按照实际承担的费用给予补贴；考虑学历层次、支付能力等因素实行分层级差别化租赁补贴保障，每上调一级上浮标准不低于</w:t>
            </w:r>
            <w:r>
              <w:rPr>
                <w:rStyle w:val="44"/>
                <w:rFonts w:hint="default" w:ascii="Times New Roman" w:hAnsi="Times New Roman" w:eastAsia="仿宋_GB2312" w:cs="Times New Roman"/>
                <w:lang w:val="en-US" w:eastAsia="zh-CN" w:bidi="ar"/>
              </w:rPr>
              <w:t>50</w:t>
            </w:r>
            <w:r>
              <w:rPr>
                <w:rStyle w:val="45"/>
                <w:rFonts w:hint="default" w:ascii="Times New Roman" w:hAnsi="Times New Roman" w:cs="Times New Roman"/>
                <w:lang w:val="en-US" w:eastAsia="zh-CN" w:bidi="ar"/>
              </w:rPr>
              <w:t>元</w:t>
            </w:r>
            <w:r>
              <w:rPr>
                <w:rStyle w:val="44"/>
                <w:rFonts w:hint="default" w:ascii="Times New Roman" w:hAnsi="Times New Roman" w:eastAsia="仿宋_GB2312" w:cs="Times New Roman"/>
                <w:lang w:val="en-US" w:eastAsia="zh-CN" w:bidi="ar"/>
              </w:rPr>
              <w:t>/</w:t>
            </w:r>
            <w:r>
              <w:rPr>
                <w:rStyle w:val="45"/>
                <w:rFonts w:hint="default" w:ascii="Times New Roman" w:hAnsi="Times New Roman" w:cs="Times New Roman"/>
                <w:lang w:val="en-US" w:eastAsia="zh-CN" w:bidi="ar"/>
              </w:rPr>
              <w:t>月；对符合当地住房保障条件员工由用人单位集中申报的，定向配租保障性住房或发放住房租赁补贴。根据省资金保障相关政策，积极做好资金落实工作。</w:t>
            </w:r>
            <w:r>
              <w:rPr>
                <w:rStyle w:val="44"/>
                <w:rFonts w:hint="default" w:ascii="Times New Roman" w:hAnsi="Times New Roman" w:eastAsia="仿宋_GB2312" w:cs="Times New Roman"/>
                <w:lang w:val="en-US" w:eastAsia="zh-CN" w:bidi="ar"/>
              </w:rPr>
              <w:t>2023</w:t>
            </w:r>
            <w:r>
              <w:rPr>
                <w:rStyle w:val="45"/>
                <w:rFonts w:hint="default" w:ascii="Times New Roman" w:hAnsi="Times New Roman" w:cs="Times New Roman"/>
                <w:lang w:val="en-US" w:eastAsia="zh-CN" w:bidi="ar"/>
              </w:rPr>
              <w:t>年向</w:t>
            </w:r>
            <w:r>
              <w:rPr>
                <w:rStyle w:val="44"/>
                <w:rFonts w:hint="default" w:ascii="Times New Roman" w:hAnsi="Times New Roman" w:eastAsia="仿宋_GB2312" w:cs="Times New Roman"/>
                <w:lang w:val="en-US" w:eastAsia="zh-CN" w:bidi="ar"/>
              </w:rPr>
              <w:t>2212</w:t>
            </w:r>
            <w:r>
              <w:rPr>
                <w:rStyle w:val="45"/>
                <w:rFonts w:hint="default" w:ascii="Times New Roman" w:hAnsi="Times New Roman" w:cs="Times New Roman"/>
                <w:lang w:val="en-US" w:eastAsia="zh-CN" w:bidi="ar"/>
              </w:rPr>
              <w:t>户发放租赁补贴。</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市住房城乡建设局</w:t>
            </w:r>
          </w:p>
        </w:tc>
      </w:tr>
      <w:tr>
        <w:tblPrEx>
          <w:tblCellMar>
            <w:top w:w="0" w:type="dxa"/>
            <w:left w:w="57" w:type="dxa"/>
            <w:bottom w:w="0" w:type="dxa"/>
            <w:right w:w="28" w:type="dxa"/>
          </w:tblCellMar>
        </w:tblPrEx>
        <w:trPr>
          <w:trHeight w:val="17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32</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对新建综合性书店（书房、书吧）或引进知名品牌书店营业面积在</w:t>
            </w:r>
            <w:r>
              <w:rPr>
                <w:rStyle w:val="47"/>
                <w:rFonts w:hint="default" w:ascii="Times New Roman" w:hAnsi="Times New Roman" w:eastAsia="宋体" w:cs="Times New Roman"/>
                <w:lang w:val="en-US" w:eastAsia="zh-CN" w:bidi="ar"/>
              </w:rPr>
              <w:t>100</w:t>
            </w:r>
            <w:r>
              <w:rPr>
                <w:rStyle w:val="46"/>
                <w:rFonts w:hint="default" w:ascii="Times New Roman" w:hAnsi="Times New Roman" w:cs="Times New Roman"/>
                <w:lang w:val="en-US" w:eastAsia="zh-CN" w:bidi="ar"/>
              </w:rPr>
              <w:t>平方米以上、店内图书</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万册以上的，根据建设规模和运营情况给予最高不超过</w:t>
            </w:r>
            <w:r>
              <w:rPr>
                <w:rStyle w:val="47"/>
                <w:rFonts w:hint="default" w:ascii="Times New Roman" w:hAnsi="Times New Roman" w:eastAsia="宋体" w:cs="Times New Roman"/>
                <w:lang w:val="en-US" w:eastAsia="zh-CN" w:bidi="ar"/>
              </w:rPr>
              <w:t>20</w:t>
            </w:r>
            <w:r>
              <w:rPr>
                <w:rStyle w:val="46"/>
                <w:rFonts w:hint="default" w:ascii="Times New Roman" w:hAnsi="Times New Roman" w:cs="Times New Roman"/>
                <w:lang w:val="en-US" w:eastAsia="zh-CN" w:bidi="ar"/>
              </w:rPr>
              <w:t>万元一次性补助；对创建为全省夜间文旅消费集聚区、全省夜间旅游发展示范区的，分别给予最高不超过</w:t>
            </w:r>
            <w:r>
              <w:rPr>
                <w:rStyle w:val="47"/>
                <w:rFonts w:hint="default" w:ascii="Times New Roman" w:hAnsi="Times New Roman" w:eastAsia="宋体" w:cs="Times New Roman"/>
                <w:lang w:val="en-US" w:eastAsia="zh-CN" w:bidi="ar"/>
              </w:rPr>
              <w:t>30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20</w:t>
            </w:r>
            <w:r>
              <w:rPr>
                <w:rStyle w:val="46"/>
                <w:rFonts w:hint="default" w:ascii="Times New Roman" w:hAnsi="Times New Roman" w:cs="Times New Roman"/>
                <w:lang w:val="en-US" w:eastAsia="zh-CN" w:bidi="ar"/>
              </w:rPr>
              <w:t>万元的一次性奖励。政策有效期截止到</w:t>
            </w:r>
            <w:r>
              <w:rPr>
                <w:rStyle w:val="47"/>
                <w:rFonts w:hint="default" w:ascii="Times New Roman" w:hAnsi="Times New Roman" w:eastAsia="宋体" w:cs="Times New Roman"/>
                <w:lang w:val="en-US" w:eastAsia="zh-CN" w:bidi="ar"/>
              </w:rPr>
              <w:t>2023</w:t>
            </w:r>
            <w:r>
              <w:rPr>
                <w:rStyle w:val="46"/>
                <w:rFonts w:hint="default" w:ascii="Times New Roman" w:hAnsi="Times New Roman" w:cs="Times New Roman"/>
                <w:lang w:val="en-US" w:eastAsia="zh-CN" w:bidi="ar"/>
              </w:rPr>
              <w:t>年</w:t>
            </w:r>
            <w:r>
              <w:rPr>
                <w:rStyle w:val="47"/>
                <w:rFonts w:hint="default" w:ascii="Times New Roman" w:hAnsi="Times New Roman" w:eastAsia="宋体" w:cs="Times New Roman"/>
                <w:lang w:val="en-US" w:eastAsia="zh-CN" w:bidi="ar"/>
              </w:rPr>
              <w:t>8</w:t>
            </w:r>
            <w:r>
              <w:rPr>
                <w:rStyle w:val="46"/>
                <w:rFonts w:hint="default" w:ascii="Times New Roman" w:hAnsi="Times New Roman" w:cs="Times New Roman"/>
                <w:lang w:val="en-US" w:eastAsia="zh-CN" w:bidi="ar"/>
              </w:rPr>
              <w:t>月</w:t>
            </w:r>
            <w:r>
              <w:rPr>
                <w:rStyle w:val="47"/>
                <w:rFonts w:hint="default" w:ascii="Times New Roman" w:hAnsi="Times New Roman" w:eastAsia="宋体" w:cs="Times New Roman"/>
                <w:lang w:val="en-US" w:eastAsia="zh-CN" w:bidi="ar"/>
              </w:rPr>
              <w:t>31</w:t>
            </w:r>
            <w:r>
              <w:rPr>
                <w:rStyle w:val="46"/>
                <w:rFonts w:hint="default" w:ascii="Times New Roman" w:hAnsi="Times New Roman" w:cs="Times New Roman"/>
                <w:lang w:val="en-US" w:eastAsia="zh-CN" w:bidi="ar"/>
              </w:rPr>
              <w:t>日。</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cs="Times New Roman"/>
                <w:lang w:val="en-US" w:eastAsia="zh-CN" w:bidi="ar"/>
              </w:rPr>
              <w:t>市文化和旅游局</w:t>
            </w:r>
            <w:r>
              <w:rPr>
                <w:rStyle w:val="49"/>
                <w:rFonts w:hint="default" w:ascii="Times New Roman" w:hAnsi="Times New Roman" w:eastAsia="宋体" w:cs="Times New Roman"/>
                <w:lang w:val="en-US" w:eastAsia="zh-CN" w:bidi="ar"/>
              </w:rPr>
              <w:t xml:space="preserve">                                   </w:t>
            </w:r>
            <w:r>
              <w:rPr>
                <w:rStyle w:val="48"/>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54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33</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对吸纳离校</w:t>
            </w:r>
            <w:r>
              <w:rPr>
                <w:rStyle w:val="47"/>
                <w:rFonts w:hint="default" w:ascii="Times New Roman" w:hAnsi="Times New Roman" w:eastAsia="宋体" w:cs="Times New Roman"/>
                <w:lang w:val="en-US" w:eastAsia="zh-CN" w:bidi="ar"/>
              </w:rPr>
              <w:t>3</w:t>
            </w:r>
            <w:r>
              <w:rPr>
                <w:rStyle w:val="46"/>
                <w:rFonts w:hint="default" w:ascii="Times New Roman" w:hAnsi="Times New Roman" w:cs="Times New Roman"/>
                <w:lang w:val="en-US" w:eastAsia="zh-CN" w:bidi="ar"/>
              </w:rPr>
              <w:t>年内有见习意愿的高校毕业生和处于失业状态的</w:t>
            </w:r>
            <w:r>
              <w:rPr>
                <w:rStyle w:val="47"/>
                <w:rFonts w:hint="default" w:ascii="Times New Roman" w:hAnsi="Times New Roman" w:eastAsia="宋体" w:cs="Times New Roman"/>
                <w:lang w:val="en-US" w:eastAsia="zh-CN" w:bidi="ar"/>
              </w:rPr>
              <w:t>16</w:t>
            </w:r>
            <w:r>
              <w:rPr>
                <w:rStyle w:val="47"/>
                <w:rFonts w:hint="eastAsia" w:cs="Times New Roman"/>
                <w:lang w:val="en-US" w:eastAsia="zh-CN" w:bidi="ar"/>
              </w:rPr>
              <w:t>—</w:t>
            </w:r>
            <w:r>
              <w:rPr>
                <w:rStyle w:val="47"/>
                <w:rFonts w:hint="default" w:ascii="Times New Roman" w:hAnsi="Times New Roman" w:eastAsia="宋体" w:cs="Times New Roman"/>
                <w:lang w:val="en-US" w:eastAsia="zh-CN" w:bidi="ar"/>
              </w:rPr>
              <w:t>24</w:t>
            </w:r>
            <w:r>
              <w:rPr>
                <w:rStyle w:val="46"/>
                <w:rFonts w:hint="default" w:ascii="Times New Roman" w:hAnsi="Times New Roman" w:cs="Times New Roman"/>
                <w:lang w:val="en-US" w:eastAsia="zh-CN" w:bidi="ar"/>
              </w:rPr>
              <w:t>周岁青年参加就业见习，支付见习人员见习期间基本生活费（不低于当地最低工资标准）并为见习人员办理人身意外伤害保险的见习单位，按照当地最低工资标准的</w:t>
            </w:r>
            <w:r>
              <w:rPr>
                <w:rStyle w:val="47"/>
                <w:rFonts w:hint="default" w:ascii="Times New Roman" w:hAnsi="Times New Roman" w:eastAsia="宋体" w:cs="Times New Roman"/>
                <w:lang w:val="en-US" w:eastAsia="zh-CN" w:bidi="ar"/>
              </w:rPr>
              <w:t>60%</w:t>
            </w:r>
            <w:r>
              <w:rPr>
                <w:rStyle w:val="46"/>
                <w:rFonts w:hint="default" w:ascii="Times New Roman" w:hAnsi="Times New Roman" w:cs="Times New Roman"/>
                <w:lang w:val="en-US" w:eastAsia="zh-CN" w:bidi="ar"/>
              </w:rPr>
              <w:t>给予见习单位就业见习补贴。如见习期满留用率达到</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以上，见习补贴标准提高至当地最低工资标准的</w:t>
            </w:r>
            <w:r>
              <w:rPr>
                <w:rStyle w:val="47"/>
                <w:rFonts w:hint="default" w:ascii="Times New Roman" w:hAnsi="Times New Roman" w:eastAsia="宋体" w:cs="Times New Roman"/>
                <w:lang w:val="en-US" w:eastAsia="zh-CN" w:bidi="ar"/>
              </w:rPr>
              <w:t>70%</w:t>
            </w:r>
            <w:r>
              <w:rPr>
                <w:rStyle w:val="46"/>
                <w:rFonts w:hint="default" w:ascii="Times New Roman" w:hAnsi="Times New Roman" w:cs="Times New Roman"/>
                <w:lang w:val="en-US" w:eastAsia="zh-CN" w:bidi="ar"/>
              </w:rPr>
              <w:t>。</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市人力资源社会保障局</w:t>
            </w:r>
          </w:p>
        </w:tc>
      </w:tr>
      <w:tr>
        <w:tblPrEx>
          <w:tblCellMar>
            <w:top w:w="0" w:type="dxa"/>
            <w:left w:w="57" w:type="dxa"/>
            <w:bottom w:w="0" w:type="dxa"/>
            <w:right w:w="28" w:type="dxa"/>
          </w:tblCellMar>
        </w:tblPrEx>
        <w:trPr>
          <w:trHeight w:val="535"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5"/>
                <w:rFonts w:hint="default" w:ascii="Times New Roman" w:hAnsi="Times New Roman" w:cs="Times New Roman"/>
                <w:lang w:val="en-US" w:eastAsia="zh-CN" w:bidi="ar"/>
              </w:rPr>
            </w:pPr>
            <w:r>
              <w:rPr>
                <w:rStyle w:val="45"/>
                <w:rFonts w:hint="eastAsia" w:ascii="黑体" w:hAnsi="黑体" w:eastAsia="黑体" w:cs="黑体"/>
                <w:lang w:val="en-US" w:eastAsia="zh-CN" w:bidi="ar"/>
              </w:rPr>
              <w:t>四、培育壮大有效需求</w:t>
            </w:r>
          </w:p>
        </w:tc>
      </w:tr>
      <w:tr>
        <w:tblPrEx>
          <w:tblCellMar>
            <w:top w:w="0" w:type="dxa"/>
            <w:left w:w="57" w:type="dxa"/>
            <w:bottom w:w="0" w:type="dxa"/>
            <w:right w:w="28" w:type="dxa"/>
          </w:tblCellMar>
        </w:tblPrEx>
        <w:trPr>
          <w:trHeight w:val="15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34</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统筹一定比例的地方政府专项债券资金，优先支持和保障现代水网、综合立体交通网、现代物流网、能源保障网、市政公用设施网、新型基础设施网、农村基础设施网等</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七网</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项目建设。其中，对列入省、市重大决策部署的</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七网</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建设项目，待达到发行条件后，债券资金实行</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点供</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，优先保障项目建设资金需求。</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市发展改革委</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1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35</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加快推动院士工作站建设，吸引中国科学院、中国工程院及海外院士来我市创新创业。对企事业单位新建院士工作站，建站给予</w:t>
            </w:r>
            <w:r>
              <w:rPr>
                <w:rStyle w:val="47"/>
                <w:rFonts w:hint="default" w:ascii="Times New Roman" w:hAnsi="Times New Roman" w:eastAsia="宋体" w:cs="Times New Roman"/>
                <w:lang w:val="en-US" w:eastAsia="zh-CN" w:bidi="ar"/>
              </w:rPr>
              <w:t>30</w:t>
            </w:r>
            <w:r>
              <w:rPr>
                <w:rStyle w:val="46"/>
                <w:rFonts w:hint="default" w:ascii="Times New Roman" w:hAnsi="Times New Roman" w:cs="Times New Roman"/>
                <w:lang w:val="en-US" w:eastAsia="zh-CN" w:bidi="ar"/>
              </w:rPr>
              <w:t>万元支持，根据运行情况和成果转化成效，最高支持</w:t>
            </w:r>
            <w:r>
              <w:rPr>
                <w:rStyle w:val="47"/>
                <w:rFonts w:hint="default" w:ascii="Times New Roman" w:hAnsi="Times New Roman" w:eastAsia="宋体" w:cs="Times New Roman"/>
                <w:lang w:val="en-US" w:eastAsia="zh-CN" w:bidi="ar"/>
              </w:rPr>
              <w:t>100</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市科技局</w:t>
            </w:r>
          </w:p>
        </w:tc>
      </w:tr>
      <w:tr>
        <w:tblPrEx>
          <w:tblCellMar>
            <w:top w:w="0" w:type="dxa"/>
            <w:left w:w="57" w:type="dxa"/>
            <w:bottom w:w="0" w:type="dxa"/>
            <w:right w:w="28" w:type="dxa"/>
          </w:tblCellMar>
        </w:tblPrEx>
        <w:trPr>
          <w:trHeight w:val="10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36</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对新认定的国家级、省级科技企业孵化器，市财政分别给予最高</w:t>
            </w:r>
            <w:r>
              <w:rPr>
                <w:rStyle w:val="47"/>
                <w:rFonts w:hint="default" w:ascii="Times New Roman" w:hAnsi="Times New Roman" w:eastAsia="宋体" w:cs="Times New Roman"/>
                <w:lang w:val="en-US" w:eastAsia="zh-CN" w:bidi="ar"/>
              </w:rPr>
              <w:t>200</w:t>
            </w:r>
            <w:r>
              <w:rPr>
                <w:rStyle w:val="46"/>
                <w:rFonts w:hint="default" w:ascii="Times New Roman" w:hAnsi="Times New Roman" w:cs="Times New Roman"/>
                <w:lang w:val="en-US" w:eastAsia="zh-CN" w:bidi="ar"/>
              </w:rPr>
              <w:t>万元和</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万元奖励。</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市科技局</w:t>
            </w:r>
          </w:p>
        </w:tc>
      </w:tr>
      <w:tr>
        <w:tblPrEx>
          <w:tblCellMar>
            <w:top w:w="0" w:type="dxa"/>
            <w:left w:w="57" w:type="dxa"/>
            <w:bottom w:w="0" w:type="dxa"/>
            <w:right w:w="28" w:type="dxa"/>
          </w:tblCellMar>
        </w:tblPrEx>
        <w:trPr>
          <w:trHeight w:val="600"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rPr>
                <w:rStyle w:val="45"/>
                <w:rFonts w:hint="eastAsia" w:ascii="黑体" w:hAnsi="黑体" w:eastAsia="黑体" w:cs="黑体"/>
                <w:sz w:val="24"/>
                <w:szCs w:val="24"/>
                <w:lang w:val="en-US" w:eastAsia="zh-CN" w:bidi="ar"/>
              </w:rPr>
            </w:pPr>
            <w:r>
              <w:rPr>
                <w:rFonts w:hint="eastAsia" w:ascii="黑体" w:hAnsi="黑体" w:eastAsia="黑体" w:cs="黑体"/>
                <w:color w:val="000000"/>
                <w:kern w:val="0"/>
                <w:sz w:val="24"/>
                <w:szCs w:val="24"/>
                <w:lang w:val="en-US" w:eastAsia="zh-CN" w:bidi="ar"/>
              </w:rPr>
              <w:t>五、加快新旧动能转换</w:t>
            </w:r>
          </w:p>
        </w:tc>
      </w:tr>
      <w:tr>
        <w:tblPrEx>
          <w:tblCellMar>
            <w:top w:w="0" w:type="dxa"/>
            <w:left w:w="57" w:type="dxa"/>
            <w:bottom w:w="0" w:type="dxa"/>
            <w:right w:w="28" w:type="dxa"/>
          </w:tblCellMar>
        </w:tblPrEx>
        <w:trPr>
          <w:trHeight w:val="8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落实职称政策和标准条件，支持</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专精特新</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中小企业和制造业单项冠军专业技术人才申报职称。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市人力资源社会保障局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134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强化绿色通道服务，为我市符合《淄博市高层次人才分类目录》的人才办理</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淄博精英卡</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，强化</w:t>
            </w:r>
            <w:r>
              <w:rPr>
                <w:rStyle w:val="47"/>
                <w:rFonts w:hint="default" w:ascii="Times New Roman" w:hAnsi="Times New Roman" w:eastAsia="宋体" w:cs="Times New Roman"/>
                <w:lang w:val="en-US" w:eastAsia="zh-CN" w:bidi="ar"/>
              </w:rPr>
              <w:t>19</w:t>
            </w:r>
            <w:r>
              <w:rPr>
                <w:rStyle w:val="46"/>
                <w:rFonts w:hint="default" w:ascii="Times New Roman" w:hAnsi="Times New Roman" w:cs="Times New Roman"/>
                <w:lang w:val="en-US" w:eastAsia="zh-CN" w:bidi="ar"/>
              </w:rPr>
              <w:t>类</w:t>
            </w:r>
            <w:r>
              <w:rPr>
                <w:rStyle w:val="47"/>
                <w:rFonts w:hint="default" w:ascii="Times New Roman" w:hAnsi="Times New Roman" w:eastAsia="宋体" w:cs="Times New Roman"/>
                <w:lang w:val="en-US" w:eastAsia="zh-CN" w:bidi="ar"/>
              </w:rPr>
              <w:t>28</w:t>
            </w:r>
            <w:r>
              <w:rPr>
                <w:rStyle w:val="46"/>
                <w:rFonts w:hint="default" w:ascii="Times New Roman" w:hAnsi="Times New Roman" w:cs="Times New Roman"/>
                <w:lang w:val="en-US" w:eastAsia="zh-CN" w:bidi="ar"/>
              </w:rPr>
              <w:t>项绿色通道服务落实。</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Style w:val="45"/>
                <w:rFonts w:hint="default" w:ascii="Times New Roman" w:hAnsi="Times New Roman" w:cs="Times New Roman"/>
                <w:lang w:val="en-US" w:eastAsia="zh-CN" w:bidi="ar"/>
              </w:rPr>
              <w:t>市人力资源社会保障局</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市发展改革委</w:t>
            </w:r>
          </w:p>
        </w:tc>
      </w:tr>
      <w:tr>
        <w:tblPrEx>
          <w:tblCellMar>
            <w:top w:w="0" w:type="dxa"/>
            <w:left w:w="57" w:type="dxa"/>
            <w:bottom w:w="0" w:type="dxa"/>
            <w:right w:w="28" w:type="dxa"/>
          </w:tblCellMar>
        </w:tblPrEx>
        <w:trPr>
          <w:trHeight w:val="145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开展全市农作物种质资源普查、收集、鉴定、保存，全面摸清我市农作物种质资源家底，建立淄博市农作物种质资源圃（库）信息名录。推动种子企业和农业科研机构开展主要农作物新品种选育，推荐</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个以上小麦、玉米新品种参加国家、省级农作物新品种审定试验。</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市农业农村局</w:t>
            </w:r>
          </w:p>
        </w:tc>
      </w:tr>
      <w:tr>
        <w:tblPrEx>
          <w:tblCellMar>
            <w:top w:w="0" w:type="dxa"/>
            <w:left w:w="57" w:type="dxa"/>
            <w:bottom w:w="0" w:type="dxa"/>
            <w:right w:w="28" w:type="dxa"/>
          </w:tblCellMar>
        </w:tblPrEx>
        <w:trPr>
          <w:trHeight w:val="157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组织引导区县积极争创省级“现代农业强县”，从农业综合实力、产业体系、生产体系、经营体系、“一票否决”事项方面，全面分析研究各区县年度评定指标数据，从优推荐区县进行申报。对申报成功的“现代农业强县”，及时拨付省级财政支持资金，用于扶持农业生产发展及相关设施装备建设。</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市农业农村局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141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首次认定的瞪羚企业给予一次性50万元入选奖励。对于首次获得国家权威机构榜单或省、市认定的市内准独角兽企业、独角兽企业，分别给予500万元、1000万元资金扶持。经认定的哪吒企业，享受准独角兽企业优惠政策（已享受准独角兽企业优惠政策的不再重复享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市工业和信息化局</w:t>
            </w:r>
          </w:p>
        </w:tc>
      </w:tr>
      <w:tr>
        <w:tblPrEx>
          <w:tblCellMar>
            <w:top w:w="0" w:type="dxa"/>
            <w:left w:w="57" w:type="dxa"/>
            <w:bottom w:w="0" w:type="dxa"/>
            <w:right w:w="28" w:type="dxa"/>
          </w:tblCellMar>
        </w:tblPrEx>
        <w:trPr>
          <w:trHeight w:val="595"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5"/>
                <w:rFonts w:hint="default" w:ascii="Times New Roman" w:hAnsi="Times New Roman" w:cs="Times New Roman"/>
                <w:lang w:val="en-US" w:eastAsia="zh-CN" w:bidi="ar"/>
              </w:rPr>
            </w:pPr>
            <w:r>
              <w:rPr>
                <w:rStyle w:val="45"/>
                <w:rFonts w:hint="eastAsia" w:ascii="黑体" w:hAnsi="黑体" w:eastAsia="黑体" w:cs="黑体"/>
                <w:lang w:val="en-US" w:eastAsia="zh-CN" w:bidi="ar"/>
              </w:rPr>
              <w:t>六、加快新型城镇化建设</w:t>
            </w:r>
          </w:p>
        </w:tc>
      </w:tr>
      <w:tr>
        <w:tblPrEx>
          <w:tblCellMar>
            <w:top w:w="0" w:type="dxa"/>
            <w:left w:w="57" w:type="dxa"/>
            <w:bottom w:w="0" w:type="dxa"/>
            <w:right w:w="28" w:type="dxa"/>
          </w:tblCellMar>
        </w:tblPrEx>
        <w:trPr>
          <w:trHeight w:val="11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开展城市建成区雨污管网分流改造，</w:t>
            </w:r>
            <w:r>
              <w:rPr>
                <w:rStyle w:val="44"/>
                <w:rFonts w:hint="default" w:ascii="Times New Roman" w:hAnsi="Times New Roman" w:eastAsia="宋体" w:cs="Times New Roman"/>
                <w:lang w:val="en-US" w:eastAsia="zh-CN" w:bidi="ar"/>
              </w:rPr>
              <w:t>2023</w:t>
            </w:r>
            <w:r>
              <w:rPr>
                <w:rStyle w:val="45"/>
                <w:rFonts w:hint="default" w:ascii="Times New Roman" w:hAnsi="Times New Roman" w:cs="Times New Roman"/>
                <w:lang w:val="en-US" w:eastAsia="zh-CN" w:bidi="ar"/>
              </w:rPr>
              <w:t>年基本完成现有城市建成区雨污合流管网分流改造。积极对上争取省级财政奖补资金，组织推荐我市符合条件的区县争取省级督查激励支持。</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市住房城乡建设局</w:t>
            </w:r>
          </w:p>
        </w:tc>
      </w:tr>
      <w:tr>
        <w:tblPrEx>
          <w:tblCellMar>
            <w:top w:w="0" w:type="dxa"/>
            <w:left w:w="57" w:type="dxa"/>
            <w:bottom w:w="0" w:type="dxa"/>
            <w:right w:w="28" w:type="dxa"/>
          </w:tblCellMar>
        </w:tblPrEx>
        <w:trPr>
          <w:trHeight w:val="114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积极对上争取中央、省级财政资金，统筹安排专项债券等市级财政资金，支持老旧小区改造。2023年，全市计划开工棚户区改造项目8个、3717套，实施城镇老旧小区项目38个、4.4万户。</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45"/>
                <w:rFonts w:hint="default" w:ascii="Times New Roman" w:hAnsi="Times New Roman" w:cs="Times New Roman"/>
                <w:lang w:val="en-US" w:eastAsia="zh-CN" w:bidi="ar"/>
              </w:rPr>
            </w:pPr>
            <w:r>
              <w:rPr>
                <w:rStyle w:val="45"/>
                <w:rFonts w:hint="default" w:ascii="Times New Roman" w:hAnsi="Times New Roman" w:cs="Times New Roman"/>
                <w:lang w:val="en-US" w:eastAsia="zh-CN" w:bidi="ar"/>
              </w:rPr>
              <w:t>市住房城乡建设局</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市发展改革委</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r>
              <w:rPr>
                <w:rStyle w:val="44"/>
                <w:rFonts w:hint="default" w:ascii="Times New Roman" w:hAnsi="Times New Roman" w:eastAsia="宋体" w:cs="Times New Roman"/>
                <w:lang w:val="en-US" w:eastAsia="zh-CN" w:bidi="ar"/>
              </w:rPr>
              <w:t xml:space="preserve">                                     </w:t>
            </w:r>
          </w:p>
        </w:tc>
      </w:tr>
      <w:tr>
        <w:tblPrEx>
          <w:tblCellMar>
            <w:top w:w="0" w:type="dxa"/>
            <w:left w:w="57" w:type="dxa"/>
            <w:bottom w:w="0" w:type="dxa"/>
            <w:right w:w="28" w:type="dxa"/>
          </w:tblCellMar>
        </w:tblPrEx>
        <w:trPr>
          <w:trHeight w:val="9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7"/>
                <w:rFonts w:hint="default" w:ascii="Times New Roman" w:hAnsi="Times New Roman" w:eastAsia="宋体" w:cs="Times New Roman"/>
                <w:lang w:val="en-US" w:eastAsia="zh-CN" w:bidi="ar"/>
              </w:rPr>
              <w:t>2023</w:t>
            </w:r>
            <w:r>
              <w:rPr>
                <w:rStyle w:val="46"/>
                <w:rFonts w:hint="default" w:ascii="Times New Roman" w:hAnsi="Times New Roman" w:cs="Times New Roman"/>
                <w:lang w:val="en-US" w:eastAsia="zh-CN" w:bidi="ar"/>
              </w:rPr>
              <w:t>年强化农村公路建设养护奖补资金保障，计划完成新改建农村公路</w:t>
            </w:r>
            <w:r>
              <w:rPr>
                <w:rStyle w:val="47"/>
                <w:rFonts w:hint="default" w:ascii="Times New Roman" w:hAnsi="Times New Roman" w:eastAsia="宋体" w:cs="Times New Roman"/>
                <w:lang w:val="en-US" w:eastAsia="zh-CN" w:bidi="ar"/>
              </w:rPr>
              <w:t>260</w:t>
            </w:r>
            <w:r>
              <w:rPr>
                <w:rStyle w:val="46"/>
                <w:rFonts w:hint="default" w:ascii="Times New Roman" w:hAnsi="Times New Roman" w:cs="Times New Roman"/>
                <w:lang w:val="en-US" w:eastAsia="zh-CN" w:bidi="ar"/>
              </w:rPr>
              <w:t>公里，实施养护工程</w:t>
            </w:r>
            <w:r>
              <w:rPr>
                <w:rStyle w:val="47"/>
                <w:rFonts w:hint="default" w:ascii="Times New Roman" w:hAnsi="Times New Roman" w:eastAsia="宋体" w:cs="Times New Roman"/>
                <w:lang w:val="en-US" w:eastAsia="zh-CN" w:bidi="ar"/>
              </w:rPr>
              <w:t>720</w:t>
            </w:r>
            <w:r>
              <w:rPr>
                <w:rStyle w:val="46"/>
                <w:rFonts w:hint="default" w:ascii="Times New Roman" w:hAnsi="Times New Roman" w:cs="Times New Roman"/>
                <w:lang w:val="en-US" w:eastAsia="zh-CN" w:bidi="ar"/>
              </w:rPr>
              <w:t>公里，改造完成危旧桥梁</w:t>
            </w:r>
            <w:r>
              <w:rPr>
                <w:rStyle w:val="47"/>
                <w:rFonts w:hint="default" w:ascii="Times New Roman" w:hAnsi="Times New Roman" w:eastAsia="宋体" w:cs="Times New Roman"/>
                <w:lang w:val="en-US" w:eastAsia="zh-CN" w:bidi="ar"/>
              </w:rPr>
              <w:t>7</w:t>
            </w:r>
            <w:r>
              <w:rPr>
                <w:rStyle w:val="46"/>
                <w:rFonts w:hint="default" w:ascii="Times New Roman" w:hAnsi="Times New Roman" w:cs="Times New Roman"/>
                <w:lang w:val="en-US" w:eastAsia="zh-CN" w:bidi="ar"/>
              </w:rPr>
              <w:t>座，实现村道三级及以上安保工程</w:t>
            </w:r>
            <w:r>
              <w:rPr>
                <w:rStyle w:val="47"/>
                <w:rFonts w:hint="default" w:ascii="Times New Roman" w:hAnsi="Times New Roman" w:eastAsia="宋体" w:cs="Times New Roman"/>
                <w:lang w:val="en-US" w:eastAsia="zh-CN" w:bidi="ar"/>
              </w:rPr>
              <w:t>150</w:t>
            </w:r>
            <w:r>
              <w:rPr>
                <w:rStyle w:val="46"/>
                <w:rFonts w:hint="default" w:ascii="Times New Roman" w:hAnsi="Times New Roman" w:cs="Times New Roman"/>
                <w:lang w:val="en-US" w:eastAsia="zh-CN" w:bidi="ar"/>
              </w:rPr>
              <w:t>公里。</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市交通运输局</w:t>
            </w:r>
            <w:r>
              <w:rPr>
                <w:rStyle w:val="47"/>
                <w:rFonts w:hint="default" w:ascii="Times New Roman" w:hAnsi="Times New Roman" w:eastAsia="宋体" w:cs="Times New Roman"/>
                <w:lang w:val="en-US" w:eastAsia="zh-CN" w:bidi="ar"/>
              </w:rPr>
              <w:t xml:space="preserve">                              </w:t>
            </w:r>
            <w:r>
              <w:rPr>
                <w:rStyle w:val="46"/>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605"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6"/>
                <w:rFonts w:hint="default" w:ascii="Times New Roman" w:hAnsi="Times New Roman" w:cs="Times New Roman"/>
                <w:lang w:val="en-US" w:eastAsia="zh-CN" w:bidi="ar"/>
              </w:rPr>
            </w:pPr>
            <w:r>
              <w:rPr>
                <w:rStyle w:val="46"/>
                <w:rFonts w:hint="eastAsia" w:ascii="黑体" w:hAnsi="黑体" w:eastAsia="黑体" w:cs="黑体"/>
                <w:lang w:val="en-US" w:eastAsia="zh-CN" w:bidi="ar"/>
              </w:rPr>
              <w:t>七、深化改革开放</w:t>
            </w:r>
          </w:p>
        </w:tc>
      </w:tr>
      <w:tr>
        <w:tblPrEx>
          <w:tblCellMar>
            <w:top w:w="0" w:type="dxa"/>
            <w:left w:w="57" w:type="dxa"/>
            <w:bottom w:w="0" w:type="dxa"/>
            <w:right w:w="28" w:type="dxa"/>
          </w:tblCellMar>
        </w:tblPrEx>
        <w:trPr>
          <w:trHeight w:val="22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开展创业创新保险试点工作。主要包含企业研发创新保险和创业失败补偿保险两类保险产品。省级及以上高层次人才创（领）办企业投保企业研发创新保险，按保费</w:t>
            </w:r>
            <w:r>
              <w:rPr>
                <w:rStyle w:val="47"/>
                <w:rFonts w:hint="default" w:ascii="Times New Roman" w:hAnsi="Times New Roman" w:eastAsia="宋体" w:cs="Times New Roman"/>
                <w:lang w:val="en-US" w:eastAsia="zh-CN" w:bidi="ar"/>
              </w:rPr>
              <w:t>100%</w:t>
            </w:r>
            <w:r>
              <w:rPr>
                <w:rStyle w:val="46"/>
                <w:rFonts w:hint="default" w:ascii="Times New Roman" w:hAnsi="Times New Roman" w:cs="Times New Roman"/>
                <w:lang w:val="en-US" w:eastAsia="zh-CN" w:bidi="ar"/>
              </w:rPr>
              <w:t>给予一次性补贴，单个企业保费补贴最高不超过</w:t>
            </w:r>
            <w:r>
              <w:rPr>
                <w:rStyle w:val="47"/>
                <w:rFonts w:hint="default" w:ascii="Times New Roman" w:hAnsi="Times New Roman" w:eastAsia="宋体" w:cs="Times New Roman"/>
                <w:lang w:val="en-US" w:eastAsia="zh-CN" w:bidi="ar"/>
              </w:rPr>
              <w:t>10</w:t>
            </w:r>
            <w:r>
              <w:rPr>
                <w:rStyle w:val="46"/>
                <w:rFonts w:hint="default" w:ascii="Times New Roman" w:hAnsi="Times New Roman" w:cs="Times New Roman"/>
                <w:lang w:val="en-US" w:eastAsia="zh-CN" w:bidi="ar"/>
              </w:rPr>
              <w:t>万元。</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淄博英才计划</w:t>
            </w:r>
            <w:r>
              <w:rPr>
                <w:rStyle w:val="47"/>
                <w:rFonts w:hint="default" w:ascii="Times New Roman" w:hAnsi="Times New Roman" w:eastAsia="宋体" w:cs="Times New Roman"/>
                <w:lang w:val="en-US" w:eastAsia="zh-CN" w:bidi="ar"/>
              </w:rPr>
              <w:t>”</w:t>
            </w:r>
            <w:r>
              <w:rPr>
                <w:rStyle w:val="46"/>
                <w:rFonts w:hint="default" w:ascii="Times New Roman" w:hAnsi="Times New Roman" w:cs="Times New Roman"/>
                <w:lang w:val="en-US" w:eastAsia="zh-CN" w:bidi="ar"/>
              </w:rPr>
              <w:t>入选者创（领）办企业投保企业研发创新保险，按保费</w:t>
            </w:r>
            <w:r>
              <w:rPr>
                <w:rStyle w:val="47"/>
                <w:rFonts w:hint="default" w:ascii="Times New Roman" w:hAnsi="Times New Roman" w:eastAsia="宋体" w:cs="Times New Roman"/>
                <w:lang w:val="en-US" w:eastAsia="zh-CN" w:bidi="ar"/>
              </w:rPr>
              <w:t>50%</w:t>
            </w:r>
            <w:r>
              <w:rPr>
                <w:rStyle w:val="46"/>
                <w:rFonts w:hint="default" w:ascii="Times New Roman" w:hAnsi="Times New Roman" w:cs="Times New Roman"/>
                <w:lang w:val="en-US" w:eastAsia="zh-CN" w:bidi="ar"/>
              </w:rPr>
              <w:t>给予一次性补贴，单个企业保费补贴最高不超过</w:t>
            </w:r>
            <w:r>
              <w:rPr>
                <w:rStyle w:val="47"/>
                <w:rFonts w:hint="default" w:ascii="Times New Roman" w:hAnsi="Times New Roman" w:eastAsia="宋体" w:cs="Times New Roman"/>
                <w:lang w:val="en-US" w:eastAsia="zh-CN" w:bidi="ar"/>
              </w:rPr>
              <w:t>5</w:t>
            </w:r>
            <w:r>
              <w:rPr>
                <w:rStyle w:val="46"/>
                <w:rFonts w:hint="default" w:ascii="Times New Roman" w:hAnsi="Times New Roman" w:cs="Times New Roman"/>
                <w:lang w:val="en-US" w:eastAsia="zh-CN" w:bidi="ar"/>
              </w:rPr>
              <w:t>万元。对于不符合上述条件的其他保障范围内的企业投保企业研发创新保险，按保费</w:t>
            </w:r>
            <w:r>
              <w:rPr>
                <w:rStyle w:val="47"/>
                <w:rFonts w:hint="default" w:ascii="Times New Roman" w:hAnsi="Times New Roman" w:eastAsia="宋体" w:cs="Times New Roman"/>
                <w:lang w:val="en-US" w:eastAsia="zh-CN" w:bidi="ar"/>
              </w:rPr>
              <w:t>30%</w:t>
            </w:r>
            <w:r>
              <w:rPr>
                <w:rStyle w:val="46"/>
                <w:rFonts w:hint="default" w:ascii="Times New Roman" w:hAnsi="Times New Roman" w:cs="Times New Roman"/>
                <w:lang w:val="en-US" w:eastAsia="zh-CN" w:bidi="ar"/>
              </w:rPr>
              <w:t>给予一次性补贴，单个企业保费补贴最高不超过</w:t>
            </w:r>
            <w:r>
              <w:rPr>
                <w:rStyle w:val="47"/>
                <w:rFonts w:hint="default" w:ascii="Times New Roman" w:hAnsi="Times New Roman" w:eastAsia="宋体" w:cs="Times New Roman"/>
                <w:lang w:val="en-US" w:eastAsia="zh-CN" w:bidi="ar"/>
              </w:rPr>
              <w:t>3</w:t>
            </w:r>
            <w:r>
              <w:rPr>
                <w:rStyle w:val="46"/>
                <w:rFonts w:hint="default" w:ascii="Times New Roman" w:hAnsi="Times New Roman" w:cs="Times New Roman"/>
                <w:lang w:val="en-US" w:eastAsia="zh-CN" w:bidi="ar"/>
              </w:rPr>
              <w:t>万元。企业投保创业失败补偿保险，按保费</w:t>
            </w:r>
            <w:r>
              <w:rPr>
                <w:rStyle w:val="47"/>
                <w:rFonts w:hint="default" w:ascii="Times New Roman" w:hAnsi="Times New Roman" w:eastAsia="宋体" w:cs="Times New Roman"/>
                <w:lang w:val="en-US" w:eastAsia="zh-CN" w:bidi="ar"/>
              </w:rPr>
              <w:t>30%</w:t>
            </w:r>
            <w:r>
              <w:rPr>
                <w:rStyle w:val="46"/>
                <w:rFonts w:hint="default" w:ascii="Times New Roman" w:hAnsi="Times New Roman" w:cs="Times New Roman"/>
                <w:lang w:val="en-US" w:eastAsia="zh-CN" w:bidi="ar"/>
              </w:rPr>
              <w:t>给予一次性补贴，单个企业保费补贴最高不超过</w:t>
            </w:r>
            <w:r>
              <w:rPr>
                <w:rStyle w:val="47"/>
                <w:rFonts w:hint="default" w:ascii="Times New Roman" w:hAnsi="Times New Roman" w:eastAsia="宋体" w:cs="Times New Roman"/>
                <w:lang w:val="en-US" w:eastAsia="zh-CN" w:bidi="ar"/>
              </w:rPr>
              <w:t>3</w:t>
            </w:r>
            <w:r>
              <w:rPr>
                <w:rStyle w:val="46"/>
                <w:rFonts w:hint="default" w:ascii="Times New Roman" w:hAnsi="Times New Roman" w:cs="Times New Roman"/>
                <w:lang w:val="en-US" w:eastAsia="zh-CN" w:bidi="ar"/>
              </w:rPr>
              <w:t>万元。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市地方金融监管局</w:t>
            </w:r>
            <w:r>
              <w:rPr>
                <w:rStyle w:val="47"/>
                <w:rFonts w:hint="default" w:ascii="Times New Roman" w:hAnsi="Times New Roman" w:eastAsia="宋体" w:cs="Times New Roman"/>
                <w:lang w:val="en-US" w:eastAsia="zh-CN" w:bidi="ar"/>
              </w:rPr>
              <w:t xml:space="preserve">                                                   </w:t>
            </w:r>
            <w:r>
              <w:rPr>
                <w:rStyle w:val="46"/>
                <w:rFonts w:hint="default" w:ascii="Times New Roman" w:hAnsi="Times New Roman" w:cs="Times New Roman"/>
                <w:lang w:val="en-US" w:eastAsia="zh-CN" w:bidi="ar"/>
              </w:rPr>
              <w:t>淄博银保监分局</w:t>
            </w:r>
          </w:p>
        </w:tc>
      </w:tr>
      <w:tr>
        <w:tblPrEx>
          <w:tblCellMar>
            <w:top w:w="0" w:type="dxa"/>
            <w:left w:w="57" w:type="dxa"/>
            <w:bottom w:w="0" w:type="dxa"/>
            <w:right w:w="28" w:type="dxa"/>
          </w:tblCellMar>
        </w:tblPrEx>
        <w:trPr>
          <w:trHeight w:val="84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对全市符合要求的技改项目，可实行工程设计方案告知承诺，并办理建设工程规划许可证。</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市自然资源和规划局</w:t>
            </w:r>
          </w:p>
        </w:tc>
      </w:tr>
      <w:tr>
        <w:tblPrEx>
          <w:tblCellMar>
            <w:top w:w="0" w:type="dxa"/>
            <w:left w:w="57" w:type="dxa"/>
            <w:bottom w:w="0" w:type="dxa"/>
            <w:right w:w="28" w:type="dxa"/>
          </w:tblCellMar>
        </w:tblPrEx>
        <w:trPr>
          <w:trHeight w:val="11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在省级以上经济技术开发区（园区）、高新技术产业开发区等重点区域内，推行</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标准地</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供地比例由</w:t>
            </w:r>
            <w:r>
              <w:rPr>
                <w:rStyle w:val="44"/>
                <w:rFonts w:hint="default" w:ascii="Times New Roman" w:hAnsi="Times New Roman" w:eastAsia="宋体" w:cs="Times New Roman"/>
                <w:lang w:val="en-US" w:eastAsia="zh-CN" w:bidi="ar"/>
              </w:rPr>
              <w:t>30%</w:t>
            </w:r>
            <w:r>
              <w:rPr>
                <w:rStyle w:val="45"/>
                <w:rFonts w:hint="default" w:ascii="Times New Roman" w:hAnsi="Times New Roman" w:cs="Times New Roman"/>
                <w:lang w:val="en-US" w:eastAsia="zh-CN" w:bidi="ar"/>
              </w:rPr>
              <w:t>扩展到全部工业用地。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市自然资源和规划局</w:t>
            </w:r>
          </w:p>
        </w:tc>
      </w:tr>
      <w:tr>
        <w:tblPrEx>
          <w:tblCellMar>
            <w:top w:w="0" w:type="dxa"/>
            <w:left w:w="57" w:type="dxa"/>
            <w:bottom w:w="0" w:type="dxa"/>
            <w:right w:w="28" w:type="dxa"/>
          </w:tblCellMar>
        </w:tblPrEx>
        <w:trPr>
          <w:trHeight w:val="615" w:hRule="atLeast"/>
        </w:trPr>
        <w:tc>
          <w:tcPr>
            <w:tcW w:w="133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45"/>
                <w:rFonts w:hint="default" w:ascii="Times New Roman" w:hAnsi="Times New Roman" w:cs="Times New Roman"/>
                <w:lang w:val="en-US" w:eastAsia="zh-CN" w:bidi="ar"/>
              </w:rPr>
            </w:pPr>
            <w:r>
              <w:rPr>
                <w:rStyle w:val="45"/>
                <w:rFonts w:hint="eastAsia" w:ascii="黑体" w:hAnsi="黑体" w:eastAsia="黑体" w:cs="黑体"/>
                <w:lang w:val="en-US" w:eastAsia="zh-CN" w:bidi="ar"/>
              </w:rPr>
              <w:t>八、强化社会民生保障</w:t>
            </w:r>
          </w:p>
        </w:tc>
      </w:tr>
      <w:tr>
        <w:tblPrEx>
          <w:tblCellMar>
            <w:top w:w="0" w:type="dxa"/>
            <w:left w:w="57" w:type="dxa"/>
            <w:bottom w:w="0" w:type="dxa"/>
            <w:right w:w="28" w:type="dxa"/>
          </w:tblCellMar>
        </w:tblPrEx>
        <w:trPr>
          <w:trHeight w:val="170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规范公共租赁住房保障管理，根据保障家庭类别标准，实行分层级差别化发放租赁补贴，按月足额发放住房租赁补贴资金，符合保障条件的家庭可选择租赁补贴或实物配租中的一种保障方式满足住房需求。保障家庭实际领取的租赁补贴发放金额，最高不得超过其所承租住房的租金，超过承租住房租金的按照实际发生的金额发放租赁补贴。</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市住房城乡建设局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p>
        </w:tc>
      </w:tr>
      <w:tr>
        <w:tblPrEx>
          <w:tblCellMar>
            <w:top w:w="0" w:type="dxa"/>
            <w:left w:w="57" w:type="dxa"/>
            <w:bottom w:w="0" w:type="dxa"/>
            <w:right w:w="28" w:type="dxa"/>
          </w:tblCellMar>
        </w:tblPrEx>
        <w:trPr>
          <w:trHeight w:val="213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加快推进长者食堂建设。（</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）助餐补贴。对</w:t>
            </w:r>
            <w:r>
              <w:rPr>
                <w:rStyle w:val="47"/>
                <w:rFonts w:hint="default" w:ascii="Times New Roman" w:hAnsi="Times New Roman" w:eastAsia="宋体" w:cs="Times New Roman"/>
                <w:lang w:val="en-US" w:eastAsia="zh-CN" w:bidi="ar"/>
              </w:rPr>
              <w:t>60</w:t>
            </w:r>
            <w:r>
              <w:rPr>
                <w:rStyle w:val="46"/>
                <w:rFonts w:hint="default" w:ascii="Times New Roman" w:hAnsi="Times New Roman" w:cs="Times New Roman"/>
                <w:lang w:val="en-US" w:eastAsia="zh-CN" w:bidi="ar"/>
              </w:rPr>
              <w:t>周岁以上的淄博户籍老年人午餐进行补贴，对</w:t>
            </w:r>
            <w:r>
              <w:rPr>
                <w:rStyle w:val="47"/>
                <w:rFonts w:hint="default" w:ascii="Times New Roman" w:hAnsi="Times New Roman" w:eastAsia="宋体" w:cs="Times New Roman"/>
                <w:lang w:val="en-US" w:eastAsia="zh-CN" w:bidi="ar"/>
              </w:rPr>
              <w:t>60—79</w:t>
            </w:r>
            <w:r>
              <w:rPr>
                <w:rStyle w:val="46"/>
                <w:rFonts w:hint="default" w:ascii="Times New Roman" w:hAnsi="Times New Roman" w:cs="Times New Roman"/>
                <w:lang w:val="en-US" w:eastAsia="zh-CN" w:bidi="ar"/>
              </w:rPr>
              <w:t>周岁的老年人，市财政每餐补贴</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元、区县财政补贴</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元；对</w:t>
            </w:r>
            <w:r>
              <w:rPr>
                <w:rStyle w:val="47"/>
                <w:rFonts w:hint="default" w:ascii="Times New Roman" w:hAnsi="Times New Roman" w:eastAsia="宋体" w:cs="Times New Roman"/>
                <w:lang w:val="en-US" w:eastAsia="zh-CN" w:bidi="ar"/>
              </w:rPr>
              <w:t>80</w:t>
            </w:r>
            <w:r>
              <w:rPr>
                <w:rStyle w:val="46"/>
                <w:rFonts w:hint="default" w:ascii="Times New Roman" w:hAnsi="Times New Roman" w:cs="Times New Roman"/>
                <w:lang w:val="en-US" w:eastAsia="zh-CN" w:bidi="ar"/>
              </w:rPr>
              <w:t>周岁以上的老年人，市财政每餐补贴</w:t>
            </w:r>
            <w:r>
              <w:rPr>
                <w:rStyle w:val="47"/>
                <w:rFonts w:hint="default" w:ascii="Times New Roman" w:hAnsi="Times New Roman" w:eastAsia="宋体" w:cs="Times New Roman"/>
                <w:lang w:val="en-US" w:eastAsia="zh-CN" w:bidi="ar"/>
              </w:rPr>
              <w:t>2</w:t>
            </w:r>
            <w:r>
              <w:rPr>
                <w:rStyle w:val="46"/>
                <w:rFonts w:hint="default" w:ascii="Times New Roman" w:hAnsi="Times New Roman" w:cs="Times New Roman"/>
                <w:lang w:val="en-US" w:eastAsia="zh-CN" w:bidi="ar"/>
              </w:rPr>
              <w:t>元、区县财政补贴</w:t>
            </w:r>
            <w:r>
              <w:rPr>
                <w:rStyle w:val="47"/>
                <w:rFonts w:hint="default" w:ascii="Times New Roman" w:hAnsi="Times New Roman" w:eastAsia="宋体" w:cs="Times New Roman"/>
                <w:lang w:val="en-US" w:eastAsia="zh-CN" w:bidi="ar"/>
              </w:rPr>
              <w:t>1</w:t>
            </w:r>
            <w:r>
              <w:rPr>
                <w:rStyle w:val="46"/>
                <w:rFonts w:hint="default" w:ascii="Times New Roman" w:hAnsi="Times New Roman" w:cs="Times New Roman"/>
                <w:lang w:val="en-US" w:eastAsia="zh-CN" w:bidi="ar"/>
              </w:rPr>
              <w:t>元。（</w:t>
            </w:r>
            <w:r>
              <w:rPr>
                <w:rStyle w:val="47"/>
                <w:rFonts w:hint="default" w:ascii="Times New Roman" w:hAnsi="Times New Roman" w:eastAsia="宋体" w:cs="Times New Roman"/>
                <w:lang w:val="en-US" w:eastAsia="zh-CN" w:bidi="ar"/>
              </w:rPr>
              <w:t>2</w:t>
            </w:r>
            <w:r>
              <w:rPr>
                <w:rStyle w:val="46"/>
                <w:rFonts w:hint="default" w:ascii="Times New Roman" w:hAnsi="Times New Roman" w:cs="Times New Roman"/>
                <w:lang w:val="en-US" w:eastAsia="zh-CN" w:bidi="ar"/>
              </w:rPr>
              <w:t>）运营补贴。对运营满一年、经评估合格的长者食堂，年度午餐就餐老人达到</w:t>
            </w:r>
            <w:r>
              <w:rPr>
                <w:rStyle w:val="47"/>
                <w:rFonts w:hint="default" w:ascii="Times New Roman" w:hAnsi="Times New Roman" w:eastAsia="宋体" w:cs="Times New Roman"/>
                <w:lang w:val="en-US" w:eastAsia="zh-CN" w:bidi="ar"/>
              </w:rPr>
              <w:t>4000</w:t>
            </w:r>
            <w:r>
              <w:rPr>
                <w:rStyle w:val="46"/>
                <w:rFonts w:hint="default" w:ascii="Times New Roman" w:hAnsi="Times New Roman" w:cs="Times New Roman"/>
                <w:lang w:val="en-US" w:eastAsia="zh-CN" w:bidi="ar"/>
              </w:rPr>
              <w:t>人次的，年度补助</w:t>
            </w:r>
            <w:r>
              <w:rPr>
                <w:rStyle w:val="47"/>
                <w:rFonts w:hint="default" w:ascii="Times New Roman" w:hAnsi="Times New Roman" w:eastAsia="宋体" w:cs="Times New Roman"/>
                <w:lang w:val="en-US" w:eastAsia="zh-CN" w:bidi="ar"/>
              </w:rPr>
              <w:t>2</w:t>
            </w:r>
            <w:r>
              <w:rPr>
                <w:rStyle w:val="46"/>
                <w:rFonts w:hint="default" w:ascii="Times New Roman" w:hAnsi="Times New Roman" w:cs="Times New Roman"/>
                <w:lang w:val="en-US" w:eastAsia="zh-CN" w:bidi="ar"/>
              </w:rPr>
              <w:t>万元；达到</w:t>
            </w:r>
            <w:r>
              <w:rPr>
                <w:rStyle w:val="47"/>
                <w:rFonts w:hint="default" w:ascii="Times New Roman" w:hAnsi="Times New Roman" w:eastAsia="宋体" w:cs="Times New Roman"/>
                <w:lang w:val="en-US" w:eastAsia="zh-CN" w:bidi="ar"/>
              </w:rPr>
              <w:t>7000</w:t>
            </w:r>
            <w:r>
              <w:rPr>
                <w:rStyle w:val="46"/>
                <w:rFonts w:hint="default" w:ascii="Times New Roman" w:hAnsi="Times New Roman" w:cs="Times New Roman"/>
                <w:lang w:val="en-US" w:eastAsia="zh-CN" w:bidi="ar"/>
              </w:rPr>
              <w:t>人次的，年度补助</w:t>
            </w:r>
            <w:r>
              <w:rPr>
                <w:rStyle w:val="47"/>
                <w:rFonts w:hint="default" w:ascii="Times New Roman" w:hAnsi="Times New Roman" w:eastAsia="宋体" w:cs="Times New Roman"/>
                <w:lang w:val="en-US" w:eastAsia="zh-CN" w:bidi="ar"/>
              </w:rPr>
              <w:t>3</w:t>
            </w:r>
            <w:r>
              <w:rPr>
                <w:rStyle w:val="46"/>
                <w:rFonts w:hint="default" w:ascii="Times New Roman" w:hAnsi="Times New Roman" w:cs="Times New Roman"/>
                <w:lang w:val="en-US" w:eastAsia="zh-CN" w:bidi="ar"/>
              </w:rPr>
              <w:t>万元；达到</w:t>
            </w:r>
            <w:r>
              <w:rPr>
                <w:rStyle w:val="47"/>
                <w:rFonts w:hint="default" w:ascii="Times New Roman" w:hAnsi="Times New Roman" w:eastAsia="宋体" w:cs="Times New Roman"/>
                <w:lang w:val="en-US" w:eastAsia="zh-CN" w:bidi="ar"/>
              </w:rPr>
              <w:t>10000</w:t>
            </w:r>
            <w:r>
              <w:rPr>
                <w:rStyle w:val="46"/>
                <w:rFonts w:hint="default" w:ascii="Times New Roman" w:hAnsi="Times New Roman" w:cs="Times New Roman"/>
                <w:lang w:val="en-US" w:eastAsia="zh-CN" w:bidi="ar"/>
              </w:rPr>
              <w:t>人次及以上的，年度补助</w:t>
            </w:r>
            <w:r>
              <w:rPr>
                <w:rStyle w:val="47"/>
                <w:rFonts w:hint="default" w:ascii="Times New Roman" w:hAnsi="Times New Roman" w:eastAsia="宋体" w:cs="Times New Roman"/>
                <w:lang w:val="en-US" w:eastAsia="zh-CN" w:bidi="ar"/>
              </w:rPr>
              <w:t>4</w:t>
            </w:r>
            <w:r>
              <w:rPr>
                <w:rStyle w:val="46"/>
                <w:rFonts w:hint="default" w:ascii="Times New Roman" w:hAnsi="Times New Roman" w:cs="Times New Roman"/>
                <w:lang w:val="en-US" w:eastAsia="zh-CN" w:bidi="ar"/>
              </w:rPr>
              <w:t>万元。对运营满一年、评估合格且年度午餐就餐老人不少于</w:t>
            </w:r>
            <w:r>
              <w:rPr>
                <w:rStyle w:val="47"/>
                <w:rFonts w:hint="default" w:ascii="Times New Roman" w:hAnsi="Times New Roman" w:eastAsia="宋体" w:cs="Times New Roman"/>
                <w:lang w:val="en-US" w:eastAsia="zh-CN" w:bidi="ar"/>
              </w:rPr>
              <w:t>4000</w:t>
            </w:r>
            <w:r>
              <w:rPr>
                <w:rStyle w:val="46"/>
                <w:rFonts w:hint="default" w:ascii="Times New Roman" w:hAnsi="Times New Roman" w:cs="Times New Roman"/>
                <w:lang w:val="en-US" w:eastAsia="zh-CN" w:bidi="ar"/>
              </w:rPr>
              <w:t>人次的长者助餐服务点，年度补助</w:t>
            </w:r>
            <w:r>
              <w:rPr>
                <w:rStyle w:val="47"/>
                <w:rFonts w:hint="default" w:ascii="Times New Roman" w:hAnsi="Times New Roman" w:eastAsia="宋体" w:cs="Times New Roman"/>
                <w:lang w:val="en-US" w:eastAsia="zh-CN" w:bidi="ar"/>
              </w:rPr>
              <w:t>6000</w:t>
            </w:r>
            <w:r>
              <w:rPr>
                <w:rStyle w:val="46"/>
                <w:rFonts w:hint="default" w:ascii="Times New Roman" w:hAnsi="Times New Roman" w:cs="Times New Roman"/>
                <w:lang w:val="en-US" w:eastAsia="zh-CN" w:bidi="ar"/>
              </w:rPr>
              <w:t>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Style w:val="45"/>
                <w:rFonts w:hint="default" w:ascii="Times New Roman" w:hAnsi="Times New Roman" w:cs="Times New Roman"/>
                <w:lang w:val="en-US" w:eastAsia="zh-CN" w:bidi="ar"/>
              </w:rPr>
              <w:t>市民政局</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市财政局</w:t>
            </w:r>
            <w:r>
              <w:rPr>
                <w:rStyle w:val="44"/>
                <w:rFonts w:hint="default" w:ascii="Times New Roman" w:hAnsi="Times New Roman" w:eastAsia="仿宋_GB2312" w:cs="Times New Roman"/>
                <w:lang w:val="en-US" w:eastAsia="zh-CN" w:bidi="ar"/>
              </w:rPr>
              <w:t xml:space="preserve">                                </w:t>
            </w:r>
          </w:p>
        </w:tc>
      </w:tr>
      <w:tr>
        <w:tblPrEx>
          <w:tblCellMar>
            <w:top w:w="0" w:type="dxa"/>
            <w:left w:w="57" w:type="dxa"/>
            <w:bottom w:w="0" w:type="dxa"/>
            <w:right w:w="28" w:type="dxa"/>
          </w:tblCellMar>
        </w:tblPrEx>
        <w:trPr>
          <w:trHeight w:val="172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滚动实施城乡公益性岗位扩容提质行动，大规模增设公益性岗位，重点安置农村剩余劳动力和城镇就业困难群体。</w:t>
            </w:r>
            <w:r>
              <w:rPr>
                <w:rStyle w:val="47"/>
                <w:rFonts w:hint="default" w:ascii="Times New Roman" w:hAnsi="Times New Roman" w:eastAsia="宋体" w:cs="Times New Roman"/>
                <w:lang w:val="en-US" w:eastAsia="zh-CN" w:bidi="ar"/>
              </w:rPr>
              <w:t>2023</w:t>
            </w:r>
            <w:r>
              <w:rPr>
                <w:rStyle w:val="46"/>
                <w:rFonts w:hint="default" w:ascii="Times New Roman" w:hAnsi="Times New Roman" w:cs="Times New Roman"/>
                <w:lang w:val="en-US" w:eastAsia="zh-CN" w:bidi="ar"/>
              </w:rPr>
              <w:t>年城乡公益性岗位年度开发数以省下达指标为准，视经济社会发展和就业形势动态调整各区县岗位计划。统一实行政府补贴，市财政对乡村公益性岗位按照每人每年</w:t>
            </w:r>
            <w:r>
              <w:rPr>
                <w:rStyle w:val="47"/>
                <w:rFonts w:hint="default" w:ascii="Times New Roman" w:hAnsi="Times New Roman" w:eastAsia="宋体" w:cs="Times New Roman"/>
                <w:lang w:val="en-US" w:eastAsia="zh-CN" w:bidi="ar"/>
              </w:rPr>
              <w:t>2000</w:t>
            </w:r>
            <w:r>
              <w:rPr>
                <w:rStyle w:val="46"/>
                <w:rFonts w:hint="default" w:ascii="Times New Roman" w:hAnsi="Times New Roman" w:cs="Times New Roman"/>
                <w:lang w:val="en-US" w:eastAsia="zh-CN" w:bidi="ar"/>
              </w:rPr>
              <w:t>元的标准给予补助，城镇公益性岗位扣除省拨付资金后市、区县按照</w:t>
            </w:r>
            <w:r>
              <w:rPr>
                <w:rStyle w:val="47"/>
                <w:rFonts w:hint="default" w:ascii="Times New Roman" w:hAnsi="Times New Roman" w:eastAsia="宋体" w:cs="Times New Roman"/>
                <w:lang w:val="en-US" w:eastAsia="zh-CN" w:bidi="ar"/>
              </w:rPr>
              <w:t>2:8</w:t>
            </w:r>
            <w:r>
              <w:rPr>
                <w:rStyle w:val="46"/>
                <w:rFonts w:hint="default" w:ascii="Times New Roman" w:hAnsi="Times New Roman" w:cs="Times New Roman"/>
                <w:lang w:val="en-US" w:eastAsia="zh-CN" w:bidi="ar"/>
              </w:rPr>
              <w:t>的比例分担。</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市人力资源社会保障局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市财政局</w:t>
            </w:r>
            <w:r>
              <w:rPr>
                <w:rStyle w:val="44"/>
                <w:rFonts w:hint="default" w:ascii="Times New Roman" w:hAnsi="Times New Roman" w:eastAsia="宋体" w:cs="Times New Roman"/>
                <w:lang w:val="en-US" w:eastAsia="zh-CN" w:bidi="ar"/>
              </w:rPr>
              <w:t xml:space="preserve">                                      </w:t>
            </w:r>
            <w:r>
              <w:rPr>
                <w:rStyle w:val="45"/>
                <w:rFonts w:hint="default" w:ascii="Times New Roman" w:hAnsi="Times New Roman" w:cs="Times New Roman"/>
                <w:lang w:val="en-US" w:eastAsia="zh-CN" w:bidi="ar"/>
              </w:rPr>
              <w:t>市农业农村局</w:t>
            </w:r>
          </w:p>
        </w:tc>
      </w:tr>
      <w:tr>
        <w:tblPrEx>
          <w:tblCellMar>
            <w:top w:w="0" w:type="dxa"/>
            <w:left w:w="57" w:type="dxa"/>
            <w:bottom w:w="0" w:type="dxa"/>
            <w:right w:w="28" w:type="dxa"/>
          </w:tblCellMar>
        </w:tblPrEx>
        <w:trPr>
          <w:trHeight w:val="13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强化多层次资本市场培育功能，推动中小企业到新三板挂牌，推动符合条件的企业争取晋层提升进入创新层。支持齐鲁股权交易中心建设</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上市培育板</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，先行培育辅导上市后备资源企业。</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市地方金融监管局</w:t>
            </w:r>
          </w:p>
        </w:tc>
      </w:tr>
      <w:tr>
        <w:tblPrEx>
          <w:tblCellMar>
            <w:top w:w="0" w:type="dxa"/>
            <w:left w:w="57" w:type="dxa"/>
            <w:bottom w:w="0" w:type="dxa"/>
            <w:right w:w="2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全面放开城镇落户限制，调整完善户口迁移登记政策，实行经常居住地登记户口制度，精简落户手续实现城镇</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零门槛</w:t>
            </w:r>
            <w:r>
              <w:rPr>
                <w:rStyle w:val="44"/>
                <w:rFonts w:hint="default" w:ascii="Times New Roman" w:hAnsi="Times New Roman" w:eastAsia="宋体" w:cs="Times New Roman"/>
                <w:lang w:val="en-US" w:eastAsia="zh-CN" w:bidi="ar"/>
              </w:rPr>
              <w:t>”</w:t>
            </w:r>
            <w:r>
              <w:rPr>
                <w:rStyle w:val="45"/>
                <w:rFonts w:hint="default" w:ascii="Times New Roman" w:hAnsi="Times New Roman" w:cs="Times New Roman"/>
                <w:lang w:val="en-US" w:eastAsia="zh-CN" w:bidi="ar"/>
              </w:rPr>
              <w:t>落户。为全市高层次人才落户提供绿色通道和专员服务，保障引才聚才政策实施。</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市公安局</w:t>
            </w:r>
          </w:p>
        </w:tc>
      </w:tr>
      <w:tr>
        <w:tblPrEx>
          <w:tblCellMar>
            <w:top w:w="0" w:type="dxa"/>
            <w:left w:w="57" w:type="dxa"/>
            <w:bottom w:w="0" w:type="dxa"/>
            <w:right w:w="28" w:type="dxa"/>
          </w:tblCellMar>
        </w:tblPrEx>
        <w:trPr>
          <w:trHeight w:val="179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为高层次人才、优秀企业家、淄博城市发展合伙人及其在淄代表、淄博市外商投资企业优秀企业家子女提供教育服务绿色通道。其子女就读学前教育、义务教育、中等职业教育时，可根据本人意愿在全市范围统筹安排入学；参加初中学业水平考试的，可以在就读学校所在地区县或户籍所在地参加报名和招生录取，也可根据考生成绩在全市范围内统筹安排到达到非指标生招生录取条件的意向学校就读；参加高考的可提供升学咨询服务。</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46"/>
                <w:rFonts w:hint="default" w:ascii="Times New Roman" w:hAnsi="Times New Roman" w:cs="Times New Roman"/>
                <w:lang w:val="en-US" w:eastAsia="zh-CN" w:bidi="ar"/>
              </w:rPr>
              <w:t>市教育局</w:t>
            </w:r>
          </w:p>
        </w:tc>
      </w:tr>
      <w:tr>
        <w:tblPrEx>
          <w:tblCellMar>
            <w:top w:w="0" w:type="dxa"/>
            <w:left w:w="57" w:type="dxa"/>
            <w:bottom w:w="0" w:type="dxa"/>
            <w:right w:w="28" w:type="dxa"/>
          </w:tblCellMar>
        </w:tblPrEx>
        <w:trPr>
          <w:trHeight w:val="154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10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5"/>
                <w:rFonts w:hint="default" w:ascii="Times New Roman" w:hAnsi="Times New Roman" w:cs="Times New Roman"/>
                <w:lang w:val="en-US" w:eastAsia="zh-CN" w:bidi="ar"/>
              </w:rPr>
              <w:t>鼓励企业管理和技术骨干人才到淄博就业创业，对现代服务业企业新引进的在企业所在区县缴纳个人所得税年纳税额</w:t>
            </w:r>
            <w:r>
              <w:rPr>
                <w:rStyle w:val="44"/>
                <w:rFonts w:hint="default" w:ascii="Times New Roman" w:hAnsi="Times New Roman" w:eastAsia="宋体" w:cs="Times New Roman"/>
                <w:lang w:val="en-US" w:eastAsia="zh-CN" w:bidi="ar"/>
              </w:rPr>
              <w:t>5</w:t>
            </w:r>
            <w:r>
              <w:rPr>
                <w:rStyle w:val="45"/>
                <w:rFonts w:hint="default" w:ascii="Times New Roman" w:hAnsi="Times New Roman" w:cs="Times New Roman"/>
                <w:lang w:val="en-US" w:eastAsia="zh-CN" w:bidi="ar"/>
              </w:rPr>
              <w:t>万元及以上的管理及技术骨干人员，给予本人所缴个人所得税地方留成部分等额奖励。</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Style w:val="45"/>
                <w:rFonts w:hint="default" w:ascii="Times New Roman" w:hAnsi="Times New Roman" w:cs="Times New Roman"/>
                <w:lang w:val="en-US" w:eastAsia="zh-CN" w:bidi="ar"/>
              </w:rPr>
              <w:t>市发展改革委</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市财政局</w:t>
            </w:r>
            <w:r>
              <w:rPr>
                <w:rStyle w:val="44"/>
                <w:rFonts w:hint="default" w:ascii="Times New Roman" w:hAnsi="Times New Roman" w:eastAsia="仿宋_GB2312" w:cs="Times New Roman"/>
                <w:lang w:val="en-US" w:eastAsia="zh-CN" w:bidi="ar"/>
              </w:rPr>
              <w:t xml:space="preserve">                                                                         </w:t>
            </w:r>
            <w:r>
              <w:rPr>
                <w:rStyle w:val="45"/>
                <w:rFonts w:hint="default" w:ascii="Times New Roman" w:hAnsi="Times New Roman" w:cs="Times New Roman"/>
                <w:lang w:val="en-US" w:eastAsia="zh-CN" w:bidi="ar"/>
              </w:rPr>
              <w:t>市税务局</w:t>
            </w:r>
          </w:p>
        </w:tc>
      </w:tr>
    </w:tbl>
    <w:p>
      <w:pPr>
        <w:keepNext w:val="0"/>
        <w:keepLines w:val="0"/>
        <w:pageBreakBefore w:val="0"/>
        <w:widowControl w:val="0"/>
        <w:kinsoku/>
        <w:wordWrap/>
        <w:overflowPunct/>
        <w:topLinePunct w:val="0"/>
        <w:autoSpaceDE/>
        <w:autoSpaceDN/>
        <w:bidi w:val="0"/>
        <w:adjustRightInd/>
        <w:snapToGrid/>
        <w:spacing w:line="560" w:lineRule="exact"/>
        <w:ind w:firstLine="732" w:firstLineChars="200"/>
        <w:textAlignment w:val="auto"/>
        <w:outlineLvl w:val="9"/>
        <w:rPr>
          <w:rFonts w:hint="default" w:ascii="Times New Roman" w:hAnsi="Times New Roman" w:eastAsia="楷体_GB2312" w:cs="Times New Roman"/>
          <w:spacing w:val="23"/>
          <w:sz w:val="32"/>
          <w:szCs w:val="32"/>
          <w:lang w:eastAsia="zh-CN"/>
        </w:rPr>
      </w:pPr>
      <w:r>
        <w:rPr>
          <w:rFonts w:hint="default" w:ascii="Times New Roman" w:hAnsi="Times New Roman" w:eastAsia="楷体_GB2312" w:cs="Times New Roman"/>
          <w:spacing w:val="23"/>
          <w:sz w:val="32"/>
          <w:szCs w:val="32"/>
          <w:lang w:val="en-US" w:eastAsia="zh-CN"/>
        </w:rPr>
        <w:t>注：各有关单位在政策执行中，</w:t>
      </w:r>
      <w:r>
        <w:rPr>
          <w:rFonts w:hint="default" w:ascii="Times New Roman" w:hAnsi="Times New Roman" w:eastAsia="楷体_GB2312" w:cs="Times New Roman"/>
          <w:spacing w:val="23"/>
          <w:sz w:val="32"/>
          <w:szCs w:val="32"/>
          <w:lang w:eastAsia="zh-CN"/>
        </w:rPr>
        <w:t>如遇同类政策与本文件不一致的，按照就高不重复原则执行；执行期间如遇上级政策调整，按上级有关政策执行</w:t>
      </w:r>
    </w:p>
    <w:p>
      <w:pPr>
        <w:keepNext w:val="0"/>
        <w:keepLines w:val="0"/>
        <w:pageBreakBefore w:val="0"/>
        <w:widowControl w:val="0"/>
        <w:kinsoku/>
        <w:wordWrap/>
        <w:topLinePunct w:val="0"/>
        <w:autoSpaceDE/>
        <w:autoSpaceDN/>
        <w:bidi w:val="0"/>
        <w:adjustRightInd/>
        <w:snapToGrid/>
        <w:spacing w:line="240" w:lineRule="auto"/>
        <w:ind w:firstLine="732" w:firstLineChars="200"/>
        <w:textAlignment w:val="auto"/>
        <w:outlineLvl w:val="9"/>
        <w:rPr>
          <w:rFonts w:hint="default" w:ascii="Times New Roman" w:hAnsi="Times New Roman" w:eastAsia="仿宋_GB2312" w:cs="Times New Roman"/>
          <w:spacing w:val="23"/>
          <w:sz w:val="32"/>
          <w:szCs w:val="32"/>
          <w:lang w:val="en-US" w:eastAsia="zh-CN"/>
        </w:rPr>
      </w:pPr>
    </w:p>
    <w:p>
      <w:pPr>
        <w:keepNext w:val="0"/>
        <w:keepLines w:val="0"/>
        <w:pageBreakBefore w:val="0"/>
        <w:widowControl w:val="0"/>
        <w:kinsoku/>
        <w:wordWrap/>
        <w:topLinePunct w:val="0"/>
        <w:autoSpaceDE/>
        <w:autoSpaceDN/>
        <w:bidi w:val="0"/>
        <w:adjustRightInd/>
        <w:snapToGrid/>
        <w:spacing w:line="240" w:lineRule="auto"/>
        <w:ind w:firstLine="732" w:firstLineChars="200"/>
        <w:textAlignment w:val="auto"/>
        <w:outlineLvl w:val="9"/>
        <w:rPr>
          <w:rFonts w:hint="default" w:ascii="Times New Roman" w:hAnsi="Times New Roman" w:eastAsia="仿宋_GB2312" w:cs="Times New Roman"/>
          <w:spacing w:val="23"/>
          <w:sz w:val="32"/>
          <w:szCs w:val="32"/>
          <w:lang w:val="en-US" w:eastAsia="zh-CN"/>
        </w:rPr>
      </w:pPr>
    </w:p>
    <w:sectPr>
      <w:footerReference r:id="rId3" w:type="default"/>
      <w:pgSz w:w="16838" w:h="11906" w:orient="landscape"/>
      <w:pgMar w:top="1474" w:right="2098" w:bottom="1417" w:left="1417" w:header="851" w:footer="1247" w:gutter="0"/>
      <w:pgNumType w:fmt="decimal" w:start="5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宋体"/>
    <w:panose1 w:val="020B0604020202020204"/>
    <w:charset w:val="86"/>
    <w:family w:val="swiss"/>
    <w:pitch w:val="default"/>
    <w:sig w:usb0="00000000" w:usb1="00000000" w:usb2="0000003F" w:usb3="00000000" w:csb0="603F01FF" w:csb1="FFFF0000"/>
  </w:font>
  <w:font w:name="方正报宋简体">
    <w:altName w:val="宋体"/>
    <w:panose1 w:val="02010601030101010101"/>
    <w:charset w:val="86"/>
    <w:family w:val="roman"/>
    <w:pitch w:val="default"/>
    <w:sig w:usb0="00000000" w:usb1="00000000" w:usb2="00000000" w:usb3="00000000" w:csb0="00040000" w:csb1="00000000"/>
  </w:font>
  <w:font w:name="MingLiU">
    <w:altName w:val="宋体"/>
    <w:panose1 w:val="02020509000000000000"/>
    <w:charset w:val="88"/>
    <w:family w:val="modern"/>
    <w:pitch w:val="default"/>
    <w:sig w:usb0="00000000" w:usb1="00000000" w:usb2="00000016" w:usb3="00000000" w:csb0="00100001"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宋体"/>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between w:val="none" w:color="auto" w:sz="0" w:space="0"/>
      </w:pBdr>
      <w:tabs>
        <w:tab w:val="right" w:pos="9015"/>
        <w:tab w:val="clear" w:pos="4153"/>
      </w:tabs>
    </w:pPr>
    <w:r>
      <mc:AlternateContent>
        <mc:Choice Requires="wps">
          <w:drawing>
            <wp:anchor distT="0" distB="0" distL="114300" distR="114300" simplePos="0" relativeHeight="251919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919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A6CuLtgEAAF8DAAAOAAAAAAAAAAEAIAAAADQBAABkcnMvZTJv&#10;RG9jLnhtbFBLBQYAAAAABgAGAFkBAABcBQAAAAA=&#10;">
              <v:fill on="f" focussize="0,0"/>
              <v:stroke on="f"/>
              <v:imagedata o:title=""/>
              <o:lock v:ext="edit" aspectratio="f"/>
              <v:textbox inset="0mm,0mm,0mm,0mm" style="mso-fit-shape-to-text:t;">
                <w:txbxContent>
                  <w:p>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NmE2ZDhmMzc3YmIyY2E0YjEyMGI1MTZiNDJkNjIifQ=="/>
  </w:docVars>
  <w:rsids>
    <w:rsidRoot w:val="00172A27"/>
    <w:rsid w:val="00003907"/>
    <w:rsid w:val="00007D7C"/>
    <w:rsid w:val="00073D17"/>
    <w:rsid w:val="000757F8"/>
    <w:rsid w:val="00083092"/>
    <w:rsid w:val="000C7D54"/>
    <w:rsid w:val="000D1BB7"/>
    <w:rsid w:val="000F29C1"/>
    <w:rsid w:val="001301DE"/>
    <w:rsid w:val="0014296A"/>
    <w:rsid w:val="001979BC"/>
    <w:rsid w:val="001A2119"/>
    <w:rsid w:val="001D208D"/>
    <w:rsid w:val="001D33F1"/>
    <w:rsid w:val="001E5307"/>
    <w:rsid w:val="001F38F3"/>
    <w:rsid w:val="001F4224"/>
    <w:rsid w:val="001F616D"/>
    <w:rsid w:val="001F640C"/>
    <w:rsid w:val="00211B1C"/>
    <w:rsid w:val="00237A71"/>
    <w:rsid w:val="00295B6E"/>
    <w:rsid w:val="002B28CD"/>
    <w:rsid w:val="002B3F43"/>
    <w:rsid w:val="002C7993"/>
    <w:rsid w:val="002E2380"/>
    <w:rsid w:val="002E2B6D"/>
    <w:rsid w:val="002F0908"/>
    <w:rsid w:val="0030342C"/>
    <w:rsid w:val="00341179"/>
    <w:rsid w:val="003617B1"/>
    <w:rsid w:val="00377BE9"/>
    <w:rsid w:val="00380774"/>
    <w:rsid w:val="003829F4"/>
    <w:rsid w:val="003C2015"/>
    <w:rsid w:val="003C3561"/>
    <w:rsid w:val="003E130C"/>
    <w:rsid w:val="00440343"/>
    <w:rsid w:val="00441DFD"/>
    <w:rsid w:val="00443856"/>
    <w:rsid w:val="004707C5"/>
    <w:rsid w:val="004A3AAA"/>
    <w:rsid w:val="004B1420"/>
    <w:rsid w:val="004C53C3"/>
    <w:rsid w:val="004D7554"/>
    <w:rsid w:val="004F78E2"/>
    <w:rsid w:val="00500D5A"/>
    <w:rsid w:val="005068B2"/>
    <w:rsid w:val="00535EEA"/>
    <w:rsid w:val="00562AF3"/>
    <w:rsid w:val="00575E0A"/>
    <w:rsid w:val="00592F74"/>
    <w:rsid w:val="005A5CB7"/>
    <w:rsid w:val="005B2413"/>
    <w:rsid w:val="006052DA"/>
    <w:rsid w:val="00653BBA"/>
    <w:rsid w:val="0065522C"/>
    <w:rsid w:val="006A48C6"/>
    <w:rsid w:val="006A646A"/>
    <w:rsid w:val="006D3108"/>
    <w:rsid w:val="007261AF"/>
    <w:rsid w:val="00766A74"/>
    <w:rsid w:val="00783973"/>
    <w:rsid w:val="007D4584"/>
    <w:rsid w:val="00800D96"/>
    <w:rsid w:val="00826EE3"/>
    <w:rsid w:val="00844C86"/>
    <w:rsid w:val="0086278E"/>
    <w:rsid w:val="00862EE9"/>
    <w:rsid w:val="008A15E1"/>
    <w:rsid w:val="0090543B"/>
    <w:rsid w:val="009333A0"/>
    <w:rsid w:val="009925C1"/>
    <w:rsid w:val="00994E17"/>
    <w:rsid w:val="009A160B"/>
    <w:rsid w:val="009C52C4"/>
    <w:rsid w:val="009D1107"/>
    <w:rsid w:val="009D1858"/>
    <w:rsid w:val="009E0D52"/>
    <w:rsid w:val="009E4132"/>
    <w:rsid w:val="009E5284"/>
    <w:rsid w:val="00A04AD8"/>
    <w:rsid w:val="00A07B32"/>
    <w:rsid w:val="00A24E14"/>
    <w:rsid w:val="00A5163A"/>
    <w:rsid w:val="00A661AE"/>
    <w:rsid w:val="00A75B8A"/>
    <w:rsid w:val="00A77DC4"/>
    <w:rsid w:val="00A83429"/>
    <w:rsid w:val="00A87D10"/>
    <w:rsid w:val="00AA73C9"/>
    <w:rsid w:val="00AA747A"/>
    <w:rsid w:val="00AD4765"/>
    <w:rsid w:val="00AF170C"/>
    <w:rsid w:val="00AF6F56"/>
    <w:rsid w:val="00B04D81"/>
    <w:rsid w:val="00B247EF"/>
    <w:rsid w:val="00B3709A"/>
    <w:rsid w:val="00B55FE3"/>
    <w:rsid w:val="00BA2270"/>
    <w:rsid w:val="00BD005C"/>
    <w:rsid w:val="00BF38AE"/>
    <w:rsid w:val="00C23FD5"/>
    <w:rsid w:val="00C30997"/>
    <w:rsid w:val="00C440B1"/>
    <w:rsid w:val="00C65205"/>
    <w:rsid w:val="00CD6758"/>
    <w:rsid w:val="00CD6BA5"/>
    <w:rsid w:val="00D14725"/>
    <w:rsid w:val="00D44D0B"/>
    <w:rsid w:val="00D5778F"/>
    <w:rsid w:val="00D607AD"/>
    <w:rsid w:val="00D648DE"/>
    <w:rsid w:val="00D80F04"/>
    <w:rsid w:val="00D8279C"/>
    <w:rsid w:val="00DF7EE5"/>
    <w:rsid w:val="00E17E35"/>
    <w:rsid w:val="00EB00DF"/>
    <w:rsid w:val="00EC0F88"/>
    <w:rsid w:val="00ED2114"/>
    <w:rsid w:val="00ED23F2"/>
    <w:rsid w:val="00ED3D89"/>
    <w:rsid w:val="00ED5987"/>
    <w:rsid w:val="00EF33BF"/>
    <w:rsid w:val="00F65F90"/>
    <w:rsid w:val="00F73019"/>
    <w:rsid w:val="00F950E0"/>
    <w:rsid w:val="00F95F88"/>
    <w:rsid w:val="00FD5AE9"/>
    <w:rsid w:val="00FE072B"/>
    <w:rsid w:val="00FE1B34"/>
    <w:rsid w:val="00FE367A"/>
    <w:rsid w:val="015B1A72"/>
    <w:rsid w:val="016711EE"/>
    <w:rsid w:val="01713B39"/>
    <w:rsid w:val="018A5B30"/>
    <w:rsid w:val="01AB46CC"/>
    <w:rsid w:val="01BC27FF"/>
    <w:rsid w:val="01BD2DE6"/>
    <w:rsid w:val="01BE6D55"/>
    <w:rsid w:val="01F5369F"/>
    <w:rsid w:val="02404BB8"/>
    <w:rsid w:val="02554C52"/>
    <w:rsid w:val="025D71BC"/>
    <w:rsid w:val="02833428"/>
    <w:rsid w:val="02874240"/>
    <w:rsid w:val="029F0981"/>
    <w:rsid w:val="02B820BF"/>
    <w:rsid w:val="02C16089"/>
    <w:rsid w:val="02C17096"/>
    <w:rsid w:val="02CC16D4"/>
    <w:rsid w:val="02E7094F"/>
    <w:rsid w:val="02E854C4"/>
    <w:rsid w:val="02F45D25"/>
    <w:rsid w:val="03206A51"/>
    <w:rsid w:val="032B1098"/>
    <w:rsid w:val="03395265"/>
    <w:rsid w:val="033E7D47"/>
    <w:rsid w:val="03603098"/>
    <w:rsid w:val="038F4501"/>
    <w:rsid w:val="03C4470B"/>
    <w:rsid w:val="03D20F2F"/>
    <w:rsid w:val="03DF6B0B"/>
    <w:rsid w:val="041D3381"/>
    <w:rsid w:val="042A1477"/>
    <w:rsid w:val="042B3360"/>
    <w:rsid w:val="04883512"/>
    <w:rsid w:val="048D380B"/>
    <w:rsid w:val="04A01E07"/>
    <w:rsid w:val="04B60FB7"/>
    <w:rsid w:val="04BB5500"/>
    <w:rsid w:val="04C419DD"/>
    <w:rsid w:val="04C9071F"/>
    <w:rsid w:val="04CB3CC3"/>
    <w:rsid w:val="04E453E5"/>
    <w:rsid w:val="04E568F9"/>
    <w:rsid w:val="04F23FA7"/>
    <w:rsid w:val="05025A5C"/>
    <w:rsid w:val="0506098E"/>
    <w:rsid w:val="051055A2"/>
    <w:rsid w:val="05217065"/>
    <w:rsid w:val="0543285E"/>
    <w:rsid w:val="0571176E"/>
    <w:rsid w:val="05A2767A"/>
    <w:rsid w:val="05BB5667"/>
    <w:rsid w:val="05D8246D"/>
    <w:rsid w:val="06097B10"/>
    <w:rsid w:val="06502523"/>
    <w:rsid w:val="06726838"/>
    <w:rsid w:val="06734A6B"/>
    <w:rsid w:val="067D05AE"/>
    <w:rsid w:val="06822285"/>
    <w:rsid w:val="06863C6A"/>
    <w:rsid w:val="06A115FD"/>
    <w:rsid w:val="06A853F7"/>
    <w:rsid w:val="06B325EC"/>
    <w:rsid w:val="06BE7704"/>
    <w:rsid w:val="06C42529"/>
    <w:rsid w:val="06F2329E"/>
    <w:rsid w:val="06F473BE"/>
    <w:rsid w:val="06FC39C0"/>
    <w:rsid w:val="07030D67"/>
    <w:rsid w:val="070772E9"/>
    <w:rsid w:val="071616D6"/>
    <w:rsid w:val="073A01A6"/>
    <w:rsid w:val="075F58E1"/>
    <w:rsid w:val="07757073"/>
    <w:rsid w:val="07852B0E"/>
    <w:rsid w:val="07897AA1"/>
    <w:rsid w:val="079336F3"/>
    <w:rsid w:val="07973033"/>
    <w:rsid w:val="07B32F18"/>
    <w:rsid w:val="07C66322"/>
    <w:rsid w:val="07E56E6E"/>
    <w:rsid w:val="07F50044"/>
    <w:rsid w:val="07F5230F"/>
    <w:rsid w:val="07F523CB"/>
    <w:rsid w:val="07F816AF"/>
    <w:rsid w:val="0809311A"/>
    <w:rsid w:val="0817273E"/>
    <w:rsid w:val="081875FA"/>
    <w:rsid w:val="08193448"/>
    <w:rsid w:val="08247797"/>
    <w:rsid w:val="08541393"/>
    <w:rsid w:val="085E1859"/>
    <w:rsid w:val="0872408B"/>
    <w:rsid w:val="08997C68"/>
    <w:rsid w:val="08BD14DE"/>
    <w:rsid w:val="08BF7852"/>
    <w:rsid w:val="08C667F7"/>
    <w:rsid w:val="09494C70"/>
    <w:rsid w:val="097B61FD"/>
    <w:rsid w:val="09C33BB7"/>
    <w:rsid w:val="09C50F51"/>
    <w:rsid w:val="09DA26EF"/>
    <w:rsid w:val="09FA03FC"/>
    <w:rsid w:val="0A132F94"/>
    <w:rsid w:val="0A2D450D"/>
    <w:rsid w:val="0A40359A"/>
    <w:rsid w:val="0AEE01A0"/>
    <w:rsid w:val="0AFB25DA"/>
    <w:rsid w:val="0B6C0A98"/>
    <w:rsid w:val="0B8728EC"/>
    <w:rsid w:val="0B906208"/>
    <w:rsid w:val="0BB96CB2"/>
    <w:rsid w:val="0BC072B6"/>
    <w:rsid w:val="0BC95257"/>
    <w:rsid w:val="0BE10706"/>
    <w:rsid w:val="0BE257DB"/>
    <w:rsid w:val="0C037DC2"/>
    <w:rsid w:val="0C167B31"/>
    <w:rsid w:val="0C216FDD"/>
    <w:rsid w:val="0C2529CD"/>
    <w:rsid w:val="0C25691C"/>
    <w:rsid w:val="0C4340E1"/>
    <w:rsid w:val="0C4E4B93"/>
    <w:rsid w:val="0C564312"/>
    <w:rsid w:val="0C5673A8"/>
    <w:rsid w:val="0C596EA7"/>
    <w:rsid w:val="0C641178"/>
    <w:rsid w:val="0C696CD1"/>
    <w:rsid w:val="0C6A2A5A"/>
    <w:rsid w:val="0C6C71B8"/>
    <w:rsid w:val="0CA85B84"/>
    <w:rsid w:val="0CB048C6"/>
    <w:rsid w:val="0CBF10C3"/>
    <w:rsid w:val="0CCA2FD7"/>
    <w:rsid w:val="0CE97FC7"/>
    <w:rsid w:val="0CEE57B8"/>
    <w:rsid w:val="0CF55D29"/>
    <w:rsid w:val="0D186B94"/>
    <w:rsid w:val="0D1D5CAC"/>
    <w:rsid w:val="0D242D03"/>
    <w:rsid w:val="0D295F00"/>
    <w:rsid w:val="0D3172C2"/>
    <w:rsid w:val="0D58399F"/>
    <w:rsid w:val="0D5A5CCC"/>
    <w:rsid w:val="0D5C3372"/>
    <w:rsid w:val="0D7A532C"/>
    <w:rsid w:val="0D7E7DDF"/>
    <w:rsid w:val="0D8610F8"/>
    <w:rsid w:val="0DA75095"/>
    <w:rsid w:val="0DA76008"/>
    <w:rsid w:val="0DAA552E"/>
    <w:rsid w:val="0DC36092"/>
    <w:rsid w:val="0DE26937"/>
    <w:rsid w:val="0DF330F4"/>
    <w:rsid w:val="0E1C75DC"/>
    <w:rsid w:val="0E3D640C"/>
    <w:rsid w:val="0E8163A3"/>
    <w:rsid w:val="0EA10309"/>
    <w:rsid w:val="0EA32EE2"/>
    <w:rsid w:val="0EB45BB1"/>
    <w:rsid w:val="0EC53F2F"/>
    <w:rsid w:val="0ED2335F"/>
    <w:rsid w:val="0F0B415A"/>
    <w:rsid w:val="0F1217AA"/>
    <w:rsid w:val="0F144BBC"/>
    <w:rsid w:val="0F2259F5"/>
    <w:rsid w:val="0F27060A"/>
    <w:rsid w:val="0F3339A8"/>
    <w:rsid w:val="0F3D2D0D"/>
    <w:rsid w:val="0F473A77"/>
    <w:rsid w:val="0F4E4501"/>
    <w:rsid w:val="0F7478CB"/>
    <w:rsid w:val="0F787107"/>
    <w:rsid w:val="0F7B1DDD"/>
    <w:rsid w:val="0FAA4DD8"/>
    <w:rsid w:val="0FCD08DA"/>
    <w:rsid w:val="0FD11F99"/>
    <w:rsid w:val="0FF95E68"/>
    <w:rsid w:val="100777DE"/>
    <w:rsid w:val="10370D82"/>
    <w:rsid w:val="10454329"/>
    <w:rsid w:val="105761E4"/>
    <w:rsid w:val="105915AD"/>
    <w:rsid w:val="10853C81"/>
    <w:rsid w:val="109C04BC"/>
    <w:rsid w:val="10A10F33"/>
    <w:rsid w:val="10C9095E"/>
    <w:rsid w:val="10CF5FDD"/>
    <w:rsid w:val="10E8696E"/>
    <w:rsid w:val="11071EFB"/>
    <w:rsid w:val="113773C4"/>
    <w:rsid w:val="113B1312"/>
    <w:rsid w:val="11615F21"/>
    <w:rsid w:val="116C6CF8"/>
    <w:rsid w:val="118C6D86"/>
    <w:rsid w:val="11A075BF"/>
    <w:rsid w:val="11B877CC"/>
    <w:rsid w:val="11CD0D19"/>
    <w:rsid w:val="11D4721D"/>
    <w:rsid w:val="11D56FD5"/>
    <w:rsid w:val="11E12583"/>
    <w:rsid w:val="120E400C"/>
    <w:rsid w:val="122F4894"/>
    <w:rsid w:val="12324FEA"/>
    <w:rsid w:val="124F30A3"/>
    <w:rsid w:val="1261140C"/>
    <w:rsid w:val="128B03F0"/>
    <w:rsid w:val="12B62C60"/>
    <w:rsid w:val="12EB4931"/>
    <w:rsid w:val="130C3A04"/>
    <w:rsid w:val="132B3E3F"/>
    <w:rsid w:val="13350DA7"/>
    <w:rsid w:val="13622D8B"/>
    <w:rsid w:val="13A32454"/>
    <w:rsid w:val="13BC1ED2"/>
    <w:rsid w:val="13C42217"/>
    <w:rsid w:val="13E12744"/>
    <w:rsid w:val="13F3359B"/>
    <w:rsid w:val="140122BA"/>
    <w:rsid w:val="140236C7"/>
    <w:rsid w:val="140E1A19"/>
    <w:rsid w:val="141D26DC"/>
    <w:rsid w:val="1422335C"/>
    <w:rsid w:val="14413220"/>
    <w:rsid w:val="145A56B9"/>
    <w:rsid w:val="145B0956"/>
    <w:rsid w:val="1473064E"/>
    <w:rsid w:val="14956F81"/>
    <w:rsid w:val="14996C47"/>
    <w:rsid w:val="149A38DC"/>
    <w:rsid w:val="14DA469C"/>
    <w:rsid w:val="15040F72"/>
    <w:rsid w:val="151266B7"/>
    <w:rsid w:val="151D1D75"/>
    <w:rsid w:val="15274710"/>
    <w:rsid w:val="155C79AE"/>
    <w:rsid w:val="159A1DDD"/>
    <w:rsid w:val="15A61D72"/>
    <w:rsid w:val="15D548B2"/>
    <w:rsid w:val="15ED3592"/>
    <w:rsid w:val="1610198D"/>
    <w:rsid w:val="161F332F"/>
    <w:rsid w:val="163A7B81"/>
    <w:rsid w:val="16564F0F"/>
    <w:rsid w:val="166D0BD9"/>
    <w:rsid w:val="166F02D4"/>
    <w:rsid w:val="16AA5965"/>
    <w:rsid w:val="16B64253"/>
    <w:rsid w:val="16E81D43"/>
    <w:rsid w:val="16EE3C3A"/>
    <w:rsid w:val="16F818C4"/>
    <w:rsid w:val="170E52A7"/>
    <w:rsid w:val="17220F70"/>
    <w:rsid w:val="172911C4"/>
    <w:rsid w:val="172C1E8E"/>
    <w:rsid w:val="173C509F"/>
    <w:rsid w:val="174012E2"/>
    <w:rsid w:val="17763CD1"/>
    <w:rsid w:val="178611F6"/>
    <w:rsid w:val="17A164AD"/>
    <w:rsid w:val="17A349F4"/>
    <w:rsid w:val="17ED45DD"/>
    <w:rsid w:val="17FA15AD"/>
    <w:rsid w:val="182156C4"/>
    <w:rsid w:val="1823603C"/>
    <w:rsid w:val="182E5E20"/>
    <w:rsid w:val="183144E4"/>
    <w:rsid w:val="183B36D3"/>
    <w:rsid w:val="183F4544"/>
    <w:rsid w:val="184E4EEA"/>
    <w:rsid w:val="185E4D05"/>
    <w:rsid w:val="18604EE7"/>
    <w:rsid w:val="186E6F1B"/>
    <w:rsid w:val="18703A13"/>
    <w:rsid w:val="187A670C"/>
    <w:rsid w:val="187D7F05"/>
    <w:rsid w:val="18872A69"/>
    <w:rsid w:val="188D0A40"/>
    <w:rsid w:val="1892083D"/>
    <w:rsid w:val="18BA7770"/>
    <w:rsid w:val="18BD0669"/>
    <w:rsid w:val="18F84A79"/>
    <w:rsid w:val="19023E8D"/>
    <w:rsid w:val="19086B81"/>
    <w:rsid w:val="191522B8"/>
    <w:rsid w:val="191A18F8"/>
    <w:rsid w:val="19480DA0"/>
    <w:rsid w:val="19723080"/>
    <w:rsid w:val="19937617"/>
    <w:rsid w:val="19944FC6"/>
    <w:rsid w:val="19CB5AA6"/>
    <w:rsid w:val="19D92431"/>
    <w:rsid w:val="19D94F21"/>
    <w:rsid w:val="19DB0F4C"/>
    <w:rsid w:val="19FB0410"/>
    <w:rsid w:val="19FC5375"/>
    <w:rsid w:val="1A0245B6"/>
    <w:rsid w:val="1A1A4A8A"/>
    <w:rsid w:val="1A367B6B"/>
    <w:rsid w:val="1A48150D"/>
    <w:rsid w:val="1A65309B"/>
    <w:rsid w:val="1A6E66BC"/>
    <w:rsid w:val="1ACF0FB6"/>
    <w:rsid w:val="1AE40215"/>
    <w:rsid w:val="1B2C59CB"/>
    <w:rsid w:val="1B4B2A31"/>
    <w:rsid w:val="1B581D75"/>
    <w:rsid w:val="1B6A171F"/>
    <w:rsid w:val="1B977D5D"/>
    <w:rsid w:val="1BB042E5"/>
    <w:rsid w:val="1BB15C96"/>
    <w:rsid w:val="1BB846C3"/>
    <w:rsid w:val="1BCD2F72"/>
    <w:rsid w:val="1C02425A"/>
    <w:rsid w:val="1C4C4C80"/>
    <w:rsid w:val="1C64058E"/>
    <w:rsid w:val="1C7858C3"/>
    <w:rsid w:val="1C7B5C83"/>
    <w:rsid w:val="1C9760D5"/>
    <w:rsid w:val="1C981BA7"/>
    <w:rsid w:val="1CA11395"/>
    <w:rsid w:val="1CAB4996"/>
    <w:rsid w:val="1CE33407"/>
    <w:rsid w:val="1CE66087"/>
    <w:rsid w:val="1CF15987"/>
    <w:rsid w:val="1CFF750A"/>
    <w:rsid w:val="1D027E05"/>
    <w:rsid w:val="1D1727C6"/>
    <w:rsid w:val="1D21744C"/>
    <w:rsid w:val="1D241F48"/>
    <w:rsid w:val="1D2924BE"/>
    <w:rsid w:val="1D307914"/>
    <w:rsid w:val="1D391D31"/>
    <w:rsid w:val="1D5D6290"/>
    <w:rsid w:val="1D722E70"/>
    <w:rsid w:val="1D7617B6"/>
    <w:rsid w:val="1DCB029E"/>
    <w:rsid w:val="1DD27874"/>
    <w:rsid w:val="1DD531AE"/>
    <w:rsid w:val="1DEC7855"/>
    <w:rsid w:val="1E064728"/>
    <w:rsid w:val="1E5C68EA"/>
    <w:rsid w:val="1E6D2C2A"/>
    <w:rsid w:val="1E6F525C"/>
    <w:rsid w:val="1E736506"/>
    <w:rsid w:val="1E7E2BFE"/>
    <w:rsid w:val="1E9B0ECE"/>
    <w:rsid w:val="1EAD7A6E"/>
    <w:rsid w:val="1ED42EDF"/>
    <w:rsid w:val="1ED942DD"/>
    <w:rsid w:val="1EDC0B38"/>
    <w:rsid w:val="1EE71E56"/>
    <w:rsid w:val="1EE868EE"/>
    <w:rsid w:val="1EF94350"/>
    <w:rsid w:val="1F1378FE"/>
    <w:rsid w:val="1F1459A1"/>
    <w:rsid w:val="1F156686"/>
    <w:rsid w:val="1F183B05"/>
    <w:rsid w:val="1F1C6B8B"/>
    <w:rsid w:val="1F2E0390"/>
    <w:rsid w:val="1F32599A"/>
    <w:rsid w:val="1F384368"/>
    <w:rsid w:val="1F4F6214"/>
    <w:rsid w:val="1F52532A"/>
    <w:rsid w:val="1F69454E"/>
    <w:rsid w:val="1F6F0F50"/>
    <w:rsid w:val="1F7C44DD"/>
    <w:rsid w:val="1F8939D0"/>
    <w:rsid w:val="1F9C2972"/>
    <w:rsid w:val="1FA91C58"/>
    <w:rsid w:val="1FAA3CA8"/>
    <w:rsid w:val="1FBC0CCA"/>
    <w:rsid w:val="1FE91717"/>
    <w:rsid w:val="202A3FA4"/>
    <w:rsid w:val="20490CFE"/>
    <w:rsid w:val="205959E2"/>
    <w:rsid w:val="208011CC"/>
    <w:rsid w:val="208F302F"/>
    <w:rsid w:val="20A73A77"/>
    <w:rsid w:val="20B17E07"/>
    <w:rsid w:val="20B92231"/>
    <w:rsid w:val="20C333C3"/>
    <w:rsid w:val="20F17048"/>
    <w:rsid w:val="20FC4280"/>
    <w:rsid w:val="210E596C"/>
    <w:rsid w:val="21112ACF"/>
    <w:rsid w:val="211239E3"/>
    <w:rsid w:val="21246AE0"/>
    <w:rsid w:val="2126415D"/>
    <w:rsid w:val="213F7E93"/>
    <w:rsid w:val="21554B6B"/>
    <w:rsid w:val="2158314A"/>
    <w:rsid w:val="21684817"/>
    <w:rsid w:val="21690898"/>
    <w:rsid w:val="21774EB2"/>
    <w:rsid w:val="21AF7AB3"/>
    <w:rsid w:val="21BC1C80"/>
    <w:rsid w:val="21BC6B72"/>
    <w:rsid w:val="21D12B7F"/>
    <w:rsid w:val="22190109"/>
    <w:rsid w:val="22273C65"/>
    <w:rsid w:val="22377B57"/>
    <w:rsid w:val="223A2AAC"/>
    <w:rsid w:val="22476FEF"/>
    <w:rsid w:val="22541D56"/>
    <w:rsid w:val="225D49DF"/>
    <w:rsid w:val="22804A3B"/>
    <w:rsid w:val="22832E3D"/>
    <w:rsid w:val="228E3A02"/>
    <w:rsid w:val="229C52CE"/>
    <w:rsid w:val="22C6711E"/>
    <w:rsid w:val="22D16A3F"/>
    <w:rsid w:val="22DC12F3"/>
    <w:rsid w:val="22F743C1"/>
    <w:rsid w:val="230C524B"/>
    <w:rsid w:val="232732E2"/>
    <w:rsid w:val="23346CEB"/>
    <w:rsid w:val="234222BD"/>
    <w:rsid w:val="234F24B6"/>
    <w:rsid w:val="235C18FF"/>
    <w:rsid w:val="23884890"/>
    <w:rsid w:val="23954ED9"/>
    <w:rsid w:val="23A5205B"/>
    <w:rsid w:val="23EC1C94"/>
    <w:rsid w:val="23F0421F"/>
    <w:rsid w:val="23F35793"/>
    <w:rsid w:val="242859A8"/>
    <w:rsid w:val="242C0579"/>
    <w:rsid w:val="243A0ECE"/>
    <w:rsid w:val="24424605"/>
    <w:rsid w:val="245712F0"/>
    <w:rsid w:val="24813906"/>
    <w:rsid w:val="24C34019"/>
    <w:rsid w:val="24C951C4"/>
    <w:rsid w:val="24E828C3"/>
    <w:rsid w:val="251F712E"/>
    <w:rsid w:val="255A7C7C"/>
    <w:rsid w:val="25D54A0E"/>
    <w:rsid w:val="25F37D5F"/>
    <w:rsid w:val="260B6D5F"/>
    <w:rsid w:val="26271608"/>
    <w:rsid w:val="262F3E59"/>
    <w:rsid w:val="26396379"/>
    <w:rsid w:val="266763AA"/>
    <w:rsid w:val="267B5D70"/>
    <w:rsid w:val="269D6463"/>
    <w:rsid w:val="26A36AC6"/>
    <w:rsid w:val="26AE3B53"/>
    <w:rsid w:val="26F17305"/>
    <w:rsid w:val="26FE7C9B"/>
    <w:rsid w:val="270323DB"/>
    <w:rsid w:val="2747228B"/>
    <w:rsid w:val="275439A0"/>
    <w:rsid w:val="277E1547"/>
    <w:rsid w:val="27805887"/>
    <w:rsid w:val="2790641E"/>
    <w:rsid w:val="27D7429E"/>
    <w:rsid w:val="28297FDF"/>
    <w:rsid w:val="28530B61"/>
    <w:rsid w:val="28711F17"/>
    <w:rsid w:val="28895D08"/>
    <w:rsid w:val="288D47ED"/>
    <w:rsid w:val="289132F6"/>
    <w:rsid w:val="29030D45"/>
    <w:rsid w:val="29681293"/>
    <w:rsid w:val="2970518E"/>
    <w:rsid w:val="299C20BC"/>
    <w:rsid w:val="29DB6AD3"/>
    <w:rsid w:val="29E44796"/>
    <w:rsid w:val="2A070B56"/>
    <w:rsid w:val="2A071D70"/>
    <w:rsid w:val="2A0839D6"/>
    <w:rsid w:val="2A0D2239"/>
    <w:rsid w:val="2A0D7CA0"/>
    <w:rsid w:val="2A1B7296"/>
    <w:rsid w:val="2A453015"/>
    <w:rsid w:val="2A5E6B0E"/>
    <w:rsid w:val="2A6442F9"/>
    <w:rsid w:val="2A9442B5"/>
    <w:rsid w:val="2A9772BC"/>
    <w:rsid w:val="2AEA1DD0"/>
    <w:rsid w:val="2AEC33CB"/>
    <w:rsid w:val="2B110253"/>
    <w:rsid w:val="2B2F6C0C"/>
    <w:rsid w:val="2B5124EB"/>
    <w:rsid w:val="2BB71E8D"/>
    <w:rsid w:val="2BB76FCE"/>
    <w:rsid w:val="2BC551F3"/>
    <w:rsid w:val="2C0F6A38"/>
    <w:rsid w:val="2C1157D4"/>
    <w:rsid w:val="2C144C99"/>
    <w:rsid w:val="2C196DEB"/>
    <w:rsid w:val="2C2841B5"/>
    <w:rsid w:val="2C2A49F9"/>
    <w:rsid w:val="2C2D145D"/>
    <w:rsid w:val="2C352F2F"/>
    <w:rsid w:val="2C766CB8"/>
    <w:rsid w:val="2C8A13F9"/>
    <w:rsid w:val="2CAA3FDC"/>
    <w:rsid w:val="2CC622D9"/>
    <w:rsid w:val="2D317A41"/>
    <w:rsid w:val="2D3B3397"/>
    <w:rsid w:val="2D3D0114"/>
    <w:rsid w:val="2D4B633E"/>
    <w:rsid w:val="2D6F4670"/>
    <w:rsid w:val="2D97089D"/>
    <w:rsid w:val="2DA50817"/>
    <w:rsid w:val="2DBE60CA"/>
    <w:rsid w:val="2DC00359"/>
    <w:rsid w:val="2DC43590"/>
    <w:rsid w:val="2DDF29EE"/>
    <w:rsid w:val="2DE6474C"/>
    <w:rsid w:val="2E005331"/>
    <w:rsid w:val="2E1517BA"/>
    <w:rsid w:val="2E1E3FA2"/>
    <w:rsid w:val="2E3E5BAD"/>
    <w:rsid w:val="2E4C6123"/>
    <w:rsid w:val="2E5F4206"/>
    <w:rsid w:val="2E6F406F"/>
    <w:rsid w:val="2E976004"/>
    <w:rsid w:val="2E9E6B85"/>
    <w:rsid w:val="2EBC106A"/>
    <w:rsid w:val="2EC06204"/>
    <w:rsid w:val="2ECF3923"/>
    <w:rsid w:val="2ED336A5"/>
    <w:rsid w:val="2EFA439F"/>
    <w:rsid w:val="2EFD5A4C"/>
    <w:rsid w:val="2F055CCC"/>
    <w:rsid w:val="2F227D75"/>
    <w:rsid w:val="2F2D3915"/>
    <w:rsid w:val="2F366687"/>
    <w:rsid w:val="2F407E33"/>
    <w:rsid w:val="2F693667"/>
    <w:rsid w:val="2F797624"/>
    <w:rsid w:val="2F8E5A77"/>
    <w:rsid w:val="2FBF79EC"/>
    <w:rsid w:val="2FC31DA1"/>
    <w:rsid w:val="2FCE2F1E"/>
    <w:rsid w:val="2FD06000"/>
    <w:rsid w:val="2FDA0EAA"/>
    <w:rsid w:val="2FF0011B"/>
    <w:rsid w:val="2FF91899"/>
    <w:rsid w:val="300A1DA8"/>
    <w:rsid w:val="301B2A04"/>
    <w:rsid w:val="304076B5"/>
    <w:rsid w:val="30590DFA"/>
    <w:rsid w:val="308C3386"/>
    <w:rsid w:val="308F36BD"/>
    <w:rsid w:val="309535B7"/>
    <w:rsid w:val="30AB2E82"/>
    <w:rsid w:val="30B95620"/>
    <w:rsid w:val="30C02D08"/>
    <w:rsid w:val="30C403F4"/>
    <w:rsid w:val="30EC4A51"/>
    <w:rsid w:val="30EC5972"/>
    <w:rsid w:val="30F03359"/>
    <w:rsid w:val="31171C07"/>
    <w:rsid w:val="31302287"/>
    <w:rsid w:val="31423B08"/>
    <w:rsid w:val="31441E89"/>
    <w:rsid w:val="314C055E"/>
    <w:rsid w:val="3163681E"/>
    <w:rsid w:val="316C0915"/>
    <w:rsid w:val="317711F0"/>
    <w:rsid w:val="31A6454E"/>
    <w:rsid w:val="31B05F0B"/>
    <w:rsid w:val="31ED2194"/>
    <w:rsid w:val="31EE66FD"/>
    <w:rsid w:val="3201738E"/>
    <w:rsid w:val="32053199"/>
    <w:rsid w:val="32291329"/>
    <w:rsid w:val="326463CB"/>
    <w:rsid w:val="32656F6B"/>
    <w:rsid w:val="3267515E"/>
    <w:rsid w:val="32700D91"/>
    <w:rsid w:val="32723C2F"/>
    <w:rsid w:val="32AA7142"/>
    <w:rsid w:val="32E81A42"/>
    <w:rsid w:val="32F33B11"/>
    <w:rsid w:val="32F839EC"/>
    <w:rsid w:val="33300F59"/>
    <w:rsid w:val="33A8490B"/>
    <w:rsid w:val="33BB7EEC"/>
    <w:rsid w:val="33C071B9"/>
    <w:rsid w:val="33EF1789"/>
    <w:rsid w:val="33FE5BC3"/>
    <w:rsid w:val="342F295D"/>
    <w:rsid w:val="343E6FBB"/>
    <w:rsid w:val="34611785"/>
    <w:rsid w:val="3482492C"/>
    <w:rsid w:val="34871A8B"/>
    <w:rsid w:val="34961FFD"/>
    <w:rsid w:val="34BC4FC4"/>
    <w:rsid w:val="34C6066E"/>
    <w:rsid w:val="34CF4239"/>
    <w:rsid w:val="34D72D0D"/>
    <w:rsid w:val="34EF6CEF"/>
    <w:rsid w:val="34F567D9"/>
    <w:rsid w:val="34F80752"/>
    <w:rsid w:val="34FA6D2D"/>
    <w:rsid w:val="350343E8"/>
    <w:rsid w:val="350C2077"/>
    <w:rsid w:val="351B25AD"/>
    <w:rsid w:val="355B5B18"/>
    <w:rsid w:val="35603443"/>
    <w:rsid w:val="356104CA"/>
    <w:rsid w:val="35685453"/>
    <w:rsid w:val="35743636"/>
    <w:rsid w:val="35793E3D"/>
    <w:rsid w:val="35887DE8"/>
    <w:rsid w:val="35970799"/>
    <w:rsid w:val="35975790"/>
    <w:rsid w:val="359A7077"/>
    <w:rsid w:val="35C235B9"/>
    <w:rsid w:val="35C93FB3"/>
    <w:rsid w:val="35D15DD3"/>
    <w:rsid w:val="35DC457F"/>
    <w:rsid w:val="35EF54DF"/>
    <w:rsid w:val="35F11A9B"/>
    <w:rsid w:val="3605258B"/>
    <w:rsid w:val="3613387B"/>
    <w:rsid w:val="362833AA"/>
    <w:rsid w:val="3644283D"/>
    <w:rsid w:val="36574A60"/>
    <w:rsid w:val="367D3D4C"/>
    <w:rsid w:val="36850129"/>
    <w:rsid w:val="36BC34AB"/>
    <w:rsid w:val="36D97D13"/>
    <w:rsid w:val="370342C3"/>
    <w:rsid w:val="37096343"/>
    <w:rsid w:val="37130631"/>
    <w:rsid w:val="371435CC"/>
    <w:rsid w:val="371F0B21"/>
    <w:rsid w:val="372321EC"/>
    <w:rsid w:val="3732255B"/>
    <w:rsid w:val="373C1273"/>
    <w:rsid w:val="37502287"/>
    <w:rsid w:val="375676C6"/>
    <w:rsid w:val="375B2131"/>
    <w:rsid w:val="376A51B2"/>
    <w:rsid w:val="380865F4"/>
    <w:rsid w:val="38112EE2"/>
    <w:rsid w:val="38302B72"/>
    <w:rsid w:val="383C6D41"/>
    <w:rsid w:val="384570BA"/>
    <w:rsid w:val="384B3034"/>
    <w:rsid w:val="386307EC"/>
    <w:rsid w:val="38774AC3"/>
    <w:rsid w:val="38825AE3"/>
    <w:rsid w:val="38854C56"/>
    <w:rsid w:val="38942568"/>
    <w:rsid w:val="38A84023"/>
    <w:rsid w:val="38BF2A95"/>
    <w:rsid w:val="38C167F2"/>
    <w:rsid w:val="38C2375B"/>
    <w:rsid w:val="38D109FB"/>
    <w:rsid w:val="38D455E8"/>
    <w:rsid w:val="38F03276"/>
    <w:rsid w:val="38FF08DA"/>
    <w:rsid w:val="390D60AE"/>
    <w:rsid w:val="39130547"/>
    <w:rsid w:val="391879DB"/>
    <w:rsid w:val="39354513"/>
    <w:rsid w:val="393B4B43"/>
    <w:rsid w:val="39436327"/>
    <w:rsid w:val="3971575F"/>
    <w:rsid w:val="39965F09"/>
    <w:rsid w:val="39BF4F44"/>
    <w:rsid w:val="39CB42DB"/>
    <w:rsid w:val="39CF640E"/>
    <w:rsid w:val="39E93921"/>
    <w:rsid w:val="39F437A3"/>
    <w:rsid w:val="3A077187"/>
    <w:rsid w:val="3A17229D"/>
    <w:rsid w:val="3A1D7EE2"/>
    <w:rsid w:val="3A2E77F5"/>
    <w:rsid w:val="3A3E3363"/>
    <w:rsid w:val="3A5348DB"/>
    <w:rsid w:val="3A65268D"/>
    <w:rsid w:val="3A72068F"/>
    <w:rsid w:val="3A7E1517"/>
    <w:rsid w:val="3AA50745"/>
    <w:rsid w:val="3AD95B40"/>
    <w:rsid w:val="3ADE1828"/>
    <w:rsid w:val="3AF955B2"/>
    <w:rsid w:val="3B1D757A"/>
    <w:rsid w:val="3B252F8C"/>
    <w:rsid w:val="3B343EDD"/>
    <w:rsid w:val="3B5253A0"/>
    <w:rsid w:val="3B7704DA"/>
    <w:rsid w:val="3B861D97"/>
    <w:rsid w:val="3BF612C5"/>
    <w:rsid w:val="3C0A1CD9"/>
    <w:rsid w:val="3C0F3905"/>
    <w:rsid w:val="3C122E11"/>
    <w:rsid w:val="3C131752"/>
    <w:rsid w:val="3C2161FD"/>
    <w:rsid w:val="3C2A447A"/>
    <w:rsid w:val="3C2C6C53"/>
    <w:rsid w:val="3C313CAD"/>
    <w:rsid w:val="3C331485"/>
    <w:rsid w:val="3C352D87"/>
    <w:rsid w:val="3C430D35"/>
    <w:rsid w:val="3C435AEC"/>
    <w:rsid w:val="3C5021B7"/>
    <w:rsid w:val="3C7D1AEB"/>
    <w:rsid w:val="3C8611EC"/>
    <w:rsid w:val="3D115385"/>
    <w:rsid w:val="3D1E2634"/>
    <w:rsid w:val="3D437C86"/>
    <w:rsid w:val="3D584C81"/>
    <w:rsid w:val="3D6D573F"/>
    <w:rsid w:val="3DA73181"/>
    <w:rsid w:val="3DD36AA2"/>
    <w:rsid w:val="3DF92770"/>
    <w:rsid w:val="3DFF6F6C"/>
    <w:rsid w:val="3E147CFF"/>
    <w:rsid w:val="3E681075"/>
    <w:rsid w:val="3E760F84"/>
    <w:rsid w:val="3E866312"/>
    <w:rsid w:val="3E97012B"/>
    <w:rsid w:val="3E975368"/>
    <w:rsid w:val="3EAD1CF8"/>
    <w:rsid w:val="3EC47BD2"/>
    <w:rsid w:val="3EC90E38"/>
    <w:rsid w:val="3ED00487"/>
    <w:rsid w:val="3EDA4FA2"/>
    <w:rsid w:val="3F005C9E"/>
    <w:rsid w:val="3F0D4812"/>
    <w:rsid w:val="3F282E9F"/>
    <w:rsid w:val="3F2C0347"/>
    <w:rsid w:val="3F374DC4"/>
    <w:rsid w:val="3F3D586E"/>
    <w:rsid w:val="3F5630BD"/>
    <w:rsid w:val="3F65612C"/>
    <w:rsid w:val="3F6E7C2D"/>
    <w:rsid w:val="3F70176B"/>
    <w:rsid w:val="3F8230B2"/>
    <w:rsid w:val="3F940CF0"/>
    <w:rsid w:val="3F9E59E2"/>
    <w:rsid w:val="3FA0315A"/>
    <w:rsid w:val="3FA20B3D"/>
    <w:rsid w:val="3FAB4410"/>
    <w:rsid w:val="3FBF6292"/>
    <w:rsid w:val="3FDC0A94"/>
    <w:rsid w:val="3FE01F0D"/>
    <w:rsid w:val="3FF1084E"/>
    <w:rsid w:val="3FF14E5F"/>
    <w:rsid w:val="3FF62764"/>
    <w:rsid w:val="40037298"/>
    <w:rsid w:val="400518F0"/>
    <w:rsid w:val="40095DF2"/>
    <w:rsid w:val="40096D4F"/>
    <w:rsid w:val="400D3523"/>
    <w:rsid w:val="401D09AD"/>
    <w:rsid w:val="40392645"/>
    <w:rsid w:val="40447964"/>
    <w:rsid w:val="40462A73"/>
    <w:rsid w:val="405F3C64"/>
    <w:rsid w:val="40747377"/>
    <w:rsid w:val="40854215"/>
    <w:rsid w:val="40AF0DC9"/>
    <w:rsid w:val="40B000CF"/>
    <w:rsid w:val="40C0677C"/>
    <w:rsid w:val="40C16EB7"/>
    <w:rsid w:val="40C32B69"/>
    <w:rsid w:val="40D46B59"/>
    <w:rsid w:val="40F84F7E"/>
    <w:rsid w:val="413103F8"/>
    <w:rsid w:val="41353D12"/>
    <w:rsid w:val="416449E8"/>
    <w:rsid w:val="417748C9"/>
    <w:rsid w:val="419025D4"/>
    <w:rsid w:val="41915C79"/>
    <w:rsid w:val="41B2037B"/>
    <w:rsid w:val="41B66AD5"/>
    <w:rsid w:val="41E4182E"/>
    <w:rsid w:val="41EB274A"/>
    <w:rsid w:val="420B174F"/>
    <w:rsid w:val="420D4EC9"/>
    <w:rsid w:val="421002CD"/>
    <w:rsid w:val="4219103D"/>
    <w:rsid w:val="42466253"/>
    <w:rsid w:val="4253630D"/>
    <w:rsid w:val="42806731"/>
    <w:rsid w:val="42812838"/>
    <w:rsid w:val="42893A6F"/>
    <w:rsid w:val="42925275"/>
    <w:rsid w:val="42926330"/>
    <w:rsid w:val="429F422D"/>
    <w:rsid w:val="42BD2135"/>
    <w:rsid w:val="42C67899"/>
    <w:rsid w:val="42CB4878"/>
    <w:rsid w:val="42E064FC"/>
    <w:rsid w:val="42E43D8F"/>
    <w:rsid w:val="43063BCD"/>
    <w:rsid w:val="43084F8C"/>
    <w:rsid w:val="43317D74"/>
    <w:rsid w:val="433949E1"/>
    <w:rsid w:val="433C2312"/>
    <w:rsid w:val="434F5749"/>
    <w:rsid w:val="435565DA"/>
    <w:rsid w:val="43720171"/>
    <w:rsid w:val="437D7A6F"/>
    <w:rsid w:val="43820C2B"/>
    <w:rsid w:val="439941CC"/>
    <w:rsid w:val="439961E9"/>
    <w:rsid w:val="439B7BE1"/>
    <w:rsid w:val="43A6527C"/>
    <w:rsid w:val="43AB429F"/>
    <w:rsid w:val="43C34D44"/>
    <w:rsid w:val="43D55B9E"/>
    <w:rsid w:val="440C6A7B"/>
    <w:rsid w:val="441B561F"/>
    <w:rsid w:val="44610767"/>
    <w:rsid w:val="44680C85"/>
    <w:rsid w:val="446B1465"/>
    <w:rsid w:val="446F7E53"/>
    <w:rsid w:val="447328CC"/>
    <w:rsid w:val="44832E70"/>
    <w:rsid w:val="448C4300"/>
    <w:rsid w:val="448F1919"/>
    <w:rsid w:val="44F920BD"/>
    <w:rsid w:val="451165D2"/>
    <w:rsid w:val="4518417E"/>
    <w:rsid w:val="452D148E"/>
    <w:rsid w:val="45405F8D"/>
    <w:rsid w:val="45590A95"/>
    <w:rsid w:val="455B3C34"/>
    <w:rsid w:val="455E29CC"/>
    <w:rsid w:val="457A4215"/>
    <w:rsid w:val="45933F7E"/>
    <w:rsid w:val="459509E2"/>
    <w:rsid w:val="459C5144"/>
    <w:rsid w:val="45CA4653"/>
    <w:rsid w:val="45CD765E"/>
    <w:rsid w:val="45F0574A"/>
    <w:rsid w:val="4601563F"/>
    <w:rsid w:val="460F28CE"/>
    <w:rsid w:val="46126BA2"/>
    <w:rsid w:val="463C140E"/>
    <w:rsid w:val="464D186E"/>
    <w:rsid w:val="465B6D29"/>
    <w:rsid w:val="466A241A"/>
    <w:rsid w:val="467A44F2"/>
    <w:rsid w:val="468874DA"/>
    <w:rsid w:val="46894978"/>
    <w:rsid w:val="46912C6C"/>
    <w:rsid w:val="46954BFF"/>
    <w:rsid w:val="46961618"/>
    <w:rsid w:val="46BA2397"/>
    <w:rsid w:val="46C37A2E"/>
    <w:rsid w:val="46CB02A5"/>
    <w:rsid w:val="46CD3D04"/>
    <w:rsid w:val="46CD3FB6"/>
    <w:rsid w:val="46F51909"/>
    <w:rsid w:val="46FC608A"/>
    <w:rsid w:val="47005C87"/>
    <w:rsid w:val="47153967"/>
    <w:rsid w:val="471C7BA4"/>
    <w:rsid w:val="4727573F"/>
    <w:rsid w:val="472950A1"/>
    <w:rsid w:val="475E67CE"/>
    <w:rsid w:val="476C6937"/>
    <w:rsid w:val="47817179"/>
    <w:rsid w:val="47CB03D0"/>
    <w:rsid w:val="47CB3041"/>
    <w:rsid w:val="481F18F1"/>
    <w:rsid w:val="48274BF8"/>
    <w:rsid w:val="48353CE1"/>
    <w:rsid w:val="484A425C"/>
    <w:rsid w:val="484C462C"/>
    <w:rsid w:val="486A0BCB"/>
    <w:rsid w:val="487566C4"/>
    <w:rsid w:val="488E5427"/>
    <w:rsid w:val="48CB29D5"/>
    <w:rsid w:val="48D93F4F"/>
    <w:rsid w:val="48F22AB7"/>
    <w:rsid w:val="490B0ECE"/>
    <w:rsid w:val="491D3DF7"/>
    <w:rsid w:val="492E56DB"/>
    <w:rsid w:val="494D207F"/>
    <w:rsid w:val="49646409"/>
    <w:rsid w:val="49790442"/>
    <w:rsid w:val="499701DA"/>
    <w:rsid w:val="49A30989"/>
    <w:rsid w:val="49AC72CC"/>
    <w:rsid w:val="49E81D3F"/>
    <w:rsid w:val="49FE4361"/>
    <w:rsid w:val="4A0A6FBE"/>
    <w:rsid w:val="4A0B5B61"/>
    <w:rsid w:val="4A1177DC"/>
    <w:rsid w:val="4A1F0003"/>
    <w:rsid w:val="4A3272C6"/>
    <w:rsid w:val="4A626D24"/>
    <w:rsid w:val="4A6E2671"/>
    <w:rsid w:val="4A7826BA"/>
    <w:rsid w:val="4A7E01A7"/>
    <w:rsid w:val="4A8B3677"/>
    <w:rsid w:val="4A9009D6"/>
    <w:rsid w:val="4A9765C4"/>
    <w:rsid w:val="4A9964C6"/>
    <w:rsid w:val="4A9D5805"/>
    <w:rsid w:val="4AAE06FB"/>
    <w:rsid w:val="4AB92205"/>
    <w:rsid w:val="4AB96803"/>
    <w:rsid w:val="4AE60787"/>
    <w:rsid w:val="4B08477A"/>
    <w:rsid w:val="4B090C90"/>
    <w:rsid w:val="4B1274B0"/>
    <w:rsid w:val="4B1E30F3"/>
    <w:rsid w:val="4B260709"/>
    <w:rsid w:val="4B2909E9"/>
    <w:rsid w:val="4B322E84"/>
    <w:rsid w:val="4B36651B"/>
    <w:rsid w:val="4B3C7082"/>
    <w:rsid w:val="4B490FE4"/>
    <w:rsid w:val="4B4D7C06"/>
    <w:rsid w:val="4B547951"/>
    <w:rsid w:val="4B5E6909"/>
    <w:rsid w:val="4B817C17"/>
    <w:rsid w:val="4B886082"/>
    <w:rsid w:val="4B99146D"/>
    <w:rsid w:val="4BA44505"/>
    <w:rsid w:val="4BAA206F"/>
    <w:rsid w:val="4BE24F20"/>
    <w:rsid w:val="4BF55A99"/>
    <w:rsid w:val="4C411598"/>
    <w:rsid w:val="4C6B006F"/>
    <w:rsid w:val="4C7D49D5"/>
    <w:rsid w:val="4C8A01B7"/>
    <w:rsid w:val="4C9405CF"/>
    <w:rsid w:val="4CAF6A00"/>
    <w:rsid w:val="4CF21692"/>
    <w:rsid w:val="4D6B4CF8"/>
    <w:rsid w:val="4DA63818"/>
    <w:rsid w:val="4DAF4FCB"/>
    <w:rsid w:val="4DBA4041"/>
    <w:rsid w:val="4DE342C9"/>
    <w:rsid w:val="4DF15D68"/>
    <w:rsid w:val="4E0C2120"/>
    <w:rsid w:val="4E364AEC"/>
    <w:rsid w:val="4E3778E2"/>
    <w:rsid w:val="4E5B603D"/>
    <w:rsid w:val="4E6F623C"/>
    <w:rsid w:val="4E704A0E"/>
    <w:rsid w:val="4E7F4B23"/>
    <w:rsid w:val="4EA12F7A"/>
    <w:rsid w:val="4EAB0A68"/>
    <w:rsid w:val="4EB5203E"/>
    <w:rsid w:val="4EBF28D5"/>
    <w:rsid w:val="4EC5220D"/>
    <w:rsid w:val="4EC75A80"/>
    <w:rsid w:val="4ED570C1"/>
    <w:rsid w:val="4EE171C5"/>
    <w:rsid w:val="4EE95FEF"/>
    <w:rsid w:val="4EF96146"/>
    <w:rsid w:val="4F02039B"/>
    <w:rsid w:val="4F103498"/>
    <w:rsid w:val="4F403C34"/>
    <w:rsid w:val="4F5C7D5F"/>
    <w:rsid w:val="4F6D6BC4"/>
    <w:rsid w:val="4F7501BF"/>
    <w:rsid w:val="4FBB20DB"/>
    <w:rsid w:val="4FBB2799"/>
    <w:rsid w:val="4FD0191C"/>
    <w:rsid w:val="4FE74135"/>
    <w:rsid w:val="4FF1408F"/>
    <w:rsid w:val="50161DAD"/>
    <w:rsid w:val="50252B8B"/>
    <w:rsid w:val="50415B13"/>
    <w:rsid w:val="5056600A"/>
    <w:rsid w:val="507A1CEB"/>
    <w:rsid w:val="50912625"/>
    <w:rsid w:val="50A202AC"/>
    <w:rsid w:val="50B17C78"/>
    <w:rsid w:val="50CB7BD0"/>
    <w:rsid w:val="50E22FA3"/>
    <w:rsid w:val="50FE1606"/>
    <w:rsid w:val="510A3746"/>
    <w:rsid w:val="5112095A"/>
    <w:rsid w:val="512D3B08"/>
    <w:rsid w:val="515A0FCA"/>
    <w:rsid w:val="51624F1F"/>
    <w:rsid w:val="5163671F"/>
    <w:rsid w:val="51640964"/>
    <w:rsid w:val="5178409D"/>
    <w:rsid w:val="51792287"/>
    <w:rsid w:val="517C2672"/>
    <w:rsid w:val="519572B1"/>
    <w:rsid w:val="519B1122"/>
    <w:rsid w:val="51A6661D"/>
    <w:rsid w:val="51C07772"/>
    <w:rsid w:val="51FF70F6"/>
    <w:rsid w:val="52013E99"/>
    <w:rsid w:val="520F663F"/>
    <w:rsid w:val="52132323"/>
    <w:rsid w:val="523514B8"/>
    <w:rsid w:val="526A7267"/>
    <w:rsid w:val="52872467"/>
    <w:rsid w:val="52883FDA"/>
    <w:rsid w:val="528D4069"/>
    <w:rsid w:val="52D42A22"/>
    <w:rsid w:val="52EB6767"/>
    <w:rsid w:val="52F5497F"/>
    <w:rsid w:val="531A0C2B"/>
    <w:rsid w:val="536E1711"/>
    <w:rsid w:val="5372541D"/>
    <w:rsid w:val="538F5490"/>
    <w:rsid w:val="53AB03FC"/>
    <w:rsid w:val="53DB106B"/>
    <w:rsid w:val="53EB4332"/>
    <w:rsid w:val="53F41FEA"/>
    <w:rsid w:val="53F705D4"/>
    <w:rsid w:val="54473171"/>
    <w:rsid w:val="544B52DA"/>
    <w:rsid w:val="545D16B9"/>
    <w:rsid w:val="54640221"/>
    <w:rsid w:val="547312D7"/>
    <w:rsid w:val="54855F4D"/>
    <w:rsid w:val="54917999"/>
    <w:rsid w:val="54AB49CA"/>
    <w:rsid w:val="54BE4EBD"/>
    <w:rsid w:val="54C50F73"/>
    <w:rsid w:val="54E341F6"/>
    <w:rsid w:val="54E6796C"/>
    <w:rsid w:val="55002686"/>
    <w:rsid w:val="5502625A"/>
    <w:rsid w:val="552C2007"/>
    <w:rsid w:val="5540769B"/>
    <w:rsid w:val="555532B9"/>
    <w:rsid w:val="55790863"/>
    <w:rsid w:val="558F03E9"/>
    <w:rsid w:val="559F4DBA"/>
    <w:rsid w:val="55B3289D"/>
    <w:rsid w:val="55D33CAC"/>
    <w:rsid w:val="55DA0296"/>
    <w:rsid w:val="55E30B56"/>
    <w:rsid w:val="55F475E0"/>
    <w:rsid w:val="55FD758D"/>
    <w:rsid w:val="56005151"/>
    <w:rsid w:val="560B14A3"/>
    <w:rsid w:val="563E32EF"/>
    <w:rsid w:val="564E65D2"/>
    <w:rsid w:val="566149A0"/>
    <w:rsid w:val="566361FD"/>
    <w:rsid w:val="567D5B34"/>
    <w:rsid w:val="56A02A34"/>
    <w:rsid w:val="56A5120D"/>
    <w:rsid w:val="56B92CC9"/>
    <w:rsid w:val="56BC2730"/>
    <w:rsid w:val="56C10BBD"/>
    <w:rsid w:val="56F33F11"/>
    <w:rsid w:val="56FE372E"/>
    <w:rsid w:val="571C6F97"/>
    <w:rsid w:val="5723399A"/>
    <w:rsid w:val="575A1EAB"/>
    <w:rsid w:val="575A6321"/>
    <w:rsid w:val="577846B7"/>
    <w:rsid w:val="57965239"/>
    <w:rsid w:val="57A826E5"/>
    <w:rsid w:val="580D0C9C"/>
    <w:rsid w:val="581F6E56"/>
    <w:rsid w:val="58463254"/>
    <w:rsid w:val="58521D53"/>
    <w:rsid w:val="5857365C"/>
    <w:rsid w:val="587436B6"/>
    <w:rsid w:val="5885537D"/>
    <w:rsid w:val="58952426"/>
    <w:rsid w:val="58BD1968"/>
    <w:rsid w:val="58CD0999"/>
    <w:rsid w:val="58D810A8"/>
    <w:rsid w:val="5902395B"/>
    <w:rsid w:val="592458FF"/>
    <w:rsid w:val="59474535"/>
    <w:rsid w:val="59516D7F"/>
    <w:rsid w:val="59666AFC"/>
    <w:rsid w:val="59FC7149"/>
    <w:rsid w:val="5A4744B7"/>
    <w:rsid w:val="5A79102E"/>
    <w:rsid w:val="5A7D281A"/>
    <w:rsid w:val="5A980756"/>
    <w:rsid w:val="5AB658C3"/>
    <w:rsid w:val="5AC92437"/>
    <w:rsid w:val="5ACB70F5"/>
    <w:rsid w:val="5AD90E11"/>
    <w:rsid w:val="5AF40037"/>
    <w:rsid w:val="5B1217B8"/>
    <w:rsid w:val="5B2D4A06"/>
    <w:rsid w:val="5B310AAE"/>
    <w:rsid w:val="5B38508A"/>
    <w:rsid w:val="5B827A51"/>
    <w:rsid w:val="5B943658"/>
    <w:rsid w:val="5B9D7ADE"/>
    <w:rsid w:val="5BA03134"/>
    <w:rsid w:val="5BA56608"/>
    <w:rsid w:val="5BAC764F"/>
    <w:rsid w:val="5BF43AFF"/>
    <w:rsid w:val="5BFB2026"/>
    <w:rsid w:val="5C1703C7"/>
    <w:rsid w:val="5C335E57"/>
    <w:rsid w:val="5C5412F1"/>
    <w:rsid w:val="5C5527A0"/>
    <w:rsid w:val="5C5B15B4"/>
    <w:rsid w:val="5C5C7206"/>
    <w:rsid w:val="5C5E5596"/>
    <w:rsid w:val="5C6253B4"/>
    <w:rsid w:val="5C7409F0"/>
    <w:rsid w:val="5C787CA0"/>
    <w:rsid w:val="5C7F330B"/>
    <w:rsid w:val="5C8B662C"/>
    <w:rsid w:val="5CBF0AA1"/>
    <w:rsid w:val="5CDF22CE"/>
    <w:rsid w:val="5CFD7C6E"/>
    <w:rsid w:val="5CFE4369"/>
    <w:rsid w:val="5D3D7FAD"/>
    <w:rsid w:val="5D3E78BA"/>
    <w:rsid w:val="5D615BB4"/>
    <w:rsid w:val="5D750367"/>
    <w:rsid w:val="5DCE6E42"/>
    <w:rsid w:val="5DFD0052"/>
    <w:rsid w:val="5DFF2005"/>
    <w:rsid w:val="5E036D3C"/>
    <w:rsid w:val="5E0F305F"/>
    <w:rsid w:val="5E2834E2"/>
    <w:rsid w:val="5E2C7F0A"/>
    <w:rsid w:val="5E3A5B39"/>
    <w:rsid w:val="5E3A7AC9"/>
    <w:rsid w:val="5E3B1CDB"/>
    <w:rsid w:val="5E55553E"/>
    <w:rsid w:val="5E6B2910"/>
    <w:rsid w:val="5E806A59"/>
    <w:rsid w:val="5E8638A3"/>
    <w:rsid w:val="5EA90F12"/>
    <w:rsid w:val="5EAF3F87"/>
    <w:rsid w:val="5EB85F8A"/>
    <w:rsid w:val="5ED17F4C"/>
    <w:rsid w:val="5EDD34B2"/>
    <w:rsid w:val="5EEF0686"/>
    <w:rsid w:val="5F01098B"/>
    <w:rsid w:val="5F1C0704"/>
    <w:rsid w:val="5F61081B"/>
    <w:rsid w:val="5F6546F9"/>
    <w:rsid w:val="5F6E3704"/>
    <w:rsid w:val="5F823C3D"/>
    <w:rsid w:val="5F8C4020"/>
    <w:rsid w:val="5F8E103F"/>
    <w:rsid w:val="5F920AEF"/>
    <w:rsid w:val="5FCA4333"/>
    <w:rsid w:val="5FE7161D"/>
    <w:rsid w:val="6002043B"/>
    <w:rsid w:val="60115454"/>
    <w:rsid w:val="601A5517"/>
    <w:rsid w:val="60430FDE"/>
    <w:rsid w:val="60485E80"/>
    <w:rsid w:val="604C0710"/>
    <w:rsid w:val="607552E7"/>
    <w:rsid w:val="60832E2F"/>
    <w:rsid w:val="60896969"/>
    <w:rsid w:val="608B1CE0"/>
    <w:rsid w:val="60967E7C"/>
    <w:rsid w:val="609958F7"/>
    <w:rsid w:val="609C752C"/>
    <w:rsid w:val="60AD478A"/>
    <w:rsid w:val="60DA525A"/>
    <w:rsid w:val="60DD6680"/>
    <w:rsid w:val="60E06840"/>
    <w:rsid w:val="60E95D40"/>
    <w:rsid w:val="61354F97"/>
    <w:rsid w:val="614E24F3"/>
    <w:rsid w:val="61660590"/>
    <w:rsid w:val="61664691"/>
    <w:rsid w:val="6167795A"/>
    <w:rsid w:val="616A3D36"/>
    <w:rsid w:val="616A5AB3"/>
    <w:rsid w:val="619916E4"/>
    <w:rsid w:val="61C5356B"/>
    <w:rsid w:val="61F61210"/>
    <w:rsid w:val="61FD6FD2"/>
    <w:rsid w:val="62522435"/>
    <w:rsid w:val="625313F8"/>
    <w:rsid w:val="62796AC2"/>
    <w:rsid w:val="628049DC"/>
    <w:rsid w:val="62AD2223"/>
    <w:rsid w:val="62C758E1"/>
    <w:rsid w:val="62DF378A"/>
    <w:rsid w:val="62E260F8"/>
    <w:rsid w:val="62E90911"/>
    <w:rsid w:val="62FD4C57"/>
    <w:rsid w:val="63254623"/>
    <w:rsid w:val="63565F7C"/>
    <w:rsid w:val="63613034"/>
    <w:rsid w:val="6387106F"/>
    <w:rsid w:val="63AE4940"/>
    <w:rsid w:val="63C621A0"/>
    <w:rsid w:val="63CD3308"/>
    <w:rsid w:val="63D12890"/>
    <w:rsid w:val="63D769D7"/>
    <w:rsid w:val="63DA6D24"/>
    <w:rsid w:val="63F82B7F"/>
    <w:rsid w:val="63F92BA1"/>
    <w:rsid w:val="63F9313E"/>
    <w:rsid w:val="640D1D46"/>
    <w:rsid w:val="64150A07"/>
    <w:rsid w:val="642853FD"/>
    <w:rsid w:val="646B0E4A"/>
    <w:rsid w:val="647123B0"/>
    <w:rsid w:val="64B50EAE"/>
    <w:rsid w:val="64C50F84"/>
    <w:rsid w:val="64E458F4"/>
    <w:rsid w:val="64F61CCC"/>
    <w:rsid w:val="64FB7A94"/>
    <w:rsid w:val="650061F9"/>
    <w:rsid w:val="65043394"/>
    <w:rsid w:val="65223BDA"/>
    <w:rsid w:val="65414267"/>
    <w:rsid w:val="655E4641"/>
    <w:rsid w:val="65642EFC"/>
    <w:rsid w:val="656B4C48"/>
    <w:rsid w:val="657D4447"/>
    <w:rsid w:val="65A5648E"/>
    <w:rsid w:val="65B7644F"/>
    <w:rsid w:val="65D06AA6"/>
    <w:rsid w:val="65F95619"/>
    <w:rsid w:val="660D4BC6"/>
    <w:rsid w:val="6613543F"/>
    <w:rsid w:val="662642E8"/>
    <w:rsid w:val="663A0B17"/>
    <w:rsid w:val="663D651D"/>
    <w:rsid w:val="664B66B0"/>
    <w:rsid w:val="66615CA8"/>
    <w:rsid w:val="666D027B"/>
    <w:rsid w:val="66746BE0"/>
    <w:rsid w:val="667A233A"/>
    <w:rsid w:val="669A472F"/>
    <w:rsid w:val="66DB0E2F"/>
    <w:rsid w:val="66F002F4"/>
    <w:rsid w:val="66F94E52"/>
    <w:rsid w:val="6724078F"/>
    <w:rsid w:val="673C5A9C"/>
    <w:rsid w:val="673F3FEF"/>
    <w:rsid w:val="674F77A2"/>
    <w:rsid w:val="67680B62"/>
    <w:rsid w:val="677F30B1"/>
    <w:rsid w:val="67AA3E53"/>
    <w:rsid w:val="67AC539E"/>
    <w:rsid w:val="67B162A5"/>
    <w:rsid w:val="67B66181"/>
    <w:rsid w:val="67B93851"/>
    <w:rsid w:val="67C36D73"/>
    <w:rsid w:val="67C57541"/>
    <w:rsid w:val="67CE7D24"/>
    <w:rsid w:val="67DA058D"/>
    <w:rsid w:val="67F946ED"/>
    <w:rsid w:val="67FD3A53"/>
    <w:rsid w:val="68026820"/>
    <w:rsid w:val="68B8468F"/>
    <w:rsid w:val="68C40EDF"/>
    <w:rsid w:val="68DB5221"/>
    <w:rsid w:val="68EA5D17"/>
    <w:rsid w:val="68F4460E"/>
    <w:rsid w:val="68FF17EF"/>
    <w:rsid w:val="690936E0"/>
    <w:rsid w:val="690C5547"/>
    <w:rsid w:val="691C5943"/>
    <w:rsid w:val="693348E8"/>
    <w:rsid w:val="69364AC9"/>
    <w:rsid w:val="693771E4"/>
    <w:rsid w:val="695E275A"/>
    <w:rsid w:val="6971546F"/>
    <w:rsid w:val="6973380E"/>
    <w:rsid w:val="698B47C6"/>
    <w:rsid w:val="69B025E7"/>
    <w:rsid w:val="69D52C5A"/>
    <w:rsid w:val="69DB1102"/>
    <w:rsid w:val="69F95363"/>
    <w:rsid w:val="6A0A7E57"/>
    <w:rsid w:val="6A1A0A85"/>
    <w:rsid w:val="6A380EFE"/>
    <w:rsid w:val="6A3B60E7"/>
    <w:rsid w:val="6A4548D1"/>
    <w:rsid w:val="6AD1192F"/>
    <w:rsid w:val="6AE73E00"/>
    <w:rsid w:val="6B005048"/>
    <w:rsid w:val="6B0C52FE"/>
    <w:rsid w:val="6B1B6856"/>
    <w:rsid w:val="6B206074"/>
    <w:rsid w:val="6B24512C"/>
    <w:rsid w:val="6B2A72CB"/>
    <w:rsid w:val="6B534814"/>
    <w:rsid w:val="6B7422D4"/>
    <w:rsid w:val="6B7F6744"/>
    <w:rsid w:val="6B8F3961"/>
    <w:rsid w:val="6BAE21A7"/>
    <w:rsid w:val="6BFA553D"/>
    <w:rsid w:val="6C4C4F0F"/>
    <w:rsid w:val="6C5277C6"/>
    <w:rsid w:val="6C8B53D0"/>
    <w:rsid w:val="6C9C7CD8"/>
    <w:rsid w:val="6CD545C2"/>
    <w:rsid w:val="6D0A6B28"/>
    <w:rsid w:val="6D0F4D3B"/>
    <w:rsid w:val="6D441AD5"/>
    <w:rsid w:val="6D5579D0"/>
    <w:rsid w:val="6D7C7208"/>
    <w:rsid w:val="6D870F51"/>
    <w:rsid w:val="6D8C4A33"/>
    <w:rsid w:val="6D9F3E0F"/>
    <w:rsid w:val="6DB2209F"/>
    <w:rsid w:val="6DBA3E1B"/>
    <w:rsid w:val="6DCA2479"/>
    <w:rsid w:val="6DF1752F"/>
    <w:rsid w:val="6DF23953"/>
    <w:rsid w:val="6E04344B"/>
    <w:rsid w:val="6E1714AA"/>
    <w:rsid w:val="6E3328B6"/>
    <w:rsid w:val="6E4D6A89"/>
    <w:rsid w:val="6E54198E"/>
    <w:rsid w:val="6E7844C0"/>
    <w:rsid w:val="6E7E2CCF"/>
    <w:rsid w:val="6E815A09"/>
    <w:rsid w:val="6E8F0683"/>
    <w:rsid w:val="6E982888"/>
    <w:rsid w:val="6E995D57"/>
    <w:rsid w:val="6EA23C0D"/>
    <w:rsid w:val="6EA51F1C"/>
    <w:rsid w:val="6EAA5DEA"/>
    <w:rsid w:val="6EBD65F6"/>
    <w:rsid w:val="6EC139A2"/>
    <w:rsid w:val="6EC221E5"/>
    <w:rsid w:val="6EC77F0D"/>
    <w:rsid w:val="6EE476B8"/>
    <w:rsid w:val="6EF535BC"/>
    <w:rsid w:val="6F116977"/>
    <w:rsid w:val="6F212D5B"/>
    <w:rsid w:val="6F2E74C3"/>
    <w:rsid w:val="6F7D5379"/>
    <w:rsid w:val="6F9F53F2"/>
    <w:rsid w:val="6FBC589C"/>
    <w:rsid w:val="6FBF70C9"/>
    <w:rsid w:val="6FCB0A2D"/>
    <w:rsid w:val="700114E5"/>
    <w:rsid w:val="70070424"/>
    <w:rsid w:val="70126E3C"/>
    <w:rsid w:val="70145CFA"/>
    <w:rsid w:val="70244AE3"/>
    <w:rsid w:val="70355843"/>
    <w:rsid w:val="706C0998"/>
    <w:rsid w:val="7085267F"/>
    <w:rsid w:val="70866A37"/>
    <w:rsid w:val="70A12195"/>
    <w:rsid w:val="70C4282C"/>
    <w:rsid w:val="70FD4DA1"/>
    <w:rsid w:val="711529CC"/>
    <w:rsid w:val="712F1AA2"/>
    <w:rsid w:val="71342848"/>
    <w:rsid w:val="716303F5"/>
    <w:rsid w:val="717F67FF"/>
    <w:rsid w:val="71A053AA"/>
    <w:rsid w:val="71AB79A1"/>
    <w:rsid w:val="71B96E31"/>
    <w:rsid w:val="71E5486A"/>
    <w:rsid w:val="71E719D7"/>
    <w:rsid w:val="720C157B"/>
    <w:rsid w:val="720D7CA7"/>
    <w:rsid w:val="72364FAA"/>
    <w:rsid w:val="7253019C"/>
    <w:rsid w:val="725B6988"/>
    <w:rsid w:val="726A4AE8"/>
    <w:rsid w:val="72713E53"/>
    <w:rsid w:val="72D423CE"/>
    <w:rsid w:val="7372694E"/>
    <w:rsid w:val="737F6502"/>
    <w:rsid w:val="7395275D"/>
    <w:rsid w:val="73A741E2"/>
    <w:rsid w:val="73AC67A1"/>
    <w:rsid w:val="73D12A5C"/>
    <w:rsid w:val="73EB7CE4"/>
    <w:rsid w:val="74014BCC"/>
    <w:rsid w:val="74077E53"/>
    <w:rsid w:val="741124A8"/>
    <w:rsid w:val="741C1DCF"/>
    <w:rsid w:val="74671655"/>
    <w:rsid w:val="7468746A"/>
    <w:rsid w:val="74717528"/>
    <w:rsid w:val="74724ABB"/>
    <w:rsid w:val="74993194"/>
    <w:rsid w:val="749F282F"/>
    <w:rsid w:val="74B16002"/>
    <w:rsid w:val="74D5195D"/>
    <w:rsid w:val="74E245D9"/>
    <w:rsid w:val="74EF1004"/>
    <w:rsid w:val="75050A9A"/>
    <w:rsid w:val="753A7562"/>
    <w:rsid w:val="75680A28"/>
    <w:rsid w:val="75693D5B"/>
    <w:rsid w:val="757C6CFD"/>
    <w:rsid w:val="75835C88"/>
    <w:rsid w:val="758507B1"/>
    <w:rsid w:val="758A05FB"/>
    <w:rsid w:val="758D217D"/>
    <w:rsid w:val="758E0E3C"/>
    <w:rsid w:val="75995AFE"/>
    <w:rsid w:val="75AF48D5"/>
    <w:rsid w:val="75C92DA0"/>
    <w:rsid w:val="75CB1FD1"/>
    <w:rsid w:val="75DB74AA"/>
    <w:rsid w:val="75DF623F"/>
    <w:rsid w:val="75F35AE6"/>
    <w:rsid w:val="75F92347"/>
    <w:rsid w:val="761467A4"/>
    <w:rsid w:val="7615644E"/>
    <w:rsid w:val="764877D3"/>
    <w:rsid w:val="7673182F"/>
    <w:rsid w:val="76736EDC"/>
    <w:rsid w:val="76C9632F"/>
    <w:rsid w:val="76FF5827"/>
    <w:rsid w:val="771A6039"/>
    <w:rsid w:val="776C6898"/>
    <w:rsid w:val="776C7026"/>
    <w:rsid w:val="777E532C"/>
    <w:rsid w:val="778466D3"/>
    <w:rsid w:val="778C1BCE"/>
    <w:rsid w:val="778E76B4"/>
    <w:rsid w:val="778F509C"/>
    <w:rsid w:val="779C1D06"/>
    <w:rsid w:val="779D2351"/>
    <w:rsid w:val="77A27D4F"/>
    <w:rsid w:val="77AD2A99"/>
    <w:rsid w:val="77BD4D74"/>
    <w:rsid w:val="77CB2826"/>
    <w:rsid w:val="77CF574A"/>
    <w:rsid w:val="780E259D"/>
    <w:rsid w:val="782C4FA1"/>
    <w:rsid w:val="783A2499"/>
    <w:rsid w:val="784222F9"/>
    <w:rsid w:val="784A57E4"/>
    <w:rsid w:val="784D4E32"/>
    <w:rsid w:val="786034AA"/>
    <w:rsid w:val="78680777"/>
    <w:rsid w:val="78681D89"/>
    <w:rsid w:val="786C4A12"/>
    <w:rsid w:val="78861194"/>
    <w:rsid w:val="788D6DF9"/>
    <w:rsid w:val="78E0748A"/>
    <w:rsid w:val="78FB0C18"/>
    <w:rsid w:val="790B667A"/>
    <w:rsid w:val="79123409"/>
    <w:rsid w:val="79282741"/>
    <w:rsid w:val="795B0AB7"/>
    <w:rsid w:val="79653E3B"/>
    <w:rsid w:val="796C7269"/>
    <w:rsid w:val="79701746"/>
    <w:rsid w:val="79767406"/>
    <w:rsid w:val="79775F64"/>
    <w:rsid w:val="797A69ED"/>
    <w:rsid w:val="797E6EF8"/>
    <w:rsid w:val="798377F5"/>
    <w:rsid w:val="7990637E"/>
    <w:rsid w:val="79DA476B"/>
    <w:rsid w:val="79EB5DE5"/>
    <w:rsid w:val="79F84E73"/>
    <w:rsid w:val="7A211F0C"/>
    <w:rsid w:val="7A46319D"/>
    <w:rsid w:val="7A544CA6"/>
    <w:rsid w:val="7A710D4E"/>
    <w:rsid w:val="7A835A35"/>
    <w:rsid w:val="7A844CED"/>
    <w:rsid w:val="7ABE00C1"/>
    <w:rsid w:val="7AD66041"/>
    <w:rsid w:val="7AD849D4"/>
    <w:rsid w:val="7B227AB8"/>
    <w:rsid w:val="7B4C2BE5"/>
    <w:rsid w:val="7B4D523E"/>
    <w:rsid w:val="7B534393"/>
    <w:rsid w:val="7B5D06AE"/>
    <w:rsid w:val="7B731C1B"/>
    <w:rsid w:val="7B840FF7"/>
    <w:rsid w:val="7B85481B"/>
    <w:rsid w:val="7B906640"/>
    <w:rsid w:val="7B9F38DD"/>
    <w:rsid w:val="7BA03215"/>
    <w:rsid w:val="7BC27887"/>
    <w:rsid w:val="7BED3459"/>
    <w:rsid w:val="7BEF6DCF"/>
    <w:rsid w:val="7C0B312A"/>
    <w:rsid w:val="7C1864CF"/>
    <w:rsid w:val="7C3F7FE6"/>
    <w:rsid w:val="7C460EF9"/>
    <w:rsid w:val="7C597153"/>
    <w:rsid w:val="7C6A68D1"/>
    <w:rsid w:val="7C6F1CF2"/>
    <w:rsid w:val="7C6F64A1"/>
    <w:rsid w:val="7CD67674"/>
    <w:rsid w:val="7CD761CD"/>
    <w:rsid w:val="7CE5368C"/>
    <w:rsid w:val="7CE61649"/>
    <w:rsid w:val="7CFE6780"/>
    <w:rsid w:val="7D0357A1"/>
    <w:rsid w:val="7D2D32E2"/>
    <w:rsid w:val="7D3B0EAD"/>
    <w:rsid w:val="7D757587"/>
    <w:rsid w:val="7D8242BD"/>
    <w:rsid w:val="7DA27D78"/>
    <w:rsid w:val="7DB217EC"/>
    <w:rsid w:val="7DB47CE8"/>
    <w:rsid w:val="7DBF5688"/>
    <w:rsid w:val="7DDA2D85"/>
    <w:rsid w:val="7DED63FC"/>
    <w:rsid w:val="7E0011F3"/>
    <w:rsid w:val="7E123C98"/>
    <w:rsid w:val="7E5545BB"/>
    <w:rsid w:val="7E700994"/>
    <w:rsid w:val="7E7A6762"/>
    <w:rsid w:val="7E861744"/>
    <w:rsid w:val="7EAA047F"/>
    <w:rsid w:val="7EE01048"/>
    <w:rsid w:val="7F0D1794"/>
    <w:rsid w:val="7F0E7868"/>
    <w:rsid w:val="7F5D3246"/>
    <w:rsid w:val="7FA90778"/>
    <w:rsid w:val="7FBA5DBC"/>
    <w:rsid w:val="7FE16852"/>
    <w:rsid w:val="7FEA3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hint="eastAsia" w:ascii="Calibri" w:eastAsia="宋体"/>
    </w:rPr>
  </w:style>
  <w:style w:type="paragraph" w:styleId="6">
    <w:name w:val="Body Text"/>
    <w:basedOn w:val="1"/>
    <w:next w:val="1"/>
    <w:qFormat/>
    <w:uiPriority w:val="1"/>
    <w:pPr>
      <w:autoSpaceDE w:val="0"/>
      <w:autoSpaceDN w:val="0"/>
      <w:jc w:val="left"/>
    </w:pPr>
    <w:rPr>
      <w:rFonts w:ascii="Arial Unicode MS" w:hAnsi="Arial Unicode MS" w:eastAsia="Arial Unicode MS" w:cs="Arial Unicode MS"/>
      <w:kern w:val="0"/>
      <w:sz w:val="29"/>
      <w:szCs w:val="29"/>
    </w:rPr>
  </w:style>
  <w:style w:type="paragraph" w:styleId="7">
    <w:name w:val="Body Text Indent"/>
    <w:basedOn w:val="1"/>
    <w:next w:val="5"/>
    <w:qFormat/>
    <w:uiPriority w:val="0"/>
    <w:pPr>
      <w:spacing w:after="120"/>
      <w:ind w:left="420" w:leftChars="200"/>
    </w:pPr>
  </w:style>
  <w:style w:type="paragraph" w:styleId="8">
    <w:name w:val="Balloon Text"/>
    <w:basedOn w:val="1"/>
    <w:link w:val="20"/>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line="620" w:lineRule="exact"/>
      <w:ind w:firstLine="630"/>
    </w:pPr>
    <w:rPr>
      <w:rFonts w:ascii="黑体" w:hAnsi="黑体" w:eastAsia="黑体"/>
      <w:sz w:val="32"/>
      <w:szCs w:val="32"/>
    </w:rPr>
  </w:style>
  <w:style w:type="paragraph" w:styleId="12">
    <w:name w:val="toc 2"/>
    <w:basedOn w:val="1"/>
    <w:next w:val="1"/>
    <w:semiHidden/>
    <w:unhideWhenUsed/>
    <w:qFormat/>
    <w:uiPriority w:val="39"/>
    <w:pPr>
      <w:ind w:left="420" w:leftChars="200"/>
    </w:pPr>
  </w:style>
  <w:style w:type="paragraph" w:styleId="13">
    <w:name w:val="Normal (Web)"/>
    <w:basedOn w:val="1"/>
    <w:unhideWhenUsed/>
    <w:qFormat/>
    <w:uiPriority w:val="99"/>
    <w:pPr>
      <w:spacing w:beforeAutospacing="1" w:afterAutospacing="1"/>
      <w:jc w:val="left"/>
    </w:pPr>
    <w:rPr>
      <w:rFonts w:cs="Times New Roman"/>
      <w:kern w:val="0"/>
      <w:sz w:val="24"/>
    </w:rPr>
  </w:style>
  <w:style w:type="paragraph" w:styleId="14">
    <w:name w:val="Body Text First Indent"/>
    <w:basedOn w:val="6"/>
    <w:qFormat/>
    <w:uiPriority w:val="0"/>
    <w:pPr>
      <w:ind w:firstLine="420" w:firstLineChars="100"/>
    </w:pPr>
  </w:style>
  <w:style w:type="paragraph" w:styleId="15">
    <w:name w:val="Body Text First Indent 2"/>
    <w:basedOn w:val="7"/>
    <w:next w:val="1"/>
    <w:qFormat/>
    <w:uiPriority w:val="0"/>
    <w:pPr>
      <w:ind w:firstLine="420" w:firstLineChars="200"/>
    </w:pPr>
    <w:rPr>
      <w:rFonts w:cs="Times New Roman"/>
      <w:szCs w:val="24"/>
    </w:rPr>
  </w:style>
  <w:style w:type="character" w:styleId="18">
    <w:name w:val="Strong"/>
    <w:basedOn w:val="17"/>
    <w:qFormat/>
    <w:uiPriority w:val="22"/>
    <w:rPr>
      <w:b/>
    </w:rPr>
  </w:style>
  <w:style w:type="paragraph" w:customStyle="1" w:styleId="19">
    <w:name w:val="Default"/>
    <w:qFormat/>
    <w:uiPriority w:val="0"/>
    <w:pPr>
      <w:widowControl w:val="0"/>
      <w:autoSpaceDE w:val="0"/>
      <w:autoSpaceDN w:val="0"/>
      <w:adjustRightInd w:val="0"/>
    </w:pPr>
    <w:rPr>
      <w:rFonts w:ascii="方正报宋简体" w:hAnsi="Times New Roman" w:eastAsia="方正报宋简体" w:cs="方正报宋简体"/>
      <w:color w:val="000000"/>
      <w:sz w:val="24"/>
      <w:szCs w:val="24"/>
      <w:lang w:val="en-US" w:eastAsia="zh-CN" w:bidi="ar-SA"/>
    </w:rPr>
  </w:style>
  <w:style w:type="character" w:customStyle="1" w:styleId="20">
    <w:name w:val="批注框文本 Char"/>
    <w:basedOn w:val="17"/>
    <w:link w:val="8"/>
    <w:semiHidden/>
    <w:qFormat/>
    <w:uiPriority w:val="99"/>
    <w:rPr>
      <w:sz w:val="18"/>
      <w:szCs w:val="18"/>
    </w:rPr>
  </w:style>
  <w:style w:type="character" w:customStyle="1" w:styleId="21">
    <w:name w:val="页眉 Char"/>
    <w:basedOn w:val="17"/>
    <w:link w:val="10"/>
    <w:qFormat/>
    <w:uiPriority w:val="99"/>
    <w:rPr>
      <w:sz w:val="18"/>
      <w:szCs w:val="18"/>
    </w:rPr>
  </w:style>
  <w:style w:type="character" w:customStyle="1" w:styleId="22">
    <w:name w:val="NormalCharacter"/>
    <w:link w:val="23"/>
    <w:qFormat/>
    <w:locked/>
    <w:uiPriority w:val="99"/>
    <w:rPr>
      <w:rFonts w:ascii="Times New Roman" w:hAnsi="Times New Roman" w:eastAsia="宋体" w:cs="Times New Roman"/>
      <w:kern w:val="2"/>
      <w:sz w:val="24"/>
      <w:lang w:val="en-US" w:eastAsia="zh-CN" w:bidi="ar-SA"/>
    </w:rPr>
  </w:style>
  <w:style w:type="paragraph" w:customStyle="1" w:styleId="23">
    <w:name w:val="UserStyle_0"/>
    <w:link w:val="22"/>
    <w:qFormat/>
    <w:uiPriority w:val="99"/>
    <w:pPr>
      <w:widowControl w:val="0"/>
      <w:tabs>
        <w:tab w:val="left" w:pos="360"/>
      </w:tabs>
      <w:jc w:val="both"/>
      <w:textAlignment w:val="baseline"/>
    </w:pPr>
    <w:rPr>
      <w:rFonts w:ascii="Times New Roman" w:hAnsi="Times New Roman" w:eastAsia="宋体" w:cs="Times New Roman"/>
      <w:kern w:val="2"/>
      <w:sz w:val="24"/>
      <w:lang w:val="en-US" w:eastAsia="zh-CN" w:bidi="ar-SA"/>
    </w:rPr>
  </w:style>
  <w:style w:type="character" w:customStyle="1" w:styleId="24">
    <w:name w:val="页脚 Char"/>
    <w:basedOn w:val="17"/>
    <w:link w:val="9"/>
    <w:qFormat/>
    <w:uiPriority w:val="99"/>
    <w:rPr>
      <w:sz w:val="18"/>
      <w:szCs w:val="18"/>
    </w:rPr>
  </w:style>
  <w:style w:type="paragraph" w:customStyle="1" w:styleId="25">
    <w:name w:val="普通(网站)1 New New New New"/>
    <w:basedOn w:val="1"/>
    <w:qFormat/>
    <w:uiPriority w:val="0"/>
    <w:pPr>
      <w:widowControl/>
      <w:jc w:val="left"/>
    </w:pPr>
    <w:rPr>
      <w:rFonts w:ascii="宋体" w:hAnsi="宋体" w:cs="宋体"/>
      <w:kern w:val="0"/>
      <w:sz w:val="24"/>
    </w:rPr>
  </w:style>
  <w:style w:type="paragraph" w:customStyle="1" w:styleId="2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WPSOffice手动目录 2"/>
    <w:qFormat/>
    <w:uiPriority w:val="0"/>
    <w:pPr>
      <w:ind w:left="200" w:leftChars="200"/>
    </w:pPr>
    <w:rPr>
      <w:rFonts w:ascii="Calibri" w:hAnsi="Calibri" w:eastAsia="宋体" w:cs="Times New Roman"/>
      <w:lang w:val="en-US" w:eastAsia="zh-CN" w:bidi="ar-SA"/>
    </w:rPr>
  </w:style>
  <w:style w:type="paragraph" w:customStyle="1" w:styleId="28">
    <w:name w:val="WPSOffice手动目录 1"/>
    <w:qFormat/>
    <w:uiPriority w:val="0"/>
    <w:rPr>
      <w:rFonts w:ascii="Calibri" w:hAnsi="Calibri" w:eastAsia="宋体" w:cs="Times New Roman"/>
      <w:lang w:val="en-US" w:eastAsia="zh-CN" w:bidi="ar-SA"/>
    </w:rPr>
  </w:style>
  <w:style w:type="paragraph" w:customStyle="1" w:styleId="29">
    <w:name w:val="普通(网站) New New"/>
    <w:qFormat/>
    <w:uiPriority w:val="0"/>
    <w:pPr>
      <w:spacing w:beforeAutospacing="1" w:afterAutospacing="1"/>
    </w:pPr>
    <w:rPr>
      <w:rFonts w:ascii="宋体" w:hAnsi="宋体" w:eastAsia="宋体" w:cs="宋体"/>
      <w:sz w:val="24"/>
      <w:szCs w:val="24"/>
      <w:lang w:val="en-US" w:eastAsia="zh-CN" w:bidi="ar-SA"/>
    </w:rPr>
  </w:style>
  <w:style w:type="paragraph" w:customStyle="1" w:styleId="30">
    <w:name w:val="普通(网站)1"/>
    <w:basedOn w:val="1"/>
    <w:qFormat/>
    <w:uiPriority w:val="0"/>
    <w:pPr>
      <w:widowControl/>
      <w:spacing w:beforeAutospacing="1" w:afterAutospacing="1"/>
      <w:jc w:val="left"/>
    </w:pPr>
    <w:rPr>
      <w:rFonts w:ascii="宋体" w:hAnsi="宋体" w:cs="宋体"/>
      <w:kern w:val="0"/>
      <w:sz w:val="24"/>
    </w:rPr>
  </w:style>
  <w:style w:type="paragraph" w:customStyle="1" w:styleId="31">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正文文本 (2)"/>
    <w:basedOn w:val="1"/>
    <w:qFormat/>
    <w:uiPriority w:val="0"/>
    <w:pPr>
      <w:shd w:val="clear" w:color="auto" w:fill="FFFFFF"/>
      <w:spacing w:after="660" w:line="0" w:lineRule="atLeast"/>
      <w:jc w:val="center"/>
    </w:pPr>
    <w:rPr>
      <w:rFonts w:ascii="MingLiU" w:hAnsi="MingLiU" w:eastAsia="MingLiU" w:cs="MingLiU"/>
      <w:spacing w:val="30"/>
      <w:sz w:val="30"/>
      <w:szCs w:val="30"/>
    </w:rPr>
  </w:style>
  <w:style w:type="paragraph" w:customStyle="1" w:styleId="33">
    <w:name w:val="普通(网站)2"/>
    <w:basedOn w:val="1"/>
    <w:qFormat/>
    <w:uiPriority w:val="0"/>
    <w:pPr>
      <w:widowControl/>
      <w:spacing w:beforeAutospacing="1" w:afterAutospacing="1"/>
      <w:jc w:val="left"/>
    </w:pPr>
    <w:rPr>
      <w:rFonts w:ascii="宋体" w:hAnsi="宋体" w:cs="宋体"/>
      <w:kern w:val="0"/>
      <w:sz w:val="24"/>
      <w:szCs w:val="24"/>
    </w:rPr>
  </w:style>
  <w:style w:type="paragraph" w:customStyle="1" w:styleId="34">
    <w:name w:val="正文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标题 1 New"/>
    <w:basedOn w:val="34"/>
    <w:next w:val="34"/>
    <w:qFormat/>
    <w:uiPriority w:val="0"/>
    <w:pPr>
      <w:keepNext/>
      <w:keepLines/>
      <w:spacing w:line="578" w:lineRule="auto"/>
      <w:outlineLvl w:val="0"/>
    </w:pPr>
    <w:rPr>
      <w:b/>
      <w:bCs/>
      <w:kern w:val="44"/>
      <w:sz w:val="44"/>
      <w:szCs w:val="44"/>
    </w:rPr>
  </w:style>
  <w:style w:type="paragraph" w:customStyle="1" w:styleId="36">
    <w:name w:val="正文 New New New"/>
    <w:next w:val="37"/>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标题 1 New New"/>
    <w:basedOn w:val="36"/>
    <w:next w:val="36"/>
    <w:qFormat/>
    <w:uiPriority w:val="0"/>
    <w:pPr>
      <w:keepNext/>
      <w:keepLines/>
      <w:spacing w:line="578" w:lineRule="auto"/>
      <w:outlineLvl w:val="0"/>
    </w:pPr>
    <w:rPr>
      <w:b/>
      <w:bCs/>
      <w:kern w:val="44"/>
      <w:sz w:val="44"/>
      <w:szCs w:val="44"/>
    </w:rPr>
  </w:style>
  <w:style w:type="paragraph" w:customStyle="1" w:styleId="38">
    <w:name w:val="正文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39">
    <w:name w:val="标题 1 New New New"/>
    <w:basedOn w:val="38"/>
    <w:next w:val="38"/>
    <w:qFormat/>
    <w:uiPriority w:val="0"/>
    <w:pPr>
      <w:keepNext/>
      <w:keepLines/>
      <w:spacing w:line="578" w:lineRule="auto"/>
      <w:outlineLvl w:val="0"/>
    </w:pPr>
    <w:rPr>
      <w:b/>
      <w:bCs/>
      <w:kern w:val="44"/>
      <w:sz w:val="44"/>
      <w:szCs w:val="44"/>
    </w:rPr>
  </w:style>
  <w:style w:type="paragraph" w:customStyle="1" w:styleId="40">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1">
    <w:name w:val="List Paragraph"/>
    <w:basedOn w:val="1"/>
    <w:unhideWhenUsed/>
    <w:qFormat/>
    <w:uiPriority w:val="99"/>
    <w:pPr>
      <w:ind w:firstLine="420" w:firstLineChars="200"/>
    </w:pPr>
  </w:style>
  <w:style w:type="paragraph" w:customStyle="1" w:styleId="42">
    <w:name w:val="段"/>
    <w:next w:val="1"/>
    <w:qFormat/>
    <w:uiPriority w:val="0"/>
    <w:pPr>
      <w:autoSpaceDE w:val="0"/>
      <w:autoSpaceDN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3">
    <w:name w:val="font91"/>
    <w:basedOn w:val="17"/>
    <w:qFormat/>
    <w:uiPriority w:val="0"/>
    <w:rPr>
      <w:rFonts w:ascii="黑体" w:hAnsi="宋体" w:eastAsia="黑体" w:cs="黑体"/>
      <w:color w:val="000000"/>
      <w:sz w:val="24"/>
      <w:szCs w:val="24"/>
      <w:u w:val="none"/>
    </w:rPr>
  </w:style>
  <w:style w:type="character" w:customStyle="1" w:styleId="44">
    <w:name w:val="font81"/>
    <w:basedOn w:val="17"/>
    <w:qFormat/>
    <w:uiPriority w:val="0"/>
    <w:rPr>
      <w:rFonts w:hint="default" w:ascii="Times New Roman" w:hAnsi="Times New Roman" w:cs="Times New Roman"/>
      <w:color w:val="000000"/>
      <w:sz w:val="24"/>
      <w:szCs w:val="24"/>
      <w:u w:val="none"/>
    </w:rPr>
  </w:style>
  <w:style w:type="character" w:customStyle="1" w:styleId="45">
    <w:name w:val="font41"/>
    <w:basedOn w:val="17"/>
    <w:qFormat/>
    <w:uiPriority w:val="0"/>
    <w:rPr>
      <w:rFonts w:ascii="仿宋_GB2312" w:eastAsia="仿宋_GB2312" w:cs="仿宋_GB2312"/>
      <w:color w:val="000000"/>
      <w:sz w:val="24"/>
      <w:szCs w:val="24"/>
      <w:u w:val="none"/>
    </w:rPr>
  </w:style>
  <w:style w:type="character" w:customStyle="1" w:styleId="46">
    <w:name w:val="font131"/>
    <w:basedOn w:val="17"/>
    <w:qFormat/>
    <w:uiPriority w:val="0"/>
    <w:rPr>
      <w:rFonts w:hint="eastAsia" w:ascii="仿宋_GB2312" w:eastAsia="仿宋_GB2312" w:cs="仿宋_GB2312"/>
      <w:color w:val="000000"/>
      <w:sz w:val="24"/>
      <w:szCs w:val="24"/>
      <w:u w:val="none"/>
    </w:rPr>
  </w:style>
  <w:style w:type="character" w:customStyle="1" w:styleId="47">
    <w:name w:val="font31"/>
    <w:basedOn w:val="17"/>
    <w:qFormat/>
    <w:uiPriority w:val="0"/>
    <w:rPr>
      <w:rFonts w:hint="default" w:ascii="Times New Roman" w:hAnsi="Times New Roman" w:cs="Times New Roman"/>
      <w:color w:val="000000"/>
      <w:sz w:val="24"/>
      <w:szCs w:val="24"/>
      <w:u w:val="none"/>
    </w:rPr>
  </w:style>
  <w:style w:type="character" w:customStyle="1" w:styleId="48">
    <w:name w:val="font01"/>
    <w:basedOn w:val="17"/>
    <w:qFormat/>
    <w:uiPriority w:val="0"/>
    <w:rPr>
      <w:rFonts w:hint="eastAsia" w:ascii="仿宋_GB2312" w:eastAsia="仿宋_GB2312" w:cs="仿宋_GB2312"/>
      <w:color w:val="000000"/>
      <w:sz w:val="24"/>
      <w:szCs w:val="24"/>
      <w:u w:val="none"/>
    </w:rPr>
  </w:style>
  <w:style w:type="character" w:customStyle="1" w:styleId="49">
    <w:name w:val="font2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27383</Words>
  <Characters>28847</Characters>
  <Lines>26</Lines>
  <Paragraphs>89</Paragraphs>
  <TotalTime>8</TotalTime>
  <ScaleCrop>false</ScaleCrop>
  <LinksUpToDate>false</LinksUpToDate>
  <CharactersWithSpaces>30006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2022-01-26T09:50:00Z</dcterms:created>
  <dc:creator>ThinkPad</dc:creator>
  <cp:lastModifiedBy>user</cp:lastModifiedBy>
  <cp:lastPrinted>2023-02-20T16:20:00Z</cp:lastPrinted>
  <dcterms:modified xsi:type="dcterms:W3CDTF">2023-07-12T15:50:21Z</dcterms:modified>
  <dc:title>市委负责同志批示件（第20041号）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82EBE6BC70284F15AD6577A54ADA212E</vt:lpwstr>
  </property>
</Properties>
</file>