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61E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YYDR-2025-0020001</w:t>
      </w:r>
    </w:p>
    <w:p w14:paraId="54183C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1F6A8F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008676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4543DA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源政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2E3F6328">
      <w:pPr>
        <w:bidi w:val="0"/>
        <w:rPr>
          <w:rFonts w:hint="default" w:ascii="Times New Roman" w:hAnsi="Times New Roman" w:cs="Times New Roman"/>
        </w:rPr>
      </w:pPr>
    </w:p>
    <w:p w14:paraId="71E12E5A">
      <w:pPr>
        <w:bidi w:val="0"/>
        <w:rPr>
          <w:rFonts w:hint="default" w:ascii="Times New Roman" w:hAnsi="Times New Roman" w:cs="Times New Roman"/>
        </w:rPr>
      </w:pPr>
    </w:p>
    <w:p w14:paraId="5447168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沂源县人民政府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  <w:t>办公室</w:t>
      </w:r>
    </w:p>
    <w:p w14:paraId="37C64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关于印发“沂源红”幸福家园民生综合体运营服务管理办法的通知</w:t>
      </w:r>
    </w:p>
    <w:p w14:paraId="4A9684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p w14:paraId="0ADFD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各镇人民政府，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各街道办事处，经济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开发区管委会，县政府各部门，各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</w:p>
    <w:p w14:paraId="3A92FC8A">
      <w:pPr>
        <w:spacing w:line="560" w:lineRule="exact"/>
        <w:ind w:firstLine="627" w:firstLineChars="196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“沂源红”幸福家园民生综合体运营服务管理办法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已经县政府同意，现印发给你们，请认真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贯彻执行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 w14:paraId="0772803D">
      <w:pPr>
        <w:spacing w:line="560" w:lineRule="exact"/>
        <w:ind w:firstLine="645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09626900">
      <w:pPr>
        <w:spacing w:line="560" w:lineRule="exact"/>
        <w:ind w:firstLine="645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7557AD92">
      <w:pPr>
        <w:spacing w:line="560" w:lineRule="exact"/>
        <w:ind w:firstLine="645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   沂源县人民政府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办公室</w:t>
      </w:r>
    </w:p>
    <w:p w14:paraId="2A2C637E">
      <w:pPr>
        <w:spacing w:line="560" w:lineRule="exact"/>
        <w:ind w:right="420" w:right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2025年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日</w:t>
      </w:r>
    </w:p>
    <w:p w14:paraId="451D8020">
      <w:pPr>
        <w:spacing w:line="560" w:lineRule="exact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此件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公开发布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0969D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0"/>
          <w:sz w:val="44"/>
          <w:szCs w:val="44"/>
        </w:rPr>
      </w:pPr>
    </w:p>
    <w:p w14:paraId="27DA7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0"/>
          <w:sz w:val="44"/>
          <w:szCs w:val="44"/>
        </w:rPr>
      </w:pPr>
    </w:p>
    <w:p w14:paraId="67E7D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0"/>
          <w:sz w:val="44"/>
          <w:szCs w:val="44"/>
        </w:rPr>
      </w:pPr>
    </w:p>
    <w:p w14:paraId="61D15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0"/>
          <w:sz w:val="44"/>
          <w:szCs w:val="44"/>
        </w:rPr>
      </w:pPr>
    </w:p>
    <w:p w14:paraId="74346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0"/>
          <w:sz w:val="44"/>
          <w:szCs w:val="44"/>
        </w:rPr>
        <w:t>“沂源红”幸福家园民生综合体</w:t>
      </w:r>
    </w:p>
    <w:p w14:paraId="5EBC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0"/>
          <w:sz w:val="44"/>
          <w:szCs w:val="44"/>
          <w:lang w:val="en-US" w:eastAsia="zh-CN"/>
        </w:rPr>
        <w:t>运营服务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0"/>
          <w:sz w:val="44"/>
          <w:szCs w:val="44"/>
        </w:rPr>
        <w:t>管理办法</w:t>
      </w:r>
    </w:p>
    <w:p w14:paraId="386AC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 w14:paraId="15EBD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pacing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为规范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沂源红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幸福家园民生综合体（以下简称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民生综合体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）运营管理，提升全县养老服务质量，制定本办法。</w:t>
      </w:r>
    </w:p>
    <w:p w14:paraId="572E4B5B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60" w:lineRule="exact"/>
        <w:ind w:left="0" w:leftChars="0" w:firstLine="0" w:firstLineChars="0"/>
        <w:jc w:val="center"/>
        <w:textAlignment w:val="baseline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职责分工</w:t>
      </w:r>
    </w:p>
    <w:p w14:paraId="3E994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条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县民政局负责民生综合体和助餐服务点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备案管理、政策指导、综合协调、监督检查及评估考核，通过智慧养老平台实施信息化管理。</w:t>
      </w:r>
    </w:p>
    <w:p w14:paraId="24347472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条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镇人民政府、街道办事处履行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主体责任和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属地管理责任，负责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民生综合体和助餐服务点的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运营监督、助餐公益岗日常管理、镇级助餐补贴审核兑付，落实领导班子挂包制度，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配合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运营服务机构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开展多元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经营，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降低运营成本。</w:t>
      </w:r>
    </w:p>
    <w:p w14:paraId="0171FF25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村民委员会具体实施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民生综合体和助餐服务点的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运营监督工作，负责村级助餐补贴对象认定与审核兑付，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执行老年人统一就餐缴费标准，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足额配备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与助餐服务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相适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的公益岗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人员或助餐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，落实村“两委”干部服务制度，收集并反馈老年人意见建议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。</w:t>
      </w:r>
    </w:p>
    <w:p w14:paraId="206E276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  <w:t>条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县市场监管局负责食品药品安全监管，依法查处违法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违规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行为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并督促整改。</w:t>
      </w:r>
    </w:p>
    <w:p w14:paraId="32B92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  <w:t>条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县卫生健康局负责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</w:rPr>
        <w:t>医疗卫生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lang w:eastAsia="zh-CN"/>
        </w:rPr>
        <w:t>服务机构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</w:rPr>
        <w:t>的运营管理和就餐时间的医疗服务，推进医养结合工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作。</w:t>
      </w:r>
    </w:p>
    <w:p w14:paraId="49D35F0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  <w:t>条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县财政局负责将助餐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补贴、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运营补贴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等养老服务发展资金纳入财政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预算，统筹拨付省市级养老资金，优先保障民生综合体运营。</w:t>
      </w:r>
    </w:p>
    <w:p w14:paraId="0CA4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</w:rPr>
        <w:t>第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县委社会工作部指导镇（街道）、县直部门开展好民生综合体“为老”志愿服务活动。</w:t>
      </w:r>
    </w:p>
    <w:p w14:paraId="10E23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</w:rPr>
        <w:t>第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人力资源社会保障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局指导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镇（街道）根据上级政策要求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做好民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生综合体和助餐服务点助餐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公益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位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管理。</w:t>
      </w:r>
    </w:p>
    <w:p w14:paraId="07DB0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</w:rPr>
        <w:t>第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县农业农村局将运营服务纳入乡村振兴规划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指导村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一村一业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，壮大村集体经济，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助力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eastAsia="zh-CN"/>
        </w:rPr>
        <w:t>民生综合体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  <w:t>。</w:t>
      </w:r>
    </w:p>
    <w:p w14:paraId="0B3BFBCC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条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其他职能部门依职责协同开展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运营服务与监管工作。</w:t>
      </w:r>
    </w:p>
    <w:p w14:paraId="0577FAF2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60" w:lineRule="exact"/>
        <w:ind w:left="0" w:leftChars="0" w:firstLine="0" w:firstLineChars="0"/>
        <w:jc w:val="center"/>
        <w:textAlignment w:val="baseline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运营管理</w:t>
      </w:r>
    </w:p>
    <w:p w14:paraId="2AECD34E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第十条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村级民生综合体和助餐服务点由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镇人民政府、街道办事处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统筹确定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运营服务机构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；县国投集团承建的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自行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统一运营。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镇（街道）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、村与运营方签订三方协议，明确服务内容、收费标准、安全责任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、退出程序、违规责任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等事项。</w:t>
      </w:r>
    </w:p>
    <w:p w14:paraId="2BF23B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全面推行民生综合体评星定级动态管理，围绕“立标杆、强引领，抓两头、促中间”目标，每年按照10%的比例评选五星级民生综合体。</w:t>
      </w:r>
    </w:p>
    <w:p w14:paraId="58E7BBA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第十一条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运营服务机构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应落实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食品安全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主体责任，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建立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安全、消防、卫生、财务、档案管理等制度，健全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覆盖食品生产、配送等环节的管理机制，做到全流程可追溯。发现安全隐患须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立即停止运营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进行整改，及时向镇（街道）及市场监督管理部门报告。</w:t>
      </w:r>
    </w:p>
    <w:p w14:paraId="437D5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第十二条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运营服务机构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应统一悬挂标识，公示食品经营许可、收费标准、安全制度及监督电话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并及时向社会公开。</w:t>
      </w:r>
    </w:p>
    <w:p w14:paraId="21F9DDB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第十三条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运营服务机构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提供的餐食须符合老年人饮食需求与民族习俗，保证营养搭配，每日提供“一荤一素一汤”套餐，定期更新食谱。</w:t>
      </w:r>
    </w:p>
    <w:p w14:paraId="626AD0B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第十四条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县民政局应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会同有关部门采取措施，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引导社会捐赠和志愿服务，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鼓励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有条件的村设立孝善基金，倡导子女为老年人就餐充值。</w:t>
      </w:r>
    </w:p>
    <w:p w14:paraId="1A8F3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第十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条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运营服务机构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应规范接受使用捐赠资助，并为社会工作者、志愿者开展公益服务提供便利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，推动公益性活动与经营性活动融合发展。</w:t>
      </w:r>
    </w:p>
    <w:p w14:paraId="634CE42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2"/>
          <w:sz w:val="32"/>
          <w:szCs w:val="32"/>
          <w:shd w:val="clear" w:fill="FCFCFC"/>
          <w:vertAlign w:val="baseline"/>
          <w:lang w:val="en-US" w:eastAsia="zh-CN" w:bidi="ar-SA"/>
        </w:rPr>
        <w:t>第十六条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2"/>
          <w:sz w:val="32"/>
          <w:szCs w:val="32"/>
          <w:shd w:val="clear" w:fill="FCFCFC"/>
          <w:vertAlign w:val="baseline"/>
          <w:lang w:val="en-US" w:eastAsia="zh-CN" w:bidi="ar-SA"/>
        </w:rPr>
        <w:t xml:space="preserve">  鼓励运营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机构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2"/>
          <w:sz w:val="32"/>
          <w:szCs w:val="32"/>
          <w:shd w:val="clear" w:fill="FCFCFC"/>
          <w:vertAlign w:val="baseline"/>
          <w:lang w:val="en-US" w:eastAsia="zh-CN" w:bidi="ar-SA"/>
        </w:rPr>
        <w:t>开展多元化市场运营，增强造血能力。创新探索产业养老、医养结合、慈善养老、以地养老、以工养老等养老服务模式，推进健康持续运营。</w:t>
      </w:r>
    </w:p>
    <w:p w14:paraId="05A1DF2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60" w:lineRule="exact"/>
        <w:ind w:leftChars="0" w:right="0" w:rightChars="0"/>
        <w:jc w:val="center"/>
        <w:textAlignment w:val="baseline"/>
        <w:outlineLvl w:val="9"/>
        <w:rPr>
          <w:rStyle w:val="10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第三章  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扶持措施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​</w:t>
      </w:r>
      <w:r>
        <w:rPr>
          <w:rStyle w:val="10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​</w:t>
      </w:r>
    </w:p>
    <w:p w14:paraId="78E57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第十</w:t>
      </w: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>七</w:t>
      </w: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条</w:t>
      </w: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助餐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补贴。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补贴由县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村三级承担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：</w:t>
      </w:r>
      <w:r>
        <w:rPr>
          <w:rStyle w:val="10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县</w:t>
      </w:r>
      <w:r>
        <w:rPr>
          <w:rStyle w:val="10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60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79周岁沂源县户籍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老年人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每人每餐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2元，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80周岁及以上沂源县户籍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老年人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每人每餐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3元；</w:t>
      </w:r>
      <w:r>
        <w:rPr>
          <w:rStyle w:val="10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镇</w:t>
      </w:r>
      <w:r>
        <w:rPr>
          <w:rStyle w:val="10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级</w:t>
      </w:r>
      <w:r>
        <w:rPr>
          <w:rStyle w:val="10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60周岁及以上沂源县户籍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老年人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每人每餐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1元；</w:t>
      </w:r>
      <w:r>
        <w:rPr>
          <w:rStyle w:val="10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村</w:t>
      </w:r>
      <w:r>
        <w:rPr>
          <w:rStyle w:val="10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级</w:t>
      </w:r>
      <w:r>
        <w:rPr>
          <w:rStyle w:val="10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对</w:t>
      </w:r>
      <w:r>
        <w:rPr>
          <w:rStyle w:val="10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0周岁及以上沂源县户籍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老年人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每人每餐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2元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。</w:t>
      </w:r>
    </w:p>
    <w:p w14:paraId="02DB542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FF0000"/>
          <w:spacing w:val="0"/>
          <w:sz w:val="32"/>
          <w:szCs w:val="32"/>
          <w:shd w:val="clear" w:fill="FCFCFC"/>
          <w:vertAlign w:val="baseli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老年人自付标准：60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79周岁2元/餐，80周岁及以上1元/餐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。</w:t>
      </w:r>
    </w:p>
    <w:p w14:paraId="3F92212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县级助餐补贴由运营机构按季度进行申报，运营机构应在每季度首月10日前，向所属镇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街道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报送上季度老年人就餐情况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申报县级助餐补贴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。补贴申报材料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由镇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街道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负责人审核签字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并加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盖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政府（办事处）公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章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后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报县民政局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，经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县民政局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审批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后向县财政局提报资金申请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。</w:t>
      </w:r>
    </w:p>
    <w:p w14:paraId="680474D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镇村助餐补贴由运营机构按年度进行申报，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时间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节点为上年度11月1日至本年度10月31日，运营机构应在每年11月20日前向所属镇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街道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报送上年度老年人就餐情况，申报镇村助餐补贴。镇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街道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村民委员会收到运营机构的助餐补贴申请后及时拨付镇村助餐补贴。</w:t>
      </w:r>
    </w:p>
    <w:p w14:paraId="538EA2F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镇村助餐补贴由镇</w:t>
      </w:r>
      <w:r>
        <w:rPr>
          <w:rFonts w:hint="eastAsia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街道</w:t>
      </w:r>
      <w:r>
        <w:rPr>
          <w:rFonts w:hint="eastAsia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统筹结算。与运营服务机构结算不到位的，由县财政局从镇（街道）转移支付资金中扣除，直接拨付给运营服务机构。</w:t>
      </w:r>
    </w:p>
    <w:p w14:paraId="0967E511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第十八条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运营补贴。补贴对象为评估合格的民生综合体和助餐服务点，年度午餐服务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4000人次的补助0.3万元，不得与农村幸福院补贴重复。</w:t>
      </w:r>
    </w:p>
    <w:p w14:paraId="73B8224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补贴资金来源于省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市养老专项资金，县民政局根据绩效考核结果确定金额，县财政局按年度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运营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服务机构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拨付，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具体考核办法由县民政局制定。</w:t>
      </w:r>
    </w:p>
    <w:p w14:paraId="269DE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第十九条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农村幸福院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运营补贴。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将符合条件的民生综合体及助餐服务点纳入农村幸福院备案管理，根据第三方农村幸福院等级评估结果，按照省、市补助标准给予奖补。</w:t>
      </w:r>
    </w:p>
    <w:p w14:paraId="01DA9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农村幸福院补贴为省市养老服务专项资金，由县财政局按年度统一拨付至运营服务机构。</w:t>
      </w:r>
    </w:p>
    <w:p w14:paraId="39E3B42D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firstLine="0" w:firstLineChars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​</w:t>
      </w:r>
      <w:r>
        <w:rPr>
          <w:rStyle w:val="10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​</w:t>
      </w: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</w:t>
      </w: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>二十</w:t>
      </w: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条</w:t>
      </w: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税费优惠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。民生综合体和助餐服务点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享受居民生活类水电气暖价格及税费优惠政策。</w:t>
      </w:r>
    </w:p>
    <w:p w14:paraId="3825F373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firstLine="0" w:firstLineChars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​</w:t>
      </w:r>
      <w:r>
        <w:rPr>
          <w:rStyle w:val="10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​</w:t>
      </w: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第二十</w:t>
      </w: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一</w:t>
      </w: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条</w:t>
      </w:r>
      <w:r>
        <w:rPr>
          <w:rStyle w:val="10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人力支持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优先为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民生综合体和助餐服务点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安排乡村公益性岗位。</w:t>
      </w:r>
    </w:p>
    <w:p w14:paraId="7309912C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firstLine="0" w:firstLineChars="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​</w:t>
      </w:r>
      <w:r>
        <w:rPr>
          <w:rStyle w:val="10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​</w:t>
      </w: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第二十</w:t>
      </w: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>二</w:t>
      </w: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条</w:t>
      </w: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</w:t>
      </w:r>
      <w:r>
        <w:rPr>
          <w:rStyle w:val="10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鼓励互助养老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eastAsia="zh-CN"/>
        </w:rPr>
        <w:t>。发动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党员干部、低龄健康老人参与服务，探索邻里互助解决日常照料问题；推行“服务积分”“志愿+信用”模式，培育助餐志愿者和互助组织；支持社会组织为行动不便老人提供送餐上门服务。</w:t>
      </w:r>
    </w:p>
    <w:p w14:paraId="20813FB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right="0" w:firstLine="0" w:firstLineChars="0"/>
        <w:jc w:val="center"/>
        <w:textAlignment w:val="baseline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第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>章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  <w:t xml:space="preserve"> 监督管理</w:t>
      </w:r>
    </w:p>
    <w:p w14:paraId="0577651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第二十三条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县民政局与县市场监管局建立联合巡查机制，加强对民生综合体和助餐服务点餐食加工、配送等环节的安全监管，定期进行监督检查并督促整改。</w:t>
      </w:r>
    </w:p>
    <w:p w14:paraId="1EE9E48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第二十四条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镇（街道）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应当加强食品生产、配送等环节的常态化安全监管，建立食品安全信用档案。加强对食品从业人员的培训和膳食安全质量的抽验检查。</w:t>
      </w:r>
    </w:p>
    <w:p w14:paraId="4753F90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CFCFC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第二十五条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镇（街道）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利用智慧养老服务平台进行信息化管理，通过人脸识别核对，对助餐对象进行身份核验，建立助餐服务电子台账，作为补贴发放依据。</w:t>
      </w:r>
    </w:p>
    <w:p w14:paraId="657A1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第二十六条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运营服务机构在服务过程中违反安全生产、食品药品安全、消防管理、老年人权益保障等法律法规的，由相关主管部门依法追究其法律责任。</w:t>
      </w:r>
    </w:p>
    <w:p w14:paraId="3A737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第二十七条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实施民生综合体动态监管，民生综合体具有以下情形之一且限期整改不到位的，降为助餐服务点管理。</w:t>
      </w:r>
    </w:p>
    <w:p w14:paraId="02ED5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（一）连续30天日均就餐人数不足10人的；</w:t>
      </w:r>
    </w:p>
    <w:p w14:paraId="53342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（二）非正常原因连续30天未运营的；</w:t>
      </w:r>
    </w:p>
    <w:p w14:paraId="53A3C7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（三）未办理食品经营许可证的；</w:t>
      </w:r>
    </w:p>
    <w:p w14:paraId="2EF45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（四）未按要求配备公益岗及助餐人员、配合运营方选聘专职营业员的；</w:t>
      </w:r>
    </w:p>
    <w:p w14:paraId="0D2F7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（五）其他认为有需要调整的情形。</w:t>
      </w:r>
    </w:p>
    <w:p w14:paraId="4A0A4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降级后由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镇（街道）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协调就近民生综合体为其供餐，村负责组织“两委”成员、公益岗、网格员等人员为老年人提供送餐服务，运营服务机构不再承担招聘营业人员工资。</w:t>
      </w:r>
    </w:p>
    <w:p w14:paraId="4FE6C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第二十八条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运营机构违反协议规定，有下列行为之一的，由主管单位责令整改；拒不整改的，取消其享受补贴资格；情节严重的，对已拨付的补贴予以追回，并依法予以处理。</w:t>
      </w:r>
    </w:p>
    <w:p w14:paraId="58293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（一）擅自暂停或者终止服务的；</w:t>
      </w:r>
    </w:p>
    <w:p w14:paraId="75B17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（二）餐饮质量较差，老年人投诉较多的；</w:t>
      </w:r>
    </w:p>
    <w:p w14:paraId="667BF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（三）正常运营期间内连续3个月达不到规定就餐人数的；</w:t>
      </w:r>
    </w:p>
    <w:p w14:paraId="277C9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（四）存在辱骂、歧视和虐待等侵犯老年人合法权益行为的；</w:t>
      </w:r>
    </w:p>
    <w:p w14:paraId="5A41E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（五）存在重大食品安全隐患或达不到保证食品安全保障要求，发生食品安全事故或老年人人身财产安全事故的；</w:t>
      </w:r>
    </w:p>
    <w:p w14:paraId="51186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（六）在申请补贴、接受考核时有弄虚作假、骗取补贴行为的；</w:t>
      </w:r>
    </w:p>
    <w:p w14:paraId="5AEAC7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（七）法律法规、规章规定的其他违法违规行为。</w:t>
      </w:r>
    </w:p>
    <w:p w14:paraId="76B97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第五章  附则</w:t>
      </w:r>
    </w:p>
    <w:p w14:paraId="3FD28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color w:val="auto"/>
          <w:spacing w:val="0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第二十九条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本办法自2025年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日起施行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sectPr>
      <w:footerReference r:id="rId3" w:type="default"/>
      <w:pgSz w:w="11906" w:h="16838"/>
      <w:pgMar w:top="1984" w:right="1587" w:bottom="1701" w:left="1587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27202D-21EC-46B4-8087-34B2E1A30B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1E116DE-3A20-484B-8297-9C907DC39F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BEEC5D-0FA5-4A2D-B72F-AE61DF04D0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6C7E1E9-8BF3-4042-9F06-9AAB0436D2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BB6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08269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808269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DE95C"/>
    <w:multiLevelType w:val="singleLevel"/>
    <w:tmpl w:val="345DE95C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32707"/>
    <w:rsid w:val="02116436"/>
    <w:rsid w:val="02632707"/>
    <w:rsid w:val="03411744"/>
    <w:rsid w:val="04600299"/>
    <w:rsid w:val="0A122902"/>
    <w:rsid w:val="0B400C53"/>
    <w:rsid w:val="10BC3BA6"/>
    <w:rsid w:val="124A001B"/>
    <w:rsid w:val="16DD226A"/>
    <w:rsid w:val="183A5B41"/>
    <w:rsid w:val="1B1D351C"/>
    <w:rsid w:val="1C1B5D55"/>
    <w:rsid w:val="203B28B6"/>
    <w:rsid w:val="207834AB"/>
    <w:rsid w:val="234076AD"/>
    <w:rsid w:val="293E5DF1"/>
    <w:rsid w:val="2A1B3C14"/>
    <w:rsid w:val="2BC70868"/>
    <w:rsid w:val="2BE02002"/>
    <w:rsid w:val="2C4C3088"/>
    <w:rsid w:val="2DA54CFE"/>
    <w:rsid w:val="2F7F0D3B"/>
    <w:rsid w:val="303C2BF7"/>
    <w:rsid w:val="34641116"/>
    <w:rsid w:val="4C825326"/>
    <w:rsid w:val="4CDF5E96"/>
    <w:rsid w:val="4D8B64DF"/>
    <w:rsid w:val="4EB923B7"/>
    <w:rsid w:val="51DD3636"/>
    <w:rsid w:val="52EF234D"/>
    <w:rsid w:val="55EC7731"/>
    <w:rsid w:val="568A15DC"/>
    <w:rsid w:val="57402E3E"/>
    <w:rsid w:val="64D46D35"/>
    <w:rsid w:val="64D8111B"/>
    <w:rsid w:val="684C7C5C"/>
    <w:rsid w:val="71BB6CEF"/>
    <w:rsid w:val="72417747"/>
    <w:rsid w:val="728A07A4"/>
    <w:rsid w:val="730E1E11"/>
    <w:rsid w:val="73827B4F"/>
    <w:rsid w:val="74250052"/>
    <w:rsid w:val="76562678"/>
    <w:rsid w:val="7C46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next w:val="5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3073</Words>
  <Characters>3131</Characters>
  <Lines>0</Lines>
  <Paragraphs>0</Paragraphs>
  <TotalTime>1282</TotalTime>
  <ScaleCrop>false</ScaleCrop>
  <LinksUpToDate>false</LinksUpToDate>
  <CharactersWithSpaces>3275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2025-04-16T01:44:00Z</dcterms:created>
  <dc:creator>Administrator</dc:creator>
  <cp:lastModifiedBy>拓荒</cp:lastModifiedBy>
  <cp:lastPrinted>2025-06-10T02:50:00Z</cp:lastPrinted>
  <dcterms:modified xsi:type="dcterms:W3CDTF">2025-06-19T00:43:22Z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eyJoZGlkIjoiNzU3YzNhYzJhYWQ2MzE0MWI2NTQ5NGYyMzcwMzhhY2UiLCJ1c2VySWQiOiIzNTQyODIwODgifQ==</vt:lpwstr>
  </property>
  <property fmtid="{D5CDD505-2E9C-101B-9397-08002B2CF9AE}" pid="4" name="ICV">
    <vt:lpwstr>E13F6757FD3D444E81498CC01D8C5AC3_13</vt:lpwstr>
  </property>
</Properties>
</file>