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Times New Roman" w:eastAsia="方正小标宋简体" w:cs="Times New Roman"/>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方正小标宋简体" w:hAnsi="Times New Roman" w:eastAsia="方正小标宋简体" w:cs="Times New Roman"/>
          <w:sz w:val="44"/>
          <w:szCs w:val="44"/>
        </w:rPr>
      </w:pPr>
    </w:p>
    <w:p>
      <w:pPr>
        <w:spacing w:line="56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沂源县人民政府办公室</w:t>
      </w:r>
    </w:p>
    <w:p>
      <w:pPr>
        <w:spacing w:line="56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关于认真落实2021年度</w:t>
      </w:r>
      <w:r>
        <w:rPr>
          <w:rFonts w:hint="eastAsia" w:ascii="方正小标宋简体" w:hAnsi="Times New Roman" w:eastAsia="方正小标宋简体" w:cs="Times New Roman"/>
          <w:sz w:val="44"/>
          <w:szCs w:val="44"/>
          <w:lang w:val="en-US" w:eastAsia="zh-CN"/>
        </w:rPr>
        <w:t>沂源</w:t>
      </w:r>
      <w:r>
        <w:rPr>
          <w:rFonts w:hint="eastAsia" w:ascii="方正小标宋简体" w:hAnsi="Times New Roman" w:eastAsia="方正小标宋简体" w:cs="Times New Roman"/>
          <w:sz w:val="44"/>
          <w:szCs w:val="44"/>
        </w:rPr>
        <w:t>县重大        民生实事项目的通知</w:t>
      </w:r>
    </w:p>
    <w:p>
      <w:pPr>
        <w:spacing w:line="560" w:lineRule="exact"/>
        <w:jc w:val="center"/>
        <w:rPr>
          <w:rFonts w:ascii="Times New Roman" w:hAnsi="Times New Roman" w:eastAsia="方正小标宋简体" w:cs="Times New Roman"/>
          <w:color w:val="000000"/>
          <w:sz w:val="44"/>
          <w:szCs w:val="44"/>
          <w:shd w:val="clear" w:color="auto" w:fill="FFFFFF"/>
        </w:rPr>
      </w:pPr>
    </w:p>
    <w:p>
      <w:pPr>
        <w:pageBreakBefore w:val="0"/>
        <w:widowControl w:val="0"/>
        <w:kinsoku/>
        <w:wordWrap/>
        <w:overflowPunct/>
        <w:topLinePunct w:val="0"/>
        <w:autoSpaceDE/>
        <w:autoSpaceDN/>
        <w:bidi w:val="0"/>
        <w:adjustRightInd/>
        <w:snapToGrid/>
        <w:spacing w:line="540" w:lineRule="exact"/>
        <w:jc w:val="left"/>
        <w:outlineLvl w:val="9"/>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 xml:space="preserve">各镇人民政府，各街道办事处，开发区管委会，县政府各部门，各有关单位：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none"/>
          <w:lang w:val="en-US" w:eastAsia="zh-CN"/>
        </w:rPr>
        <w:t>县第十八届人民代表大会第五次会议</w:t>
      </w:r>
      <w:r>
        <w:rPr>
          <w:rFonts w:ascii="Times New Roman" w:hAnsi="Times New Roman" w:eastAsia="仿宋_GB2312" w:cs="Times New Roman"/>
          <w:sz w:val="32"/>
          <w:szCs w:val="32"/>
        </w:rPr>
        <w:t>票决通过了</w:t>
      </w:r>
      <w:r>
        <w:rPr>
          <w:rFonts w:hint="eastAsia" w:ascii="Times New Roman" w:hAnsi="Times New Roman" w:eastAsia="仿宋_GB2312" w:cs="Times New Roman"/>
          <w:sz w:val="32"/>
          <w:szCs w:val="32"/>
        </w:rPr>
        <w:t>2021</w:t>
      </w:r>
      <w:r>
        <w:rPr>
          <w:rFonts w:ascii="Times New Roman" w:hAnsi="Times New Roman" w:eastAsia="仿宋_GB2312" w:cs="Times New Roman"/>
          <w:sz w:val="32"/>
          <w:szCs w:val="32"/>
        </w:rPr>
        <w:t>年度</w:t>
      </w:r>
      <w:r>
        <w:rPr>
          <w:rFonts w:hint="eastAsia" w:ascii="Times New Roman" w:hAnsi="Times New Roman" w:eastAsia="仿宋_GB2312" w:cs="Times New Roman"/>
          <w:sz w:val="32"/>
          <w:szCs w:val="32"/>
          <w:lang w:val="en-US" w:eastAsia="zh-CN"/>
        </w:rPr>
        <w:t>沂源县</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件重大民生实事项目。按照县委、县政府部署要求，</w:t>
      </w:r>
      <w:r>
        <w:rPr>
          <w:rFonts w:hint="eastAsia" w:ascii="Times New Roman" w:hAnsi="Times New Roman" w:eastAsia="仿宋_GB2312" w:cs="Times New Roman"/>
          <w:sz w:val="32"/>
          <w:szCs w:val="32"/>
          <w:lang w:val="en-US" w:eastAsia="zh-CN"/>
        </w:rPr>
        <w:t>请认真抓好组织实施。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cs="Times New Roman"/>
          <w:sz w:val="32"/>
          <w:szCs w:val="32"/>
        </w:rPr>
      </w:pPr>
      <w:r>
        <w:rPr>
          <w:rFonts w:ascii="黑体" w:hAnsi="黑体" w:eastAsia="黑体" w:cs="Times New Roman"/>
          <w:sz w:val="32"/>
          <w:szCs w:val="32"/>
        </w:rPr>
        <w:t xml:space="preserve"> 一、提高站位，夯实责任。</w:t>
      </w:r>
      <w:r>
        <w:rPr>
          <w:rFonts w:ascii="Times New Roman" w:hAnsi="Times New Roman" w:eastAsia="仿宋_GB2312" w:cs="Times New Roman"/>
          <w:sz w:val="32"/>
          <w:szCs w:val="32"/>
        </w:rPr>
        <w:t>实施重大民生实事项目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是县委、县政府践行以人民为中心的发展思想，保障和改善民生的具体体现，是开展党史学习教育为民办实事的重要内容，也是在品质民生建设上抓落实求突破的实际行动，事关全局、意义重大。</w:t>
      </w:r>
      <w:r>
        <w:rPr>
          <w:rFonts w:hint="eastAsia" w:ascii="Times New Roman" w:hAnsi="Times New Roman" w:eastAsia="仿宋_GB2312" w:cs="Times New Roman"/>
          <w:sz w:val="32"/>
          <w:szCs w:val="32"/>
          <w:lang w:val="en-US" w:eastAsia="zh-CN"/>
        </w:rPr>
        <w:t>全县</w:t>
      </w:r>
      <w:r>
        <w:rPr>
          <w:rFonts w:ascii="Times New Roman" w:hAnsi="Times New Roman" w:eastAsia="仿宋_GB2312" w:cs="Times New Roman"/>
          <w:sz w:val="32"/>
          <w:szCs w:val="32"/>
        </w:rPr>
        <w:t xml:space="preserve">各级各有关部门单位要进一步提高政治站位，把落实好重大民生实事项目摆到重中之重的位置，细化分解任务，夯实工作责任，全力推进落实，确保年度重大民生实事办理取得预期实效。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cs="Times New Roman"/>
          <w:sz w:val="32"/>
          <w:szCs w:val="32"/>
        </w:rPr>
      </w:pPr>
      <w:r>
        <w:rPr>
          <w:rFonts w:ascii="黑体" w:hAnsi="黑体" w:eastAsia="黑体" w:cs="Times New Roman"/>
          <w:sz w:val="32"/>
          <w:szCs w:val="32"/>
        </w:rPr>
        <w:t>二、健全机制，强力推进。</w:t>
      </w:r>
      <w:r>
        <w:rPr>
          <w:rFonts w:ascii="Times New Roman" w:hAnsi="Times New Roman" w:eastAsia="仿宋_GB2312" w:cs="Times New Roman"/>
          <w:sz w:val="32"/>
          <w:szCs w:val="32"/>
        </w:rPr>
        <w:t>县政府领导同志将按照职责分工，牵头督促指导所负责的重大民生实事项目落实，及时调度掌握实事办理进展情况，推动困难问题解决。各责任部门要充分发挥牵头抓总作用，对照承担</w:t>
      </w:r>
      <w:r>
        <w:rPr>
          <w:rFonts w:ascii="仿宋_GB2312" w:eastAsia="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1075055</wp:posOffset>
                </wp:positionH>
                <wp:positionV relativeFrom="paragraph">
                  <wp:posOffset>9744075</wp:posOffset>
                </wp:positionV>
                <wp:extent cx="5688330" cy="635"/>
                <wp:effectExtent l="0" t="25400" r="7620" b="31115"/>
                <wp:wrapNone/>
                <wp:docPr id="3" name="直接连接符 3"/>
                <wp:cNvGraphicFramePr/>
                <a:graphic xmlns:a="http://schemas.openxmlformats.org/drawingml/2006/main">
                  <a:graphicData uri="http://schemas.microsoft.com/office/word/2010/wordprocessingShape">
                    <wps:wsp>
                      <wps:cNvCnPr/>
                      <wps:spPr>
                        <a:xfrm>
                          <a:off x="0" y="0"/>
                          <a:ext cx="5688330" cy="635"/>
                        </a:xfrm>
                        <a:prstGeom prst="line">
                          <a:avLst/>
                        </a:prstGeom>
                        <a:ln w="508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4.65pt;margin-top:767.25pt;height:0.05pt;width:447.9pt;z-index:251668480;mso-width-relative:page;mso-height-relative:page;" filled="f" stroked="t" coordsize="21600,21600" o:gfxdata="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qHS6q2wAA&#10;AA4BAAAPAAAAAAAAAAEAIAAAACIAAABkcnMvZG93bnJldi54bWxQSwECFAAUAAAACACHTuJAMApF&#10;ieIBAACfAwAADgAAAAAAAAABACAAAAAqAQAAZHJzL2Uyb0RvYy54bWxQSwUGAAAAAAYABgBZAQAA&#10;fgUAAAAA&#10;">
                <v:fill on="f" focussize="0,0"/>
                <v:stroke weight="4pt" color="#FF0000" linestyle="thinThick" joinstyle="round"/>
                <v:imagedata o:title=""/>
                <o:lock v:ext="edit" aspectratio="f"/>
              </v:line>
            </w:pict>
          </mc:Fallback>
        </mc:AlternateContent>
      </w:r>
      <w:r>
        <w:rPr>
          <w:rFonts w:ascii="Times New Roman" w:hAnsi="Times New Roman" w:eastAsia="仿宋_GB2312" w:cs="Times New Roman"/>
          <w:sz w:val="32"/>
          <w:szCs w:val="32"/>
        </w:rPr>
        <w:t>的目标任务，主动担当作为，全力抓统筹、抓进度、抓质量、抓落实</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并于每月３日</w:t>
      </w:r>
      <w:r>
        <w:rPr>
          <w:rFonts w:ascii="仿宋_GB2312" w:eastAsia="仿宋_GB2312"/>
          <w:sz w:val="32"/>
          <w:szCs w:val="32"/>
        </w:rPr>
        <mc:AlternateContent>
          <mc:Choice Requires="wps">
            <w:drawing>
              <wp:anchor distT="0" distB="0" distL="114300" distR="114300" simplePos="0" relativeHeight="251664384" behindDoc="0" locked="0" layoutInCell="1" allowOverlap="1">
                <wp:simplePos x="0" y="0"/>
                <wp:positionH relativeFrom="column">
                  <wp:posOffset>922655</wp:posOffset>
                </wp:positionH>
                <wp:positionV relativeFrom="paragraph">
                  <wp:posOffset>9591675</wp:posOffset>
                </wp:positionV>
                <wp:extent cx="5688330" cy="635"/>
                <wp:effectExtent l="0" t="25400" r="7620" b="31115"/>
                <wp:wrapNone/>
                <wp:docPr id="2" name="直接连接符 2"/>
                <wp:cNvGraphicFramePr/>
                <a:graphic xmlns:a="http://schemas.openxmlformats.org/drawingml/2006/main">
                  <a:graphicData uri="http://schemas.microsoft.com/office/word/2010/wordprocessingShape">
                    <wps:wsp>
                      <wps:cNvCnPr/>
                      <wps:spPr>
                        <a:xfrm>
                          <a:off x="0" y="0"/>
                          <a:ext cx="5688330" cy="635"/>
                        </a:xfrm>
                        <a:prstGeom prst="line">
                          <a:avLst/>
                        </a:prstGeom>
                        <a:ln w="508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2.65pt;margin-top:755.25pt;height:0.05pt;width:447.9pt;z-index:251664384;mso-width-relative:page;mso-height-relative:page;" filled="f" stroked="t" coordsize="21600,21600" o:gfxdata="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6YYf/aAAAA&#10;DgEAAA8AAAAAAAAAAQAgAAAAIgAAAGRycy9kb3ducmV2LnhtbFBLAQIUABQAAAAIAIdO4kCdlOx0&#10;4gEAAJ8DAAAOAAAAAAAAAAEAIAAAACkBAABkcnMvZTJvRG9jLnhtbFBLBQYAAAAABgAGAFkBAAB9&#10;BQAAAAA=&#10;">
                <v:fill on="f" focussize="0,0"/>
                <v:stroke weight="4pt" color="#FF0000" linestyle="thinThick" joinstyle="round"/>
                <v:imagedata o:title=""/>
                <o:lock v:ext="edit" aspectratio="f"/>
              </v:line>
            </w:pict>
          </mc:Fallback>
        </mc:AlternateContent>
      </w:r>
      <w:r>
        <w:rPr>
          <w:rFonts w:ascii="Times New Roman" w:hAnsi="Times New Roman" w:eastAsia="仿宋_GB2312" w:cs="Times New Roman"/>
          <w:sz w:val="32"/>
          <w:szCs w:val="32"/>
        </w:rPr>
        <w:t>前（遇节假日顺延）</w:t>
      </w:r>
      <w:r>
        <w:rPr>
          <w:rFonts w:hint="eastAsia" w:ascii="Times New Roman" w:hAnsi="Times New Roman" w:eastAsia="仿宋_GB2312" w:cs="Times New Roman"/>
          <w:sz w:val="32"/>
          <w:szCs w:val="32"/>
          <w:lang w:val="en-US" w:eastAsia="zh-CN"/>
        </w:rPr>
        <w:t>将《</w:t>
      </w:r>
      <w:r>
        <w:rPr>
          <w:rFonts w:hint="eastAsia" w:ascii="Times New Roman" w:hAnsi="Times New Roman" w:eastAsia="仿宋_GB2312" w:cs="Times New Roman"/>
          <w:b w:val="0"/>
          <w:bCs w:val="0"/>
          <w:sz w:val="32"/>
          <w:szCs w:val="32"/>
        </w:rPr>
        <w:t>2</w:t>
      </w:r>
      <w:r>
        <w:rPr>
          <w:rFonts w:hint="eastAsia" w:ascii="Times New Roman" w:hAnsi="Times New Roman" w:eastAsia="仿宋_GB2312" w:cs="Times New Roman"/>
          <w:b w:val="0"/>
          <w:bCs w:val="0"/>
          <w:spacing w:val="-11"/>
          <w:sz w:val="32"/>
          <w:szCs w:val="32"/>
        </w:rPr>
        <w:t>021年</w:t>
      </w:r>
      <w:r>
        <w:rPr>
          <w:rFonts w:ascii="Times New Roman" w:hAnsi="Times New Roman" w:eastAsia="仿宋_GB2312" w:cs="Times New Roman"/>
          <w:b w:val="0"/>
          <w:bCs w:val="0"/>
          <w:spacing w:val="-11"/>
          <w:sz w:val="32"/>
          <w:szCs w:val="32"/>
        </w:rPr>
        <w:t>度沂源县重大民生实事项目</w:t>
      </w:r>
      <w:r>
        <w:rPr>
          <w:rFonts w:hint="eastAsia" w:ascii="Times New Roman" w:hAnsi="Times New Roman" w:eastAsia="仿宋_GB2312" w:cs="Times New Roman"/>
          <w:b w:val="0"/>
          <w:bCs w:val="0"/>
          <w:spacing w:val="-11"/>
          <w:sz w:val="32"/>
          <w:szCs w:val="32"/>
          <w:lang w:val="en-US" w:eastAsia="zh-CN"/>
        </w:rPr>
        <w:t>进展情况调度表</w:t>
      </w:r>
      <w:r>
        <w:rPr>
          <w:rFonts w:hint="eastAsia" w:ascii="Times New Roman" w:hAnsi="Times New Roman" w:eastAsia="仿宋_GB2312" w:cs="Times New Roman"/>
          <w:spacing w:val="-11"/>
          <w:sz w:val="32"/>
          <w:szCs w:val="32"/>
          <w:lang w:val="en-US" w:eastAsia="zh-CN"/>
        </w:rPr>
        <w:t>》</w:t>
      </w:r>
      <w:r>
        <w:rPr>
          <w:rFonts w:hint="eastAsia" w:ascii="Times New Roman" w:hAnsi="Times New Roman" w:eastAsia="仿宋_GB2312" w:cs="Times New Roman"/>
          <w:spacing w:val="-11"/>
          <w:sz w:val="32"/>
          <w:szCs w:val="32"/>
          <w:lang w:eastAsia="zh-CN"/>
        </w:rPr>
        <w:t>（</w:t>
      </w:r>
      <w:r>
        <w:rPr>
          <w:rFonts w:hint="eastAsia" w:ascii="Times New Roman" w:hAnsi="Times New Roman" w:eastAsia="仿宋_GB2312" w:cs="Times New Roman"/>
          <w:spacing w:val="-11"/>
          <w:sz w:val="32"/>
          <w:szCs w:val="32"/>
          <w:lang w:val="en-US" w:eastAsia="zh-CN"/>
        </w:rPr>
        <w:t>附件2</w:t>
      </w:r>
      <w:r>
        <w:rPr>
          <w:rFonts w:hint="eastAsia" w:ascii="Times New Roman" w:hAnsi="Times New Roman" w:eastAsia="仿宋_GB2312" w:cs="Times New Roman"/>
          <w:spacing w:val="-11"/>
          <w:sz w:val="32"/>
          <w:szCs w:val="32"/>
          <w:lang w:eastAsia="zh-CN"/>
        </w:rPr>
        <w:t>）</w:t>
      </w:r>
      <w:r>
        <w:rPr>
          <w:rFonts w:hint="eastAsia" w:ascii="Times New Roman" w:hAnsi="Times New Roman" w:eastAsia="仿宋_GB2312" w:cs="Times New Roman"/>
          <w:spacing w:val="-11"/>
          <w:sz w:val="32"/>
          <w:szCs w:val="32"/>
          <w:lang w:val="en-US" w:eastAsia="zh-CN"/>
        </w:rPr>
        <w:t>报至县发展改革局</w:t>
      </w:r>
      <w:r>
        <w:rPr>
          <w:rFonts w:hint="eastAsia" w:ascii="Times New Roman" w:hAnsi="Times New Roman" w:eastAsia="仿宋_GB2312" w:cs="Times New Roman"/>
          <w:spacing w:val="-11"/>
          <w:sz w:val="32"/>
          <w:szCs w:val="32"/>
          <w:lang w:eastAsia="zh-CN"/>
        </w:rPr>
        <w:t>。</w:t>
      </w:r>
      <w:r>
        <w:rPr>
          <w:rFonts w:ascii="Times New Roman" w:hAnsi="Times New Roman" w:eastAsia="仿宋_GB2312" w:cs="Times New Roman"/>
          <w:spacing w:val="-11"/>
          <w:sz w:val="32"/>
          <w:szCs w:val="32"/>
        </w:rPr>
        <w:t>各配合部门要履职尽责、积极配合，形成工作合力。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Times New Roman" w:hAnsi="Times New Roman" w:eastAsia="仿宋_GB2312" w:cs="Times New Roman"/>
          <w:sz w:val="32"/>
          <w:szCs w:val="32"/>
        </w:rPr>
      </w:pPr>
      <w:r>
        <w:rPr>
          <w:rFonts w:hint="eastAsia" w:ascii="黑体" w:hAnsi="黑体" w:eastAsia="黑体" w:cs="黑体"/>
          <w:sz w:val="32"/>
          <w:szCs w:val="32"/>
          <w:lang w:val="en-US" w:eastAsia="zh-CN"/>
        </w:rPr>
        <w:t>三、广泛宣传，及时公开。</w:t>
      </w:r>
      <w:r>
        <w:rPr>
          <w:rFonts w:hint="eastAsia" w:ascii="Times New Roman" w:hAnsi="Times New Roman" w:eastAsia="仿宋_GB2312" w:cs="Times New Roman"/>
          <w:sz w:val="32"/>
          <w:szCs w:val="32"/>
          <w:lang w:val="en-US" w:eastAsia="zh-CN"/>
        </w:rPr>
        <w:t>县发展改革局牵头</w:t>
      </w:r>
      <w:r>
        <w:rPr>
          <w:rFonts w:ascii="Times New Roman" w:hAnsi="Times New Roman" w:eastAsia="仿宋_GB2312" w:cs="Times New Roman"/>
          <w:sz w:val="32"/>
          <w:szCs w:val="32"/>
        </w:rPr>
        <w:t>通过</w:t>
      </w:r>
      <w:r>
        <w:rPr>
          <w:rFonts w:hint="default" w:ascii="Times New Roman" w:hAnsi="Times New Roman" w:eastAsia="仿宋_GB2312" w:cs="Times New Roman"/>
          <w:sz w:val="32"/>
          <w:szCs w:val="32"/>
        </w:rPr>
        <w:t>县</w:t>
      </w:r>
      <w:r>
        <w:rPr>
          <w:rFonts w:hint="eastAsia" w:ascii="Times New Roman" w:hAnsi="Times New Roman" w:eastAsia="仿宋_GB2312" w:cs="Times New Roman"/>
          <w:sz w:val="32"/>
          <w:szCs w:val="32"/>
          <w:lang w:val="en-US" w:eastAsia="zh-CN"/>
        </w:rPr>
        <w:t>政府网站、</w:t>
      </w:r>
      <w:r>
        <w:rPr>
          <w:rFonts w:hint="default" w:ascii="Times New Roman" w:hAnsi="Times New Roman" w:eastAsia="仿宋_GB2312" w:cs="Times New Roman"/>
          <w:sz w:val="32"/>
          <w:szCs w:val="32"/>
        </w:rPr>
        <w:t>主流媒体、网络平台</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多种渠道向社会公布重大民生实事项目进展情况，</w:t>
      </w:r>
      <w:r>
        <w:rPr>
          <w:rFonts w:hint="default" w:ascii="Times New Roman" w:hAnsi="Times New Roman" w:eastAsia="仿宋_GB2312" w:cs="Times New Roman"/>
          <w:sz w:val="32"/>
          <w:szCs w:val="32"/>
        </w:rPr>
        <w:t>宣传项目实施过程中的典型经验和工作成效，</w:t>
      </w:r>
      <w:r>
        <w:rPr>
          <w:rFonts w:ascii="Times New Roman" w:hAnsi="Times New Roman" w:eastAsia="仿宋_GB2312" w:cs="Times New Roman"/>
          <w:sz w:val="32"/>
          <w:szCs w:val="32"/>
        </w:rPr>
        <w:t>及时向社会发布一些群众关注度高、社会影响大、办理工作成效明显的实事项目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各相关部门、单位在工作过程中也要通过多种形式广泛宣传，营造浓厚氛围，不断</w:t>
      </w:r>
      <w:r>
        <w:rPr>
          <w:rFonts w:ascii="Times New Roman" w:hAnsi="Times New Roman" w:eastAsia="仿宋_GB2312" w:cs="Times New Roman"/>
          <w:sz w:val="32"/>
          <w:szCs w:val="32"/>
        </w:rPr>
        <w:t>提高群众参与度和知晓度。</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hint="eastAsia" w:ascii="黑体" w:hAnsi="黑体" w:eastAsia="黑体" w:cs="Times New Roman"/>
          <w:sz w:val="32"/>
          <w:szCs w:val="32"/>
          <w:lang w:val="en-US" w:eastAsia="zh-CN"/>
        </w:rPr>
        <w:t>四</w:t>
      </w:r>
      <w:r>
        <w:rPr>
          <w:rFonts w:ascii="黑体" w:hAnsi="黑体" w:eastAsia="黑体" w:cs="Times New Roman"/>
          <w:sz w:val="32"/>
          <w:szCs w:val="32"/>
        </w:rPr>
        <w:t>、接受监督，严督实查。</w:t>
      </w:r>
      <w:r>
        <w:rPr>
          <w:rFonts w:ascii="Times New Roman" w:hAnsi="Times New Roman" w:eastAsia="仿宋_GB2312" w:cs="Times New Roman"/>
          <w:sz w:val="32"/>
          <w:szCs w:val="32"/>
        </w:rPr>
        <w:t>要自觉接受人大监督，积极配合县人大常委会和专门委员会组织开展的调研、视察、评议等监督活动，及时办理答复人大代表提出的意见建议。</w:t>
      </w:r>
      <w:r>
        <w:rPr>
          <w:rFonts w:hint="eastAsia" w:ascii="Times New Roman" w:hAnsi="Times New Roman" w:eastAsia="仿宋_GB2312" w:cs="Times New Roman"/>
          <w:sz w:val="32"/>
          <w:szCs w:val="32"/>
          <w:lang w:val="en-US" w:eastAsia="zh-CN"/>
        </w:rPr>
        <w:t>县发展改革局</w:t>
      </w:r>
      <w:r>
        <w:rPr>
          <w:rFonts w:ascii="Times New Roman" w:hAnsi="Times New Roman" w:eastAsia="仿宋_GB2312" w:cs="Times New Roman"/>
          <w:sz w:val="32"/>
          <w:szCs w:val="32"/>
        </w:rPr>
        <w:t>要加大对重大民生实事项目</w:t>
      </w:r>
      <w:r>
        <w:rPr>
          <w:rFonts w:hint="eastAsia" w:ascii="Times New Roman" w:hAnsi="Times New Roman" w:eastAsia="仿宋_GB2312" w:cs="Times New Roman"/>
          <w:sz w:val="32"/>
          <w:szCs w:val="32"/>
          <w:lang w:val="en-US" w:eastAsia="zh-CN"/>
        </w:rPr>
        <w:t>的</w:t>
      </w:r>
      <w:r>
        <w:rPr>
          <w:rFonts w:ascii="Times New Roman" w:hAnsi="Times New Roman" w:eastAsia="仿宋_GB2312" w:cs="Times New Roman"/>
          <w:sz w:val="32"/>
          <w:szCs w:val="32"/>
        </w:rPr>
        <w:t>日常督导力度，及时调度掌握工作进展情况</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县政府督查室将重大民生实事办理工作纳入年度重点督查事项，对工作不力、进展迟缓的要实施精准督查，督查结果每季度进行一次通报，并纳入年度</w:t>
      </w:r>
      <w:r>
        <w:rPr>
          <w:rFonts w:hint="eastAsia" w:ascii="Times New Roman" w:hAnsi="Times New Roman" w:eastAsia="仿宋_GB2312" w:cs="Times New Roman"/>
          <w:sz w:val="32"/>
          <w:szCs w:val="32"/>
          <w:lang w:val="en-US" w:eastAsia="zh-CN"/>
        </w:rPr>
        <w:t>全县</w:t>
      </w:r>
      <w:r>
        <w:rPr>
          <w:rFonts w:ascii="Times New Roman" w:hAnsi="Times New Roman" w:eastAsia="仿宋_GB2312" w:cs="Times New Roman"/>
          <w:sz w:val="32"/>
          <w:szCs w:val="32"/>
        </w:rPr>
        <w:t xml:space="preserve">经济社会发展综合考核。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朱振华</w:t>
      </w:r>
      <w:r>
        <w:rPr>
          <w:rFonts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3241197</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公务</w:t>
      </w:r>
      <w:r>
        <w:rPr>
          <w:rFonts w:ascii="Times New Roman" w:hAnsi="Times New Roman" w:eastAsia="仿宋_GB2312" w:cs="Times New Roman"/>
          <w:sz w:val="32"/>
          <w:szCs w:val="32"/>
        </w:rPr>
        <w:t>邮箱：</w:t>
      </w:r>
      <w:r>
        <w:rPr>
          <w:rFonts w:hint="eastAsia" w:ascii="Times New Roman" w:hAnsi="Times New Roman" w:eastAsia="仿宋_GB2312" w:cs="Times New Roman"/>
          <w:sz w:val="32"/>
          <w:szCs w:val="32"/>
          <w:lang w:val="en-US" w:eastAsia="zh-CN"/>
        </w:rPr>
        <w:t>xyyy@zb.shandong.cn</w:t>
      </w:r>
      <w:r>
        <w:rPr>
          <w:rFonts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outlineLvl w:val="9"/>
        <w:rPr>
          <w:rFonts w:ascii="Times New Roman" w:hAnsi="Times New Roman" w:eastAsia="仿宋_GB2312" w:cs="Times New Roman"/>
          <w:sz w:val="32"/>
          <w:szCs w:val="32"/>
        </w:rPr>
      </w:pPr>
    </w:p>
    <w:p>
      <w:pPr>
        <w:pageBreakBefore w:val="0"/>
        <w:widowControl w:val="0"/>
        <w:kinsoku/>
        <w:wordWrap/>
        <w:overflowPunct/>
        <w:topLinePunct w:val="0"/>
        <w:autoSpaceDE/>
        <w:autoSpaceDN/>
        <w:bidi w:val="0"/>
        <w:adjustRightInd/>
        <w:snapToGrid/>
        <w:spacing w:line="540" w:lineRule="exact"/>
        <w:ind w:firstLine="640" w:firstLineChars="200"/>
        <w:outlineLvl w:val="9"/>
        <w:rPr>
          <w:rFonts w:ascii="Times New Roman" w:hAnsi="Times New Roman" w:eastAsia="仿宋_GB2312" w:cs="Times New Roman"/>
          <w:b w:val="0"/>
          <w:bCs w:val="0"/>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rPr>
        <w:t>2021年</w:t>
      </w:r>
      <w:r>
        <w:rPr>
          <w:rFonts w:ascii="Times New Roman" w:hAnsi="Times New Roman" w:eastAsia="仿宋_GB2312" w:cs="Times New Roman"/>
          <w:b w:val="0"/>
          <w:bCs w:val="0"/>
          <w:sz w:val="32"/>
          <w:szCs w:val="32"/>
        </w:rPr>
        <w:t>度沂源县重大民生实事项目工作计划书</w:t>
      </w:r>
    </w:p>
    <w:p>
      <w:pPr>
        <w:pStyle w:val="2"/>
        <w:pageBreakBefore w:val="0"/>
        <w:widowControl w:val="0"/>
        <w:kinsoku/>
        <w:wordWrap/>
        <w:overflowPunct/>
        <w:topLinePunct w:val="0"/>
        <w:autoSpaceDE/>
        <w:autoSpaceDN/>
        <w:bidi w:val="0"/>
        <w:adjustRightInd/>
        <w:snapToGrid/>
        <w:spacing w:line="540" w:lineRule="exact"/>
        <w:ind w:firstLine="1600" w:firstLineChars="500"/>
        <w:outlineLvl w:val="9"/>
        <w:rPr>
          <w:rFonts w:hint="default" w:eastAsia="仿宋_GB2312"/>
          <w:b w:val="0"/>
          <w:bCs w:val="0"/>
          <w:spacing w:val="-11"/>
          <w:sz w:val="32"/>
          <w:lang w:val="en-US" w:eastAsia="zh-CN"/>
        </w:rPr>
      </w:pPr>
      <w:r>
        <w:rPr>
          <w:rFonts w:hint="eastAsia"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rPr>
        <w:t>2021</w:t>
      </w:r>
      <w:r>
        <w:rPr>
          <w:rFonts w:hint="eastAsia" w:ascii="Times New Roman" w:hAnsi="Times New Roman" w:eastAsia="仿宋_GB2312" w:cs="Times New Roman"/>
          <w:b w:val="0"/>
          <w:bCs w:val="0"/>
          <w:spacing w:val="-11"/>
          <w:sz w:val="32"/>
          <w:szCs w:val="32"/>
        </w:rPr>
        <w:t>年</w:t>
      </w:r>
      <w:r>
        <w:rPr>
          <w:rFonts w:ascii="Times New Roman" w:hAnsi="Times New Roman" w:eastAsia="仿宋_GB2312" w:cs="Times New Roman"/>
          <w:b w:val="0"/>
          <w:bCs w:val="0"/>
          <w:spacing w:val="-11"/>
          <w:sz w:val="32"/>
          <w:szCs w:val="32"/>
        </w:rPr>
        <w:t>度沂源县重大民生实事项目</w:t>
      </w:r>
      <w:r>
        <w:rPr>
          <w:rFonts w:hint="eastAsia" w:ascii="Times New Roman" w:hAnsi="Times New Roman" w:eastAsia="仿宋_GB2312" w:cs="Times New Roman"/>
          <w:b w:val="0"/>
          <w:bCs w:val="0"/>
          <w:spacing w:val="-11"/>
          <w:sz w:val="32"/>
          <w:szCs w:val="32"/>
          <w:lang w:val="en-US" w:eastAsia="zh-CN"/>
        </w:rPr>
        <w:t>进展情况调度表</w:t>
      </w:r>
    </w:p>
    <w:p>
      <w:pPr>
        <w:pageBreakBefore w:val="0"/>
        <w:widowControl w:val="0"/>
        <w:kinsoku/>
        <w:wordWrap/>
        <w:overflowPunct/>
        <w:topLinePunct w:val="0"/>
        <w:autoSpaceDE/>
        <w:autoSpaceDN/>
        <w:bidi w:val="0"/>
        <w:adjustRightInd/>
        <w:snapToGrid/>
        <w:spacing w:line="540" w:lineRule="exact"/>
        <w:ind w:firstLine="640" w:firstLineChars="200"/>
        <w:outlineLvl w:val="9"/>
        <w:rPr>
          <w:rFonts w:hint="eastAsia" w:ascii="Times New Roman" w:hAnsi="Times New Roman" w:eastAsia="仿宋_GB2312" w:cs="Times New Roman"/>
          <w:sz w:val="32"/>
          <w:szCs w:val="32"/>
        </w:rPr>
      </w:pPr>
    </w:p>
    <w:p>
      <w:pPr>
        <w:pStyle w:val="2"/>
        <w:rPr>
          <w:rFonts w:hint="eastAsia"/>
        </w:rPr>
      </w:pPr>
    </w:p>
    <w:p>
      <w:pPr>
        <w:pageBreakBefore w:val="0"/>
        <w:widowControl w:val="0"/>
        <w:kinsoku/>
        <w:wordWrap/>
        <w:overflowPunct/>
        <w:topLinePunct w:val="0"/>
        <w:autoSpaceDE/>
        <w:autoSpaceDN/>
        <w:bidi w:val="0"/>
        <w:adjustRightInd/>
        <w:snapToGrid/>
        <w:spacing w:line="540" w:lineRule="exact"/>
        <w:ind w:firstLine="4160" w:firstLineChars="1300"/>
        <w:outlineLvl w:val="9"/>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 xml:space="preserve"> 沂源县人民政府办公室 </w:t>
      </w:r>
    </w:p>
    <w:p>
      <w:pPr>
        <w:pageBreakBefore w:val="0"/>
        <w:widowControl w:val="0"/>
        <w:kinsoku/>
        <w:wordWrap/>
        <w:overflowPunct/>
        <w:topLinePunct w:val="0"/>
        <w:autoSpaceDE/>
        <w:autoSpaceDN/>
        <w:bidi w:val="0"/>
        <w:adjustRightInd/>
        <w:snapToGrid/>
        <w:spacing w:line="540" w:lineRule="exact"/>
        <w:ind w:firstLine="4800" w:firstLineChars="1500"/>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2021年4月</w:t>
      </w:r>
      <w:r>
        <w:rPr>
          <w:rFonts w:hint="eastAsia" w:ascii="Times New Roman" w:hAnsi="Times New Roman" w:eastAsia="仿宋_GB2312" w:cs="Times New Roman"/>
          <w:sz w:val="32"/>
          <w:szCs w:val="32"/>
          <w:lang w:val="en-US" w:eastAsia="zh-CN"/>
        </w:rPr>
        <w:t>30</w:t>
      </w:r>
      <w:r>
        <w:rPr>
          <w:rFonts w:hint="eastAsia" w:ascii="Times New Roman" w:hAnsi="Times New Roman" w:eastAsia="仿宋_GB2312" w:cs="Times New Roman"/>
          <w:sz w:val="32"/>
          <w:szCs w:val="32"/>
        </w:rPr>
        <w:t>日</w:t>
      </w:r>
    </w:p>
    <w:p>
      <w:pPr>
        <w:pStyle w:val="2"/>
        <w:keepNext/>
        <w:keepLines/>
        <w:pageBreakBefore w:val="0"/>
        <w:widowControl w:val="0"/>
        <w:kinsoku/>
        <w:wordWrap/>
        <w:overflowPunct/>
        <w:topLinePunct w:val="0"/>
        <w:autoSpaceDE/>
        <w:autoSpaceDN/>
        <w:bidi w:val="0"/>
        <w:adjustRightInd/>
        <w:snapToGrid/>
        <w:spacing w:line="440" w:lineRule="exact"/>
        <w:textAlignment w:val="baseline"/>
        <w:outlineLvl w:val="9"/>
        <w:rPr>
          <w:rFonts w:hint="default"/>
          <w:lang w:val="en-US" w:eastAsia="zh-CN"/>
        </w:rPr>
        <w:sectPr>
          <w:footerReference r:id="rId3" w:type="default"/>
          <w:pgSz w:w="11906" w:h="16838"/>
          <w:pgMar w:top="1984" w:right="1531" w:bottom="1701" w:left="1531" w:header="851" w:footer="1383" w:gutter="0"/>
          <w:cols w:space="0" w:num="1"/>
          <w:rtlGutter w:val="0"/>
          <w:docGrid w:type="lines" w:linePitch="312" w:charSpace="0"/>
        </w:sectPr>
      </w:pPr>
      <w:r>
        <w:rPr>
          <w:rFonts w:hint="eastAsia" w:ascii="Times New Roman" w:hAnsi="Times New Roman" w:eastAsia="仿宋_GB2312" w:cs="Times New Roman"/>
          <w:b w:val="0"/>
          <w:bCs w:val="0"/>
          <w:sz w:val="32"/>
          <w:szCs w:val="32"/>
          <w:vertAlign w:val="baseline"/>
          <w:lang w:val="en-US" w:eastAsia="zh-CN"/>
        </w:rPr>
        <w:t>（此件公开发布）</w:t>
      </w:r>
    </w:p>
    <w:p>
      <w:pPr>
        <w:pageBreakBefore w:val="0"/>
        <w:widowControl w:val="0"/>
        <w:topLinePunct w:val="0"/>
        <w:bidi w:val="0"/>
        <w:spacing w:line="5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p>
    <w:p>
      <w:pPr>
        <w:pageBreakBefore w:val="0"/>
        <w:widowControl w:val="0"/>
        <w:topLinePunct w:val="0"/>
        <w:bidi w:val="0"/>
        <w:spacing w:line="560" w:lineRule="exact"/>
        <w:jc w:val="center"/>
        <w:rPr>
          <w:rFonts w:hint="eastAsia" w:ascii="方正小标宋简体" w:hAnsi="方正小标宋简体" w:eastAsia="方正小标宋简体" w:cs="方正小标宋简体"/>
          <w:b w:val="0"/>
          <w:bCs/>
          <w:sz w:val="44"/>
          <w:szCs w:val="44"/>
          <w:vertAlign w:val="baseline"/>
          <w:lang w:val="en-US" w:eastAsia="zh-CN"/>
        </w:rPr>
      </w:pPr>
      <w:r>
        <w:rPr>
          <w:rFonts w:hint="eastAsia" w:ascii="方正小标宋简体" w:hAnsi="方正小标宋简体" w:eastAsia="方正小标宋简体" w:cs="方正小标宋简体"/>
          <w:b w:val="0"/>
          <w:bCs/>
          <w:sz w:val="44"/>
          <w:szCs w:val="44"/>
          <w:lang w:val="en-US" w:eastAsia="zh-CN"/>
        </w:rPr>
        <w:t>2021年度沂源县重大民生实事项目季度目标任务清单</w:t>
      </w:r>
    </w:p>
    <w:tbl>
      <w:tblPr>
        <w:tblStyle w:val="9"/>
        <w:tblW w:w="143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
      <w:tblGrid>
        <w:gridCol w:w="632"/>
        <w:gridCol w:w="1020"/>
        <w:gridCol w:w="1473"/>
        <w:gridCol w:w="2232"/>
        <w:gridCol w:w="1653"/>
        <w:gridCol w:w="1620"/>
        <w:gridCol w:w="1530"/>
        <w:gridCol w:w="1590"/>
        <w:gridCol w:w="80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567" w:hRule="atLeast"/>
          <w:tblHeader/>
          <w:jc w:val="center"/>
        </w:trPr>
        <w:tc>
          <w:tcPr>
            <w:tcW w:w="6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sz w:val="24"/>
                <w:szCs w:val="24"/>
                <w:vertAlign w:val="baseline"/>
                <w:lang w:val="en-US" w:eastAsia="zh-CN"/>
              </w:rPr>
            </w:pPr>
            <w:r>
              <w:rPr>
                <w:rFonts w:hint="default" w:ascii="Times New Roman" w:hAnsi="Times New Roman" w:eastAsia="黑体" w:cs="Times New Roman"/>
                <w:b w:val="0"/>
                <w:bCs/>
                <w:sz w:val="24"/>
                <w:szCs w:val="24"/>
                <w:vertAlign w:val="baseline"/>
                <w:lang w:val="en-US" w:eastAsia="zh-CN"/>
              </w:rPr>
              <w:t>序号</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sz w:val="24"/>
                <w:szCs w:val="24"/>
                <w:vertAlign w:val="baseline"/>
                <w:lang w:val="en-US" w:eastAsia="zh-CN"/>
              </w:rPr>
            </w:pPr>
            <w:r>
              <w:rPr>
                <w:rFonts w:hint="default" w:ascii="Times New Roman" w:hAnsi="Times New Roman" w:eastAsia="黑体" w:cs="Times New Roman"/>
                <w:b w:val="0"/>
                <w:bCs/>
                <w:sz w:val="24"/>
                <w:szCs w:val="24"/>
                <w:vertAlign w:val="baseline"/>
                <w:lang w:val="en-US" w:eastAsia="zh-CN"/>
              </w:rPr>
              <w:t>民生实事</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sz w:val="24"/>
                <w:szCs w:val="24"/>
                <w:vertAlign w:val="baseline"/>
                <w:lang w:val="en-US" w:eastAsia="zh-CN"/>
              </w:rPr>
            </w:pPr>
            <w:r>
              <w:rPr>
                <w:rFonts w:hint="default" w:ascii="Times New Roman" w:hAnsi="Times New Roman" w:eastAsia="黑体" w:cs="Times New Roman"/>
                <w:b w:val="0"/>
                <w:bCs/>
                <w:sz w:val="24"/>
                <w:szCs w:val="24"/>
                <w:vertAlign w:val="baseline"/>
                <w:lang w:val="en-US" w:eastAsia="zh-CN"/>
              </w:rPr>
              <w:t>主要任务</w:t>
            </w:r>
          </w:p>
        </w:tc>
        <w:tc>
          <w:tcPr>
            <w:tcW w:w="22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sz w:val="24"/>
                <w:szCs w:val="24"/>
                <w:vertAlign w:val="baseline"/>
                <w:lang w:val="en-US" w:eastAsia="zh-CN"/>
              </w:rPr>
            </w:pPr>
            <w:r>
              <w:rPr>
                <w:rFonts w:hint="default" w:ascii="Times New Roman" w:hAnsi="Times New Roman" w:eastAsia="黑体" w:cs="Times New Roman"/>
                <w:b w:val="0"/>
                <w:bCs/>
                <w:sz w:val="24"/>
                <w:szCs w:val="24"/>
                <w:vertAlign w:val="baseline"/>
                <w:lang w:val="en-US" w:eastAsia="zh-CN"/>
              </w:rPr>
              <w:t>工作措施</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sz w:val="24"/>
                <w:szCs w:val="24"/>
                <w:vertAlign w:val="baseline"/>
                <w:lang w:val="en-US" w:eastAsia="zh-CN"/>
              </w:rPr>
            </w:pPr>
            <w:r>
              <w:rPr>
                <w:rFonts w:hint="default" w:ascii="Times New Roman" w:hAnsi="Times New Roman" w:eastAsia="黑体" w:cs="Times New Roman"/>
                <w:b w:val="0"/>
                <w:bCs/>
                <w:sz w:val="24"/>
                <w:szCs w:val="24"/>
                <w:vertAlign w:val="baseline"/>
                <w:lang w:val="en-US" w:eastAsia="zh-CN"/>
              </w:rPr>
              <w:t>一季度目标</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sz w:val="24"/>
                <w:szCs w:val="24"/>
                <w:vertAlign w:val="baseline"/>
                <w:lang w:val="en-US" w:eastAsia="zh-CN"/>
              </w:rPr>
            </w:pPr>
            <w:r>
              <w:rPr>
                <w:rFonts w:hint="default" w:ascii="Times New Roman" w:hAnsi="Times New Roman" w:eastAsia="黑体" w:cs="Times New Roman"/>
                <w:b w:val="0"/>
                <w:bCs/>
                <w:sz w:val="24"/>
                <w:szCs w:val="24"/>
                <w:vertAlign w:val="baseline"/>
                <w:lang w:val="en-US" w:eastAsia="zh-CN"/>
              </w:rPr>
              <w:t>二季度目标</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sz w:val="24"/>
                <w:szCs w:val="24"/>
                <w:vertAlign w:val="baseline"/>
                <w:lang w:val="en-US" w:eastAsia="zh-CN"/>
              </w:rPr>
            </w:pPr>
            <w:r>
              <w:rPr>
                <w:rFonts w:hint="default" w:ascii="Times New Roman" w:hAnsi="Times New Roman" w:eastAsia="黑体" w:cs="Times New Roman"/>
                <w:b w:val="0"/>
                <w:bCs/>
                <w:sz w:val="24"/>
                <w:szCs w:val="24"/>
                <w:vertAlign w:val="baseline"/>
                <w:lang w:val="en-US" w:eastAsia="zh-CN"/>
              </w:rPr>
              <w:t>三季度目标</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sz w:val="24"/>
                <w:szCs w:val="24"/>
                <w:vertAlign w:val="baseline"/>
                <w:lang w:val="en-US" w:eastAsia="zh-CN"/>
              </w:rPr>
            </w:pPr>
            <w:r>
              <w:rPr>
                <w:rFonts w:hint="default" w:ascii="Times New Roman" w:hAnsi="Times New Roman" w:eastAsia="黑体" w:cs="Times New Roman"/>
                <w:b w:val="0"/>
                <w:bCs/>
                <w:sz w:val="24"/>
                <w:szCs w:val="24"/>
                <w:vertAlign w:val="baseline"/>
                <w:lang w:val="en-US" w:eastAsia="zh-CN"/>
              </w:rPr>
              <w:t>四季度目标</w:t>
            </w:r>
          </w:p>
        </w:tc>
        <w:tc>
          <w:tcPr>
            <w:tcW w:w="8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sz w:val="24"/>
                <w:szCs w:val="24"/>
                <w:vertAlign w:val="baseline"/>
                <w:lang w:val="en-US" w:eastAsia="zh-CN"/>
              </w:rPr>
            </w:pPr>
            <w:r>
              <w:rPr>
                <w:rFonts w:hint="default" w:ascii="Times New Roman" w:hAnsi="Times New Roman" w:eastAsia="黑体" w:cs="Times New Roman"/>
                <w:b w:val="0"/>
                <w:bCs/>
                <w:sz w:val="24"/>
                <w:szCs w:val="24"/>
                <w:vertAlign w:val="baseline"/>
                <w:lang w:val="en-US" w:eastAsia="zh-CN"/>
              </w:rPr>
              <w:t>牵头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sz w:val="24"/>
                <w:szCs w:val="24"/>
                <w:vertAlign w:val="baseline"/>
                <w:lang w:val="en-US" w:eastAsia="zh-CN"/>
              </w:rPr>
            </w:pPr>
            <w:r>
              <w:rPr>
                <w:rFonts w:hint="default" w:ascii="Times New Roman" w:hAnsi="Times New Roman" w:eastAsia="黑体" w:cs="Times New Roman"/>
                <w:b w:val="0"/>
                <w:bCs/>
                <w:sz w:val="24"/>
                <w:szCs w:val="24"/>
                <w:vertAlign w:val="baseline"/>
                <w:lang w:val="en-US" w:eastAsia="zh-CN"/>
              </w:rPr>
              <w:t>县领导</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sz w:val="24"/>
                <w:szCs w:val="24"/>
                <w:vertAlign w:val="baseline"/>
                <w:lang w:val="en-US" w:eastAsia="zh-CN"/>
              </w:rPr>
            </w:pPr>
            <w:r>
              <w:rPr>
                <w:rFonts w:hint="default" w:ascii="Times New Roman" w:hAnsi="Times New Roman" w:eastAsia="黑体" w:cs="Times New Roman"/>
                <w:b w:val="0"/>
                <w:bCs/>
                <w:sz w:val="24"/>
                <w:szCs w:val="24"/>
                <w:vertAlign w:val="baseline"/>
                <w:lang w:val="en-US"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567" w:hRule="atLeast"/>
          <w:jc w:val="center"/>
        </w:trPr>
        <w:tc>
          <w:tcPr>
            <w:tcW w:w="632" w:type="dxa"/>
            <w:vMerge w:val="restart"/>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一</w:t>
            </w:r>
          </w:p>
        </w:tc>
        <w:tc>
          <w:tcPr>
            <w:tcW w:w="1020" w:type="dxa"/>
            <w:vMerge w:val="restart"/>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rPr>
              <w:t>提升医疗保障水平项目</w:t>
            </w:r>
          </w:p>
        </w:tc>
        <w:tc>
          <w:tcPr>
            <w:tcW w:w="1473" w:type="dxa"/>
            <w:vAlign w:val="center"/>
          </w:tcPr>
          <w:p>
            <w:pPr>
              <w:pStyle w:val="2"/>
              <w:keepNext/>
              <w:keepLines/>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baseline"/>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1.</w:t>
            </w:r>
            <w:r>
              <w:rPr>
                <w:rFonts w:hint="default" w:ascii="Times New Roman" w:hAnsi="Times New Roman" w:eastAsia="仿宋_GB2312" w:cs="Times New Roman"/>
                <w:b w:val="0"/>
                <w:bCs w:val="0"/>
                <w:color w:val="000000"/>
                <w:kern w:val="0"/>
                <w:sz w:val="24"/>
                <w:szCs w:val="24"/>
              </w:rPr>
              <w:t>建成投用县人民医院新院</w:t>
            </w:r>
            <w:r>
              <w:rPr>
                <w:rFonts w:hint="default" w:ascii="Times New Roman" w:hAnsi="Times New Roman" w:eastAsia="仿宋_GB2312" w:cs="Times New Roman"/>
                <w:b w:val="0"/>
                <w:bCs w:val="0"/>
                <w:color w:val="000000"/>
                <w:kern w:val="0"/>
                <w:sz w:val="24"/>
                <w:szCs w:val="24"/>
                <w:lang w:eastAsia="zh-CN"/>
              </w:rPr>
              <w:t>。</w:t>
            </w:r>
          </w:p>
        </w:tc>
        <w:tc>
          <w:tcPr>
            <w:tcW w:w="2232" w:type="dxa"/>
            <w:vAlign w:val="center"/>
          </w:tcPr>
          <w:p>
            <w:pPr>
              <w:spacing w:line="280" w:lineRule="exact"/>
              <w:jc w:val="both"/>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color w:val="000000"/>
                <w:kern w:val="0"/>
                <w:sz w:val="24"/>
                <w:szCs w:val="24"/>
              </w:rPr>
              <w:t>科学安排施工流程</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倒排工期</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强化制度建设，狠抓质量管理</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严格规范项目参建各方在协调联动、落实推进、监察督察方面的主体责任。</w:t>
            </w:r>
          </w:p>
        </w:tc>
        <w:tc>
          <w:tcPr>
            <w:tcW w:w="1653"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病房医技楼室内消防水电暖管道安装，门诊医技楼、妇儿专科楼等其他单体，内部空调消防及各种水电穿管施工，外部幕墙施工。</w:t>
            </w:r>
          </w:p>
        </w:tc>
        <w:tc>
          <w:tcPr>
            <w:tcW w:w="162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病房医技楼内外精装修，门诊医技楼、妇儿专科楼等其他单体进入吊顶、墙面、地面精装修阶段，场区室外配套开始施工。</w:t>
            </w:r>
          </w:p>
        </w:tc>
        <w:tc>
          <w:tcPr>
            <w:tcW w:w="153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病房医技楼、门诊医技楼、妇儿专科楼等各单体室内管线、电梯、空调、新风机组等设备安装与装饰装修工作穿插进行，室外配套工作全面展开。</w:t>
            </w:r>
          </w:p>
        </w:tc>
        <w:tc>
          <w:tcPr>
            <w:tcW w:w="159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各单体室内安装与装修工作收尾，水电暖各系统配套联动，室内卫生清理，室外配套设施进一步完善，达到运行条件。</w:t>
            </w:r>
          </w:p>
        </w:tc>
        <w:tc>
          <w:tcPr>
            <w:tcW w:w="807"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张莹莹</w:t>
            </w:r>
          </w:p>
        </w:tc>
        <w:tc>
          <w:tcPr>
            <w:tcW w:w="1800" w:type="dxa"/>
            <w:vAlign w:val="center"/>
          </w:tcPr>
          <w:p>
            <w:pPr>
              <w:pStyle w:val="2"/>
              <w:keepNext/>
              <w:keepLines/>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baseline"/>
              <w:rPr>
                <w:rFonts w:hint="default" w:ascii="Times New Roman" w:hAnsi="Times New Roman" w:eastAsia="黑体" w:cs="Times New Roman"/>
                <w:b w:val="0"/>
                <w:bCs w:val="0"/>
                <w:color w:val="000000"/>
                <w:kern w:val="0"/>
                <w:sz w:val="24"/>
                <w:szCs w:val="24"/>
                <w:lang w:val="en-US" w:eastAsia="zh-CN"/>
              </w:rPr>
            </w:pPr>
            <w:r>
              <w:rPr>
                <w:rFonts w:hint="default" w:ascii="Times New Roman" w:hAnsi="Times New Roman" w:eastAsia="黑体" w:cs="Times New Roman"/>
                <w:b w:val="0"/>
                <w:bCs w:val="0"/>
                <w:color w:val="000000"/>
                <w:kern w:val="0"/>
                <w:sz w:val="24"/>
                <w:szCs w:val="24"/>
                <w:lang w:val="en-US" w:eastAsia="zh-CN"/>
              </w:rPr>
              <w:t>县卫生健康局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733" w:hRule="atLeast"/>
          <w:jc w:val="center"/>
        </w:trPr>
        <w:tc>
          <w:tcPr>
            <w:tcW w:w="632" w:type="dxa"/>
            <w:vMerge w:val="continue"/>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p>
        </w:tc>
        <w:tc>
          <w:tcPr>
            <w:tcW w:w="1020" w:type="dxa"/>
            <w:vMerge w:val="continue"/>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方正小标宋简体" w:cs="Times New Roman"/>
                <w:b w:val="0"/>
                <w:bCs/>
                <w:sz w:val="24"/>
                <w:szCs w:val="24"/>
                <w:vertAlign w:val="baseline"/>
                <w:lang w:val="en-US" w:eastAsia="zh-CN"/>
              </w:rPr>
            </w:pPr>
          </w:p>
        </w:tc>
        <w:tc>
          <w:tcPr>
            <w:tcW w:w="1473" w:type="dxa"/>
            <w:vAlign w:val="center"/>
          </w:tcPr>
          <w:p>
            <w:pPr>
              <w:pStyle w:val="2"/>
              <w:keepNext/>
              <w:keepLines/>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baseline"/>
              <w:rPr>
                <w:rFonts w:hint="default" w:ascii="Times New Roman" w:hAnsi="Times New Roman" w:eastAsia="仿宋_GB2312" w:cs="Times New Roman"/>
                <w:b w:val="0"/>
                <w:bCs w:val="0"/>
                <w:color w:val="000000"/>
                <w:kern w:val="0"/>
                <w:sz w:val="24"/>
                <w:szCs w:val="24"/>
                <w:lang w:val="en-US" w:eastAsia="zh-CN"/>
              </w:rPr>
            </w:pPr>
            <w:r>
              <w:rPr>
                <w:rFonts w:hint="default" w:ascii="Times New Roman" w:hAnsi="Times New Roman" w:eastAsia="仿宋_GB2312" w:cs="Times New Roman"/>
                <w:b w:val="0"/>
                <w:bCs w:val="0"/>
                <w:color w:val="000000"/>
                <w:kern w:val="0"/>
                <w:sz w:val="24"/>
                <w:szCs w:val="24"/>
                <w:lang w:val="en-US" w:eastAsia="zh-CN"/>
              </w:rPr>
              <w:t>2.</w:t>
            </w:r>
            <w:r>
              <w:rPr>
                <w:rFonts w:hint="default" w:ascii="Times New Roman" w:hAnsi="Times New Roman" w:eastAsia="仿宋_GB2312" w:cs="Times New Roman"/>
                <w:b w:val="0"/>
                <w:bCs w:val="0"/>
                <w:color w:val="000000"/>
                <w:kern w:val="0"/>
                <w:sz w:val="24"/>
                <w:szCs w:val="24"/>
              </w:rPr>
              <w:t>建成30处中心村卫生室</w:t>
            </w:r>
            <w:r>
              <w:rPr>
                <w:rFonts w:hint="default" w:ascii="Times New Roman" w:hAnsi="Times New Roman" w:eastAsia="仿宋_GB2312" w:cs="Times New Roman"/>
                <w:b w:val="0"/>
                <w:bCs w:val="0"/>
                <w:color w:val="000000"/>
                <w:kern w:val="0"/>
                <w:sz w:val="24"/>
                <w:szCs w:val="24"/>
                <w:lang w:eastAsia="zh-CN"/>
              </w:rPr>
              <w:t>。</w:t>
            </w:r>
          </w:p>
        </w:tc>
        <w:tc>
          <w:tcPr>
            <w:tcW w:w="2232" w:type="dxa"/>
            <w:vAlign w:val="center"/>
          </w:tcPr>
          <w:p>
            <w:pPr>
              <w:spacing w:line="280" w:lineRule="exact"/>
              <w:jc w:val="both"/>
              <w:rPr>
                <w:rFonts w:hint="default" w:ascii="Times New Roman" w:hAnsi="Times New Roman" w:eastAsia="方正小标宋简体" w:cs="Times New Roman"/>
                <w:bCs/>
                <w:kern w:val="2"/>
                <w:sz w:val="24"/>
                <w:szCs w:val="24"/>
                <w:lang w:val="en-US" w:eastAsia="zh-CN" w:bidi="ar-SA"/>
              </w:rPr>
            </w:pPr>
            <w:r>
              <w:rPr>
                <w:rFonts w:hint="default" w:ascii="Times New Roman" w:hAnsi="Times New Roman" w:eastAsia="仿宋_GB2312" w:cs="Times New Roman"/>
                <w:color w:val="000000"/>
                <w:kern w:val="0"/>
                <w:sz w:val="24"/>
                <w:szCs w:val="24"/>
              </w:rPr>
              <w:t>因地制宜</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充分考虑空白村、薄弱村和人口分布情况，合理布局规划，确保有效满足空白村和薄弱村居民医疗卫生服务需求</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按照统一部署</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统一招标</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统一建设，统一验收</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 xml:space="preserve">统一使用要求开展中心村卫生室建设。 </w:t>
            </w:r>
          </w:p>
        </w:tc>
        <w:tc>
          <w:tcPr>
            <w:tcW w:w="1653"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对30处中心村卫生建设地点进行摸底选址，确定中心村卫生室建设地址。</w:t>
            </w:r>
          </w:p>
        </w:tc>
        <w:tc>
          <w:tcPr>
            <w:tcW w:w="162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公开招投标，实施主体建设。</w:t>
            </w:r>
          </w:p>
        </w:tc>
        <w:tc>
          <w:tcPr>
            <w:tcW w:w="153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倒排工期，持续推进中心村卫生室建设。</w:t>
            </w:r>
          </w:p>
        </w:tc>
        <w:tc>
          <w:tcPr>
            <w:tcW w:w="159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rPr>
              <w:t>全部中心村卫生室建成投用</w:t>
            </w:r>
            <w:r>
              <w:rPr>
                <w:rFonts w:hint="default" w:ascii="Times New Roman" w:hAnsi="Times New Roman" w:eastAsia="仿宋_GB2312" w:cs="Times New Roman"/>
                <w:color w:val="000000"/>
                <w:kern w:val="0"/>
                <w:sz w:val="24"/>
                <w:szCs w:val="24"/>
              </w:rPr>
              <w:t>。</w:t>
            </w:r>
          </w:p>
        </w:tc>
        <w:tc>
          <w:tcPr>
            <w:tcW w:w="807"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张莹莹</w:t>
            </w:r>
          </w:p>
        </w:tc>
        <w:tc>
          <w:tcPr>
            <w:tcW w:w="1800" w:type="dxa"/>
            <w:vAlign w:val="center"/>
          </w:tcPr>
          <w:p>
            <w:pPr>
              <w:pStyle w:val="2"/>
              <w:keepNext/>
              <w:keepLines/>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baseline"/>
              <w:rPr>
                <w:rFonts w:hint="default" w:ascii="Times New Roman" w:hAnsi="Times New Roman" w:eastAsia="黑体" w:cs="Times New Roman"/>
                <w:b w:val="0"/>
                <w:bCs w:val="0"/>
                <w:color w:val="000000"/>
                <w:kern w:val="0"/>
                <w:sz w:val="24"/>
                <w:szCs w:val="24"/>
                <w:lang w:val="en-US" w:eastAsia="zh-CN"/>
              </w:rPr>
            </w:pPr>
            <w:r>
              <w:rPr>
                <w:rFonts w:hint="default" w:ascii="Times New Roman" w:hAnsi="Times New Roman" w:eastAsia="黑体" w:cs="Times New Roman"/>
                <w:b w:val="0"/>
                <w:bCs w:val="0"/>
                <w:color w:val="000000"/>
                <w:kern w:val="0"/>
                <w:sz w:val="24"/>
                <w:szCs w:val="24"/>
                <w:lang w:val="en-US" w:eastAsia="zh-CN"/>
              </w:rPr>
              <w:t>县卫生健康局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rPr>
            </w:pPr>
            <w:r>
              <w:rPr>
                <w:rFonts w:hint="default" w:ascii="Times New Roman" w:hAnsi="Times New Roman" w:eastAsia="仿宋_GB2312" w:cs="Times New Roman"/>
                <w:b w:val="0"/>
                <w:bCs w:val="0"/>
                <w:color w:val="000000"/>
                <w:kern w:val="0"/>
                <w:sz w:val="24"/>
                <w:szCs w:val="24"/>
                <w:lang w:val="en-US" w:eastAsia="zh-CN"/>
              </w:rPr>
              <w:t>县自然资源局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rPr>
            </w:pPr>
            <w:r>
              <w:rPr>
                <w:rFonts w:hint="default" w:ascii="Times New Roman" w:hAnsi="Times New Roman" w:eastAsia="仿宋_GB2312" w:cs="Times New Roman"/>
                <w:b w:val="0"/>
                <w:bCs w:val="0"/>
                <w:color w:val="auto"/>
                <w:kern w:val="0"/>
                <w:sz w:val="21"/>
                <w:szCs w:val="21"/>
                <w:lang w:val="en-US" w:eastAsia="zh-CN"/>
              </w:rPr>
              <w:t>县住房城乡建设局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各镇（街道）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1126" w:hRule="atLeast"/>
          <w:jc w:val="center"/>
        </w:trPr>
        <w:tc>
          <w:tcPr>
            <w:tcW w:w="632"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一</w:t>
            </w:r>
          </w:p>
        </w:tc>
        <w:tc>
          <w:tcPr>
            <w:tcW w:w="102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rPr>
              <w:t>提升医疗保障水平项目</w:t>
            </w:r>
          </w:p>
        </w:tc>
        <w:tc>
          <w:tcPr>
            <w:tcW w:w="147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3.采用县招镇管村用模式配套招录中心村卫生室医务人员。</w:t>
            </w:r>
          </w:p>
        </w:tc>
        <w:tc>
          <w:tcPr>
            <w:tcW w:w="2232"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根据中心村卫生室乡医配备情况申请专业人员编制</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制定发布专业技术人员招聘公告，确定“县招镇管村用”人员招聘范围，公开招聘专业人员到中心村卫生室工作。</w:t>
            </w:r>
          </w:p>
        </w:tc>
        <w:tc>
          <w:tcPr>
            <w:tcW w:w="1653"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完成中心村卫生室工作人员编制核定。</w:t>
            </w:r>
          </w:p>
        </w:tc>
        <w:tc>
          <w:tcPr>
            <w:tcW w:w="162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制定乡医需求计划</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出台并发布招聘公告。</w:t>
            </w:r>
          </w:p>
        </w:tc>
        <w:tc>
          <w:tcPr>
            <w:tcW w:w="153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rPr>
              <w:t>完成笔试、资格审查、面试、体检和考察等工作。</w:t>
            </w:r>
          </w:p>
        </w:tc>
        <w:tc>
          <w:tcPr>
            <w:tcW w:w="159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将招聘的医务人员</w:t>
            </w:r>
            <w:r>
              <w:rPr>
                <w:rFonts w:hint="default" w:ascii="Times New Roman" w:hAnsi="Times New Roman" w:eastAsia="仿宋_GB2312" w:cs="Times New Roman"/>
                <w:color w:val="000000"/>
                <w:kern w:val="0"/>
                <w:sz w:val="24"/>
                <w:szCs w:val="24"/>
              </w:rPr>
              <w:t>按计划分配到各镇卫生院，充实到中心卫生村使用。</w:t>
            </w:r>
          </w:p>
        </w:tc>
        <w:tc>
          <w:tcPr>
            <w:tcW w:w="807"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张莹莹</w:t>
            </w:r>
          </w:p>
        </w:tc>
        <w:tc>
          <w:tcPr>
            <w:tcW w:w="1800" w:type="dxa"/>
            <w:vAlign w:val="center"/>
          </w:tcPr>
          <w:p>
            <w:pPr>
              <w:pStyle w:val="2"/>
              <w:keepNext/>
              <w:keepLines/>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baseline"/>
              <w:rPr>
                <w:rFonts w:hint="default" w:ascii="Times New Roman" w:hAnsi="Times New Roman" w:eastAsia="黑体" w:cs="Times New Roman"/>
                <w:b w:val="0"/>
                <w:bCs w:val="0"/>
                <w:color w:val="000000"/>
                <w:kern w:val="0"/>
                <w:sz w:val="24"/>
                <w:szCs w:val="24"/>
                <w:lang w:val="en-US" w:eastAsia="zh-CN"/>
              </w:rPr>
            </w:pPr>
            <w:r>
              <w:rPr>
                <w:rFonts w:hint="default" w:ascii="Times New Roman" w:hAnsi="Times New Roman" w:eastAsia="黑体" w:cs="Times New Roman"/>
                <w:b w:val="0"/>
                <w:bCs w:val="0"/>
                <w:color w:val="000000"/>
                <w:kern w:val="0"/>
                <w:sz w:val="24"/>
                <w:szCs w:val="24"/>
                <w:lang w:val="en-US" w:eastAsia="zh-CN"/>
              </w:rPr>
              <w:t>县卫生健康局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rPr>
            </w:pPr>
            <w:r>
              <w:rPr>
                <w:rFonts w:hint="default" w:ascii="Times New Roman" w:hAnsi="Times New Roman" w:eastAsia="仿宋_GB2312" w:cs="Times New Roman"/>
                <w:b w:val="0"/>
                <w:bCs w:val="0"/>
                <w:color w:val="000000"/>
                <w:kern w:val="0"/>
                <w:sz w:val="24"/>
                <w:szCs w:val="24"/>
                <w:lang w:val="en-US" w:eastAsia="zh-CN"/>
              </w:rPr>
              <w:t>县委编办</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rPr>
            </w:pPr>
            <w:r>
              <w:rPr>
                <w:rFonts w:hint="default" w:ascii="Times New Roman" w:hAnsi="Times New Roman" w:eastAsia="仿宋_GB2312" w:cs="Times New Roman"/>
                <w:b w:val="0"/>
                <w:bCs w:val="0"/>
                <w:color w:val="000000"/>
                <w:kern w:val="0"/>
                <w:sz w:val="24"/>
                <w:szCs w:val="24"/>
                <w:lang w:val="en-US" w:eastAsia="zh-CN"/>
              </w:rPr>
              <w:t>县财政局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县人力资源社会保障局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1096" w:hRule="atLeast"/>
          <w:jc w:val="center"/>
        </w:trPr>
        <w:tc>
          <w:tcPr>
            <w:tcW w:w="632" w:type="dxa"/>
            <w:vMerge w:val="restart"/>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二</w:t>
            </w:r>
          </w:p>
        </w:tc>
        <w:tc>
          <w:tcPr>
            <w:tcW w:w="1020" w:type="dxa"/>
            <w:vMerge w:val="restart"/>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优化学生学习环境项目</w:t>
            </w:r>
          </w:p>
        </w:tc>
        <w:tc>
          <w:tcPr>
            <w:tcW w:w="1473" w:type="dxa"/>
            <w:vAlign w:val="center"/>
          </w:tcPr>
          <w:p>
            <w:pPr>
              <w:pStyle w:val="2"/>
              <w:keepNext/>
              <w:keepLines/>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baseline"/>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4.改善学生的宿舍、就餐和饮水条件。</w:t>
            </w:r>
          </w:p>
        </w:tc>
        <w:tc>
          <w:tcPr>
            <w:tcW w:w="2232"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明确责任分工，认真抓好任务推进落实；做好先进典型做法推广，加大监督检查力度，确保各项工作严格按照时间节点保质保量完成。</w:t>
            </w:r>
          </w:p>
        </w:tc>
        <w:tc>
          <w:tcPr>
            <w:tcW w:w="1653"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制定《学生膳食营养指导》，开展成本核算机制试点，提升学生就餐质量。</w:t>
            </w:r>
          </w:p>
        </w:tc>
        <w:tc>
          <w:tcPr>
            <w:tcW w:w="162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推广学校食堂成本核算机制，开展全县学校食堂食材采购情况调研；做好学校宿舍情况实地调研，制定整改提升方案，做好设施招标工作。</w:t>
            </w:r>
          </w:p>
        </w:tc>
        <w:tc>
          <w:tcPr>
            <w:tcW w:w="153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继续推广学校食堂成本核算机制，探索试点大宗食材统一招标配送机制。完成学校宿舍内配配备。</w:t>
            </w:r>
          </w:p>
        </w:tc>
        <w:tc>
          <w:tcPr>
            <w:tcW w:w="159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完成学校宿舍维修改造以及全县中小学、幼儿园水质检测，实现学校、幼儿园水质监测100%全覆盖。</w:t>
            </w:r>
          </w:p>
        </w:tc>
        <w:tc>
          <w:tcPr>
            <w:tcW w:w="807"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张莹莹</w:t>
            </w:r>
          </w:p>
        </w:tc>
        <w:tc>
          <w:tcPr>
            <w:tcW w:w="1800" w:type="dxa"/>
            <w:vAlign w:val="center"/>
          </w:tcPr>
          <w:p>
            <w:pPr>
              <w:pStyle w:val="2"/>
              <w:keepNext/>
              <w:keepLines/>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baseline"/>
              <w:rPr>
                <w:rFonts w:hint="default" w:ascii="Times New Roman" w:hAnsi="Times New Roman" w:eastAsia="黑体" w:cs="Times New Roman"/>
                <w:b w:val="0"/>
                <w:bCs w:val="0"/>
                <w:color w:val="000000"/>
                <w:kern w:val="0"/>
                <w:sz w:val="24"/>
                <w:szCs w:val="24"/>
                <w:lang w:val="en-US" w:eastAsia="zh-CN" w:bidi="ar-SA"/>
              </w:rPr>
            </w:pPr>
            <w:r>
              <w:rPr>
                <w:rFonts w:hint="default" w:ascii="Times New Roman" w:hAnsi="Times New Roman" w:eastAsia="黑体" w:cs="Times New Roman"/>
                <w:b w:val="0"/>
                <w:bCs w:val="0"/>
                <w:color w:val="000000"/>
                <w:kern w:val="0"/>
                <w:sz w:val="24"/>
                <w:szCs w:val="24"/>
                <w:lang w:val="en-US" w:eastAsia="zh-CN" w:bidi="ar-SA"/>
              </w:rPr>
              <w:t>县教育和体育局</w:t>
            </w:r>
          </w:p>
          <w:p>
            <w:pPr>
              <w:pStyle w:val="2"/>
              <w:keepNext/>
              <w:keepLines/>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baseline"/>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1006" w:hRule="atLeast"/>
          <w:jc w:val="center"/>
        </w:trPr>
        <w:tc>
          <w:tcPr>
            <w:tcW w:w="632" w:type="dxa"/>
            <w:vMerge w:val="continue"/>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p>
        </w:tc>
        <w:tc>
          <w:tcPr>
            <w:tcW w:w="1020" w:type="dxa"/>
            <w:vMerge w:val="continue"/>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p>
        </w:tc>
        <w:tc>
          <w:tcPr>
            <w:tcW w:w="1473" w:type="dxa"/>
            <w:vAlign w:val="center"/>
          </w:tcPr>
          <w:p>
            <w:pPr>
              <w:pStyle w:val="2"/>
              <w:keepNext/>
              <w:keepLines/>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baseline"/>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5.对全县77处条件简陋的学校厕所全部进行卫生化升级改造。</w:t>
            </w:r>
          </w:p>
        </w:tc>
        <w:tc>
          <w:tcPr>
            <w:tcW w:w="2232"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开展实地调研，实行“一厕一策”，每处厕所确定不同的改造提升建设方案和工作计划，利用暑假时间进行改造，暑假后投入使用。</w:t>
            </w:r>
          </w:p>
        </w:tc>
        <w:tc>
          <w:tcPr>
            <w:tcW w:w="1653"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完成第一次全县中小学、幼儿园厕所情况的全面摸排、统计上报。</w:t>
            </w:r>
          </w:p>
        </w:tc>
        <w:tc>
          <w:tcPr>
            <w:tcW w:w="162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完成第二次摸底调研，提出改造提升建议，督促各学校确定改造提升建设方案，完成项目相关手续。</w:t>
            </w:r>
          </w:p>
        </w:tc>
        <w:tc>
          <w:tcPr>
            <w:tcW w:w="153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全部完成改造提升任务和验收，投入使用。</w:t>
            </w:r>
          </w:p>
        </w:tc>
        <w:tc>
          <w:tcPr>
            <w:tcW w:w="159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针对改造提升成果做好全面回访，督促学校做好厕所后续管理工作。</w:t>
            </w:r>
          </w:p>
        </w:tc>
        <w:tc>
          <w:tcPr>
            <w:tcW w:w="807"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张莹莹</w:t>
            </w:r>
          </w:p>
        </w:tc>
        <w:tc>
          <w:tcPr>
            <w:tcW w:w="1800"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bidi="ar-SA"/>
              </w:rPr>
              <w:t>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947" w:hRule="atLeast"/>
          <w:jc w:val="center"/>
        </w:trPr>
        <w:tc>
          <w:tcPr>
            <w:tcW w:w="632" w:type="dxa"/>
            <w:vMerge w:val="restart"/>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二</w:t>
            </w:r>
          </w:p>
        </w:tc>
        <w:tc>
          <w:tcPr>
            <w:tcW w:w="1020" w:type="dxa"/>
            <w:vMerge w:val="restart"/>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优化学生学习环境项目</w:t>
            </w:r>
          </w:p>
        </w:tc>
        <w:tc>
          <w:tcPr>
            <w:tcW w:w="147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6.对全县5万名学生进行视力检查和保健。</w:t>
            </w:r>
          </w:p>
        </w:tc>
        <w:tc>
          <w:tcPr>
            <w:tcW w:w="2232" w:type="dxa"/>
            <w:vAlign w:val="center"/>
          </w:tcPr>
          <w:p>
            <w:pPr>
              <w:spacing w:line="280" w:lineRule="exact"/>
              <w:jc w:val="both"/>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制定工作方案、健全组织体系、明确工作职责、按照工作分工分步骤开展视力防控。</w:t>
            </w:r>
          </w:p>
        </w:tc>
        <w:tc>
          <w:tcPr>
            <w:tcW w:w="1653" w:type="dxa"/>
            <w:vAlign w:val="center"/>
          </w:tcPr>
          <w:p>
            <w:pPr>
              <w:spacing w:line="280" w:lineRule="exact"/>
              <w:jc w:val="both"/>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建立健全视力防控领导小组和防控专业专家组</w:t>
            </w:r>
            <w:r>
              <w:rPr>
                <w:rFonts w:hint="default" w:ascii="Times New Roman" w:hAnsi="Times New Roman" w:eastAsia="仿宋_GB2312" w:cs="Times New Roman"/>
                <w:bCs/>
                <w:sz w:val="24"/>
                <w:szCs w:val="24"/>
                <w:lang w:eastAsia="zh-CN"/>
              </w:rPr>
              <w:t>；</w:t>
            </w:r>
            <w:r>
              <w:rPr>
                <w:rFonts w:hint="default" w:ascii="Times New Roman" w:hAnsi="Times New Roman" w:eastAsia="仿宋_GB2312" w:cs="Times New Roman"/>
                <w:bCs/>
                <w:sz w:val="24"/>
                <w:szCs w:val="24"/>
              </w:rPr>
              <w:t>制定视力防控知识宣传材料，多种多样化开展健康教育宣传活动。</w:t>
            </w:r>
          </w:p>
        </w:tc>
        <w:tc>
          <w:tcPr>
            <w:tcW w:w="1620" w:type="dxa"/>
            <w:vAlign w:val="center"/>
          </w:tcPr>
          <w:p>
            <w:pPr>
              <w:spacing w:line="280" w:lineRule="exact"/>
              <w:jc w:val="both"/>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组织专业视力筛查队开展中小学生筛查</w:t>
            </w:r>
            <w:r>
              <w:rPr>
                <w:rFonts w:hint="default" w:ascii="Times New Roman" w:hAnsi="Times New Roman" w:eastAsia="仿宋_GB2312" w:cs="Times New Roman"/>
                <w:bCs/>
                <w:sz w:val="24"/>
                <w:szCs w:val="24"/>
                <w:lang w:eastAsia="zh-CN"/>
              </w:rPr>
              <w:t>；</w:t>
            </w:r>
            <w:r>
              <w:rPr>
                <w:rFonts w:hint="default" w:ascii="Times New Roman" w:hAnsi="Times New Roman" w:eastAsia="仿宋_GB2312" w:cs="Times New Roman"/>
                <w:bCs/>
                <w:sz w:val="24"/>
                <w:szCs w:val="24"/>
              </w:rPr>
              <w:t>对视力检查异常的学生提供科学合理的矫正方法。</w:t>
            </w:r>
          </w:p>
        </w:tc>
        <w:tc>
          <w:tcPr>
            <w:tcW w:w="1530" w:type="dxa"/>
            <w:vAlign w:val="center"/>
          </w:tcPr>
          <w:p>
            <w:pPr>
              <w:spacing w:line="280" w:lineRule="exact"/>
              <w:jc w:val="both"/>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全面完成2021年全县中小学生视力检查工作</w:t>
            </w:r>
            <w:r>
              <w:rPr>
                <w:rFonts w:hint="default" w:ascii="Times New Roman" w:hAnsi="Times New Roman" w:eastAsia="仿宋_GB2312" w:cs="Times New Roman"/>
                <w:bCs/>
                <w:sz w:val="24"/>
                <w:szCs w:val="24"/>
                <w:lang w:eastAsia="zh-CN"/>
              </w:rPr>
              <w:t>；</w:t>
            </w:r>
            <w:r>
              <w:rPr>
                <w:rFonts w:hint="default" w:ascii="Times New Roman" w:hAnsi="Times New Roman" w:eastAsia="仿宋_GB2312" w:cs="Times New Roman"/>
                <w:bCs/>
                <w:sz w:val="24"/>
                <w:szCs w:val="24"/>
              </w:rPr>
              <w:t>对视力低下学生进行眼保健指导。</w:t>
            </w:r>
          </w:p>
        </w:tc>
        <w:tc>
          <w:tcPr>
            <w:tcW w:w="1590" w:type="dxa"/>
            <w:vAlign w:val="center"/>
          </w:tcPr>
          <w:p>
            <w:pPr>
              <w:spacing w:line="280" w:lineRule="exact"/>
              <w:jc w:val="both"/>
              <w:rPr>
                <w:rFonts w:hint="default" w:ascii="Times New Roman" w:hAnsi="Times New Roman" w:eastAsia="仿宋_GB2312" w:cs="Times New Roman"/>
                <w:bCs/>
                <w:spacing w:val="-17"/>
                <w:kern w:val="2"/>
                <w:sz w:val="24"/>
                <w:szCs w:val="24"/>
                <w:lang w:val="en-US" w:eastAsia="zh-CN" w:bidi="ar-SA"/>
              </w:rPr>
            </w:pPr>
            <w:r>
              <w:rPr>
                <w:rFonts w:hint="default" w:ascii="Times New Roman" w:hAnsi="Times New Roman" w:eastAsia="仿宋_GB2312" w:cs="Times New Roman"/>
                <w:bCs/>
                <w:spacing w:val="-17"/>
                <w:sz w:val="24"/>
                <w:szCs w:val="24"/>
              </w:rPr>
              <w:t>提</w:t>
            </w:r>
            <w:r>
              <w:rPr>
                <w:rFonts w:hint="default" w:ascii="Times New Roman" w:hAnsi="Times New Roman" w:eastAsia="仿宋_GB2312" w:cs="Times New Roman"/>
                <w:bCs/>
                <w:spacing w:val="-17"/>
                <w:w w:val="95"/>
                <w:sz w:val="24"/>
                <w:szCs w:val="24"/>
              </w:rPr>
              <w:t>供全县儿童青少年视力健康及相关危险因素数据收集</w:t>
            </w:r>
            <w:r>
              <w:rPr>
                <w:rFonts w:hint="default" w:ascii="Times New Roman" w:hAnsi="Times New Roman" w:eastAsia="仿宋_GB2312" w:cs="Times New Roman"/>
                <w:bCs/>
                <w:spacing w:val="-17"/>
                <w:w w:val="95"/>
                <w:sz w:val="24"/>
                <w:szCs w:val="24"/>
                <w:lang w:eastAsia="zh-CN"/>
              </w:rPr>
              <w:t>；</w:t>
            </w:r>
            <w:r>
              <w:rPr>
                <w:rFonts w:hint="default" w:ascii="Times New Roman" w:hAnsi="Times New Roman" w:eastAsia="仿宋_GB2312" w:cs="Times New Roman"/>
                <w:bCs/>
                <w:spacing w:val="-17"/>
                <w:w w:val="95"/>
                <w:sz w:val="24"/>
                <w:szCs w:val="24"/>
              </w:rPr>
              <w:t>指导儿童青少年</w:t>
            </w:r>
            <w:r>
              <w:rPr>
                <w:rFonts w:hint="eastAsia" w:ascii="Times New Roman" w:hAnsi="Times New Roman" w:eastAsia="仿宋_GB2312" w:cs="Times New Roman"/>
                <w:bCs/>
                <w:spacing w:val="-17"/>
                <w:w w:val="95"/>
                <w:sz w:val="24"/>
                <w:szCs w:val="24"/>
                <w:lang w:val="en-US" w:eastAsia="zh-CN"/>
              </w:rPr>
              <w:t>开展</w:t>
            </w:r>
            <w:r>
              <w:rPr>
                <w:rFonts w:hint="default" w:ascii="Times New Roman" w:hAnsi="Times New Roman" w:eastAsia="仿宋_GB2312" w:cs="Times New Roman"/>
                <w:bCs/>
                <w:spacing w:val="-17"/>
                <w:w w:val="95"/>
                <w:sz w:val="24"/>
                <w:szCs w:val="24"/>
              </w:rPr>
              <w:t>近视防治及视力健康管理</w:t>
            </w:r>
            <w:r>
              <w:rPr>
                <w:rFonts w:hint="default" w:ascii="Times New Roman" w:hAnsi="Times New Roman" w:eastAsia="仿宋_GB2312" w:cs="Times New Roman"/>
                <w:bCs/>
                <w:spacing w:val="-17"/>
                <w:w w:val="95"/>
                <w:sz w:val="24"/>
                <w:szCs w:val="24"/>
                <w:lang w:eastAsia="zh-CN"/>
              </w:rPr>
              <w:t>；</w:t>
            </w:r>
            <w:r>
              <w:rPr>
                <w:rFonts w:hint="default" w:ascii="Times New Roman" w:hAnsi="Times New Roman" w:eastAsia="仿宋_GB2312" w:cs="Times New Roman"/>
                <w:bCs/>
                <w:spacing w:val="-17"/>
                <w:w w:val="95"/>
                <w:sz w:val="24"/>
                <w:szCs w:val="24"/>
              </w:rPr>
              <w:t>制定2022年视力检查方案。</w:t>
            </w:r>
          </w:p>
        </w:tc>
        <w:tc>
          <w:tcPr>
            <w:tcW w:w="807"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张莹莹</w:t>
            </w:r>
          </w:p>
        </w:tc>
        <w:tc>
          <w:tcPr>
            <w:tcW w:w="1800" w:type="dxa"/>
            <w:vAlign w:val="center"/>
          </w:tcPr>
          <w:p>
            <w:pPr>
              <w:pStyle w:val="2"/>
              <w:keepNext/>
              <w:keepLines/>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baseline"/>
              <w:rPr>
                <w:rFonts w:hint="default" w:ascii="Times New Roman" w:hAnsi="Times New Roman" w:eastAsia="方正小标宋简体" w:cs="Times New Roman"/>
                <w:b w:val="0"/>
                <w:bCs/>
                <w:sz w:val="24"/>
                <w:szCs w:val="24"/>
                <w:vertAlign w:val="baseline"/>
                <w:lang w:val="en-US" w:eastAsia="zh-CN"/>
              </w:rPr>
            </w:pPr>
            <w:r>
              <w:rPr>
                <w:rFonts w:hint="eastAsia" w:ascii="仿宋_GB2312" w:hAnsi="仿宋_GB2312" w:eastAsia="仿宋_GB2312" w:cs="仿宋_GB2312"/>
                <w:b w:val="0"/>
                <w:bCs w:val="0"/>
                <w:color w:val="000000"/>
                <w:kern w:val="0"/>
                <w:sz w:val="24"/>
                <w:szCs w:val="24"/>
                <w:lang w:val="en-US" w:eastAsia="zh-CN" w:bidi="ar-SA"/>
              </w:rPr>
              <w:t>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794" w:hRule="atLeast"/>
          <w:jc w:val="center"/>
        </w:trPr>
        <w:tc>
          <w:tcPr>
            <w:tcW w:w="632" w:type="dxa"/>
            <w:vMerge w:val="continue"/>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p>
        </w:tc>
        <w:tc>
          <w:tcPr>
            <w:tcW w:w="1020" w:type="dxa"/>
            <w:vMerge w:val="continue"/>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方正小标宋简体" w:cs="Times New Roman"/>
                <w:b w:val="0"/>
                <w:bCs/>
                <w:sz w:val="24"/>
                <w:szCs w:val="24"/>
                <w:vertAlign w:val="baseline"/>
                <w:lang w:val="en-US" w:eastAsia="zh-CN"/>
              </w:rPr>
            </w:pPr>
          </w:p>
        </w:tc>
        <w:tc>
          <w:tcPr>
            <w:tcW w:w="147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spacing w:val="-6"/>
                <w:kern w:val="0"/>
                <w:sz w:val="24"/>
                <w:szCs w:val="24"/>
                <w:lang w:val="en-US" w:eastAsia="zh-CN"/>
              </w:rPr>
              <w:t>7.</w:t>
            </w:r>
            <w:r>
              <w:rPr>
                <w:rFonts w:hint="default" w:ascii="Times New Roman" w:hAnsi="Times New Roman" w:eastAsia="仿宋_GB2312" w:cs="Times New Roman"/>
                <w:b w:val="0"/>
                <w:bCs w:val="0"/>
                <w:color w:val="000000"/>
                <w:spacing w:val="-6"/>
                <w:kern w:val="0"/>
                <w:sz w:val="24"/>
                <w:szCs w:val="24"/>
              </w:rPr>
              <w:t>打造交互式在线教学系统。</w:t>
            </w:r>
          </w:p>
        </w:tc>
        <w:tc>
          <w:tcPr>
            <w:tcW w:w="2232" w:type="dxa"/>
            <w:vAlign w:val="center"/>
          </w:tcPr>
          <w:p>
            <w:pPr>
              <w:spacing w:line="280" w:lineRule="exact"/>
              <w:jc w:val="both"/>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结合“国家级信息化教学实验区”建设，打造交互式在线教学系统，促进城乡优质教育资源均衡配置。</w:t>
            </w:r>
          </w:p>
        </w:tc>
        <w:tc>
          <w:tcPr>
            <w:tcW w:w="1653" w:type="dxa"/>
            <w:vAlign w:val="center"/>
          </w:tcPr>
          <w:p>
            <w:pPr>
              <w:spacing w:line="280" w:lineRule="exact"/>
              <w:jc w:val="both"/>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开展调研论证，制定推进措施，确定项目运作方式。</w:t>
            </w:r>
          </w:p>
        </w:tc>
        <w:tc>
          <w:tcPr>
            <w:tcW w:w="1620" w:type="dxa"/>
            <w:vAlign w:val="center"/>
          </w:tcPr>
          <w:p>
            <w:pPr>
              <w:spacing w:line="280" w:lineRule="exact"/>
              <w:jc w:val="both"/>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结合上级要求，完善县级实施方案，确定项目试点学校，组织相关人员开展培训。</w:t>
            </w:r>
          </w:p>
        </w:tc>
        <w:tc>
          <w:tcPr>
            <w:tcW w:w="1530" w:type="dxa"/>
            <w:vAlign w:val="center"/>
          </w:tcPr>
          <w:p>
            <w:pPr>
              <w:spacing w:line="280" w:lineRule="exact"/>
              <w:jc w:val="both"/>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进行系统安装、调试、技术人员培训、任课教师培训等。</w:t>
            </w:r>
          </w:p>
        </w:tc>
        <w:tc>
          <w:tcPr>
            <w:tcW w:w="1590" w:type="dxa"/>
            <w:vAlign w:val="center"/>
          </w:tcPr>
          <w:p>
            <w:pPr>
              <w:spacing w:line="280" w:lineRule="exact"/>
              <w:jc w:val="both"/>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健全工作机制，开展课堂应用比赛等活动，组织项目应用考核和成果展示。</w:t>
            </w:r>
          </w:p>
        </w:tc>
        <w:tc>
          <w:tcPr>
            <w:tcW w:w="807"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张莹莹</w:t>
            </w:r>
          </w:p>
        </w:tc>
        <w:tc>
          <w:tcPr>
            <w:tcW w:w="1800"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仿宋_GB2312" w:hAnsi="仿宋_GB2312" w:eastAsia="仿宋_GB2312" w:cs="仿宋_GB2312"/>
                <w:b w:val="0"/>
                <w:bCs w:val="0"/>
                <w:color w:val="000000"/>
                <w:kern w:val="0"/>
                <w:sz w:val="24"/>
                <w:szCs w:val="24"/>
                <w:lang w:val="en-US" w:eastAsia="zh-CN" w:bidi="ar-SA"/>
              </w:rPr>
              <w:t>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567" w:hRule="atLeast"/>
          <w:jc w:val="center"/>
        </w:trPr>
        <w:tc>
          <w:tcPr>
            <w:tcW w:w="632"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三</w:t>
            </w:r>
          </w:p>
        </w:tc>
        <w:tc>
          <w:tcPr>
            <w:tcW w:w="102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更加关爱特殊群体项目</w:t>
            </w:r>
          </w:p>
        </w:tc>
        <w:tc>
          <w:tcPr>
            <w:tcW w:w="147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8.对6类4500名特困群体失能人员实施政府购买服务照护。</w:t>
            </w:r>
          </w:p>
        </w:tc>
        <w:tc>
          <w:tcPr>
            <w:tcW w:w="2232"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spacing w:val="-11"/>
                <w:kern w:val="0"/>
                <w:sz w:val="24"/>
                <w:szCs w:val="24"/>
                <w:lang w:val="en-US" w:eastAsia="zh-CN" w:bidi="ar-SA"/>
              </w:rPr>
            </w:pPr>
            <w:r>
              <w:rPr>
                <w:rFonts w:hint="default" w:ascii="Times New Roman" w:hAnsi="Times New Roman" w:eastAsia="仿宋_GB2312" w:cs="Times New Roman"/>
                <w:b w:val="0"/>
                <w:bCs w:val="0"/>
                <w:color w:val="000000"/>
                <w:spacing w:val="-11"/>
                <w:kern w:val="0"/>
                <w:sz w:val="24"/>
                <w:szCs w:val="24"/>
                <w:lang w:val="en-US" w:eastAsia="zh-CN" w:bidi="ar-SA"/>
              </w:rPr>
              <w:t>为全县特殊困难家庭人员提供助餐、助洁、助浴、助乐、助医、助购等照护服务；以农村幸福院为依托，扩展特殊困难家庭人员照护服务的网点；开展护理员队伍培训，不断提高护理员队伍素质，增强专业护理技能、各项服务知识。</w:t>
            </w:r>
          </w:p>
        </w:tc>
        <w:tc>
          <w:tcPr>
            <w:tcW w:w="165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对全县农村幸福院进行摸排调查筛选，每镇</w:t>
            </w:r>
            <w:r>
              <w:rPr>
                <w:rFonts w:hint="eastAsia" w:ascii="Times New Roman" w:hAnsi="Times New Roman" w:eastAsia="仿宋_GB2312" w:cs="Times New Roman"/>
                <w:b w:val="0"/>
                <w:bCs w:val="0"/>
                <w:color w:val="000000"/>
                <w:kern w:val="0"/>
                <w:sz w:val="24"/>
                <w:szCs w:val="24"/>
                <w:lang w:val="en-US" w:eastAsia="zh-CN" w:bidi="ar-SA"/>
              </w:rPr>
              <w:t>（街道）</w:t>
            </w:r>
            <w:r>
              <w:rPr>
                <w:rFonts w:hint="default" w:ascii="Times New Roman" w:hAnsi="Times New Roman" w:eastAsia="仿宋_GB2312" w:cs="Times New Roman"/>
                <w:b w:val="0"/>
                <w:bCs w:val="0"/>
                <w:color w:val="000000"/>
                <w:kern w:val="0"/>
                <w:sz w:val="24"/>
                <w:szCs w:val="24"/>
                <w:lang w:val="en-US" w:eastAsia="zh-CN" w:bidi="ar-SA"/>
              </w:rPr>
              <w:t>确定1—2处农村幸福院作为特殊困难家庭人员照护服务的网点。</w:t>
            </w:r>
          </w:p>
        </w:tc>
        <w:tc>
          <w:tcPr>
            <w:tcW w:w="162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方正小标宋简体" w:cs="Times New Roman"/>
                <w:b w:val="0"/>
                <w:bCs/>
                <w:kern w:val="2"/>
                <w:sz w:val="24"/>
                <w:szCs w:val="24"/>
                <w:vertAlign w:val="baseline"/>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在农村幸福院配备洗衣机，为特殊困难家庭人员提供清洗衣物、清洗床单被罩等助洁服务；依托农村幸福院建设长者食堂，为特殊困难家庭人员提供助餐服务。</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eastAsia="方正小标宋简体" w:cs="Times New Roman"/>
                <w:b w:val="0"/>
                <w:bCs/>
                <w:spacing w:val="-17"/>
                <w:kern w:val="2"/>
                <w:sz w:val="24"/>
                <w:szCs w:val="24"/>
                <w:vertAlign w:val="baseline"/>
                <w:lang w:val="en-US" w:eastAsia="zh-CN" w:bidi="ar-SA"/>
              </w:rPr>
            </w:pPr>
            <w:r>
              <w:rPr>
                <w:rFonts w:hint="default" w:ascii="Times New Roman" w:hAnsi="Times New Roman" w:eastAsia="仿宋_GB2312" w:cs="Times New Roman"/>
                <w:b w:val="0"/>
                <w:bCs w:val="0"/>
                <w:color w:val="000000"/>
                <w:spacing w:val="-17"/>
                <w:w w:val="95"/>
                <w:kern w:val="0"/>
                <w:sz w:val="24"/>
                <w:szCs w:val="24"/>
                <w:lang w:val="en-US" w:eastAsia="zh-CN" w:bidi="ar-SA"/>
              </w:rPr>
              <w:t>对特殊困难家庭人员救助项目护理员进行护理专业技能、安全、疫情防控、消防、突发应急能力培训；联合市县文艺组织在各镇</w:t>
            </w:r>
            <w:r>
              <w:rPr>
                <w:rFonts w:hint="eastAsia" w:ascii="Times New Roman" w:hAnsi="Times New Roman" w:eastAsia="仿宋_GB2312" w:cs="Times New Roman"/>
                <w:b w:val="0"/>
                <w:bCs w:val="0"/>
                <w:color w:val="000000"/>
                <w:spacing w:val="-17"/>
                <w:w w:val="95"/>
                <w:kern w:val="0"/>
                <w:sz w:val="24"/>
                <w:szCs w:val="24"/>
                <w:lang w:val="en-US" w:eastAsia="zh-CN" w:bidi="ar-SA"/>
              </w:rPr>
              <w:t>（街道）</w:t>
            </w:r>
            <w:r>
              <w:rPr>
                <w:rFonts w:hint="default" w:ascii="Times New Roman" w:hAnsi="Times New Roman" w:eastAsia="仿宋_GB2312" w:cs="Times New Roman"/>
                <w:b w:val="0"/>
                <w:bCs w:val="0"/>
                <w:color w:val="000000"/>
                <w:spacing w:val="-17"/>
                <w:w w:val="95"/>
                <w:kern w:val="0"/>
                <w:sz w:val="24"/>
                <w:szCs w:val="24"/>
                <w:lang w:val="en-US" w:eastAsia="zh-CN" w:bidi="ar-SA"/>
              </w:rPr>
              <w:t>幸福院举办文艺演出，提高特殊困难家庭人员的精神文化生活。</w:t>
            </w:r>
          </w:p>
        </w:tc>
        <w:tc>
          <w:tcPr>
            <w:tcW w:w="159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结合村内新建的澡堂，配备专用助浴椅、防滑垫、助浴灯等设施为部分照护对象解决冬天洗澡难的问题。</w:t>
            </w:r>
          </w:p>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方正小标宋简体" w:cs="Times New Roman"/>
                <w:b w:val="0"/>
                <w:bCs/>
                <w:kern w:val="2"/>
                <w:sz w:val="24"/>
                <w:szCs w:val="24"/>
                <w:vertAlign w:val="baseline"/>
                <w:lang w:val="en-US" w:eastAsia="zh-CN" w:bidi="ar-SA"/>
              </w:rPr>
            </w:pPr>
          </w:p>
        </w:tc>
        <w:tc>
          <w:tcPr>
            <w:tcW w:w="807"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张志东</w:t>
            </w:r>
          </w:p>
        </w:tc>
        <w:tc>
          <w:tcPr>
            <w:tcW w:w="1800" w:type="dxa"/>
            <w:vAlign w:val="center"/>
          </w:tcPr>
          <w:p>
            <w:pPr>
              <w:pStyle w:val="2"/>
              <w:keepNext/>
              <w:keepLines/>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baseline"/>
              <w:rPr>
                <w:rFonts w:hint="default" w:ascii="Times New Roman" w:hAnsi="Times New Roman" w:eastAsia="黑体" w:cs="Times New Roman"/>
                <w:b w:val="0"/>
                <w:bCs w:val="0"/>
                <w:color w:val="000000"/>
                <w:kern w:val="0"/>
                <w:sz w:val="24"/>
                <w:szCs w:val="24"/>
                <w:lang w:val="en-US" w:eastAsia="zh-CN" w:bidi="ar-SA"/>
              </w:rPr>
            </w:pPr>
            <w:r>
              <w:rPr>
                <w:rFonts w:hint="default" w:ascii="Times New Roman" w:hAnsi="Times New Roman" w:eastAsia="黑体" w:cs="Times New Roman"/>
                <w:b w:val="0"/>
                <w:bCs w:val="0"/>
                <w:color w:val="000000"/>
                <w:kern w:val="0"/>
                <w:sz w:val="24"/>
                <w:szCs w:val="24"/>
                <w:lang w:val="en-US" w:eastAsia="zh-CN" w:bidi="ar-SA"/>
              </w:rPr>
              <w:t>县民政局</w:t>
            </w:r>
          </w:p>
          <w:p>
            <w:pPr>
              <w:pStyle w:val="2"/>
              <w:keepNext/>
              <w:keepLines/>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baseline"/>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县财政局</w:t>
            </w:r>
          </w:p>
          <w:p>
            <w:pPr>
              <w:pStyle w:val="2"/>
              <w:keepNext/>
              <w:keepLines/>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baseline"/>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县卫生健康局</w:t>
            </w:r>
          </w:p>
          <w:p>
            <w:pPr>
              <w:pStyle w:val="2"/>
              <w:keepNext/>
              <w:keepLines/>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baseline"/>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县人力资源社会保障局</w:t>
            </w:r>
          </w:p>
          <w:p>
            <w:pPr>
              <w:pStyle w:val="2"/>
              <w:keepNext/>
              <w:keepLines/>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baseline"/>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color w:val="000000"/>
                <w:kern w:val="0"/>
                <w:sz w:val="24"/>
                <w:szCs w:val="24"/>
                <w:lang w:val="en-US" w:eastAsia="zh-CN" w:bidi="ar-SA"/>
              </w:rPr>
              <w:t>各镇（街道）</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567" w:hRule="atLeast"/>
          <w:jc w:val="center"/>
        </w:trPr>
        <w:tc>
          <w:tcPr>
            <w:tcW w:w="632" w:type="dxa"/>
            <w:vMerge w:val="restart"/>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三</w:t>
            </w:r>
          </w:p>
        </w:tc>
        <w:tc>
          <w:tcPr>
            <w:tcW w:w="1020" w:type="dxa"/>
            <w:vMerge w:val="restart"/>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更加关爱特殊群体项目</w:t>
            </w:r>
          </w:p>
        </w:tc>
        <w:tc>
          <w:tcPr>
            <w:tcW w:w="147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9.对1500名残疾人、残疾儿童开展托养、辅具适配、康复救助等服务。</w:t>
            </w:r>
          </w:p>
        </w:tc>
        <w:tc>
          <w:tcPr>
            <w:tcW w:w="2232"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成立工作领导小组，制定工作方案；认真开展调查摸底，严格审核标准，精准确立受助对象，规范工作流程，采取有力措施，扎实推进工作；制定任务清单，加强督查指导，确保按时完成任务。</w:t>
            </w:r>
          </w:p>
        </w:tc>
        <w:tc>
          <w:tcPr>
            <w:tcW w:w="165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积极开展调查摸底，统计需要配发辅助器具、需要托养的人员名单和需要康复救助的残疾儿童名单；符合康复救助的残疾儿童，及时输送到各康复机构进行康复训练，并签订相关责任书。</w:t>
            </w:r>
          </w:p>
        </w:tc>
        <w:tc>
          <w:tcPr>
            <w:tcW w:w="162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开展残疾人辅具需求入户评估，确定发放对象，为有需求的残疾人配发辅助器具；对需要托养的开展入户评估，确定服务对象，签订服务协议，开展托养服务；对残疾儿童康复机构进行一次督导。</w:t>
            </w:r>
          </w:p>
        </w:tc>
        <w:tc>
          <w:tcPr>
            <w:tcW w:w="153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对辅具发放情况进行验收评估，并将相关信息及时录入山东省康复系统，完善辅助器具发放档案；对托养机构进行检查，督促服务人员提高服务质量；建立完善残疾儿童康复救助档案。</w:t>
            </w:r>
          </w:p>
        </w:tc>
        <w:tc>
          <w:tcPr>
            <w:tcW w:w="159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对辅助器具适配、残疾儿童康复救助和残疾人托养工作进行验收评估，发现问题及时抓好整改，注重总结工作经验，建立长效机制，帮助残疾人共享社会发展成果。</w:t>
            </w:r>
          </w:p>
        </w:tc>
        <w:tc>
          <w:tcPr>
            <w:tcW w:w="807"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张志东</w:t>
            </w:r>
          </w:p>
        </w:tc>
        <w:tc>
          <w:tcPr>
            <w:tcW w:w="1800" w:type="dxa"/>
            <w:vAlign w:val="center"/>
          </w:tcPr>
          <w:p>
            <w:pPr>
              <w:pStyle w:val="2"/>
              <w:keepNext/>
              <w:keepLines/>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baseline"/>
              <w:rPr>
                <w:rFonts w:hint="default" w:ascii="Times New Roman" w:hAnsi="Times New Roman" w:eastAsia="方正小标宋简体" w:cs="Times New Roman"/>
                <w:b w:val="0"/>
                <w:bCs/>
                <w:sz w:val="24"/>
                <w:szCs w:val="24"/>
                <w:vertAlign w:val="baseline"/>
                <w:lang w:val="en-US" w:eastAsia="zh-CN"/>
              </w:rPr>
            </w:pPr>
            <w:r>
              <w:rPr>
                <w:rFonts w:hint="eastAsia" w:ascii="仿宋_GB2312" w:hAnsi="仿宋_GB2312" w:eastAsia="仿宋_GB2312" w:cs="仿宋_GB2312"/>
                <w:b w:val="0"/>
                <w:bCs w:val="0"/>
                <w:color w:val="000000"/>
                <w:kern w:val="0"/>
                <w:sz w:val="24"/>
                <w:szCs w:val="24"/>
                <w:lang w:val="en-US" w:eastAsia="zh-CN" w:bidi="ar-SA"/>
              </w:rPr>
              <w:t>县残联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567" w:hRule="atLeast"/>
          <w:jc w:val="center"/>
        </w:trPr>
        <w:tc>
          <w:tcPr>
            <w:tcW w:w="632" w:type="dxa"/>
            <w:vMerge w:val="continue"/>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p>
        </w:tc>
        <w:tc>
          <w:tcPr>
            <w:tcW w:w="1020" w:type="dxa"/>
            <w:vMerge w:val="continue"/>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p>
        </w:tc>
        <w:tc>
          <w:tcPr>
            <w:tcW w:w="147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10.规范养老服务机构。</w:t>
            </w:r>
          </w:p>
        </w:tc>
        <w:tc>
          <w:tcPr>
            <w:tcW w:w="2232"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完善规范管理制度，加强养老机构日常监管，推进等级评定建设，开放养老服务市场，开展常态化护理员培训。</w:t>
            </w:r>
          </w:p>
        </w:tc>
        <w:tc>
          <w:tcPr>
            <w:tcW w:w="165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开展养老机构消防、食品、疫情防控、安全生产排查，并进行限期整改；组织开展养老机构全员核酸检测，摸排新冠疫苗接种工作人员。</w:t>
            </w:r>
          </w:p>
        </w:tc>
        <w:tc>
          <w:tcPr>
            <w:tcW w:w="162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完成茂盛老年公寓内部装修、验收，达到运营标准；印发《沂源县养老机构管理办法》，切实履行监管职责，督促养老机构加强运营管理。</w:t>
            </w:r>
          </w:p>
        </w:tc>
        <w:tc>
          <w:tcPr>
            <w:tcW w:w="153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spacing w:val="-11"/>
                <w:kern w:val="0"/>
                <w:sz w:val="24"/>
                <w:szCs w:val="24"/>
                <w:lang w:val="en-US" w:eastAsia="zh-CN" w:bidi="ar-SA"/>
              </w:rPr>
            </w:pPr>
            <w:r>
              <w:rPr>
                <w:rFonts w:hint="default" w:ascii="Times New Roman" w:hAnsi="Times New Roman" w:eastAsia="仿宋_GB2312" w:cs="Times New Roman"/>
                <w:b w:val="0"/>
                <w:bCs w:val="0"/>
                <w:color w:val="000000"/>
                <w:spacing w:val="-11"/>
                <w:kern w:val="0"/>
                <w:sz w:val="24"/>
                <w:szCs w:val="24"/>
                <w:lang w:val="en-US" w:eastAsia="zh-CN" w:bidi="ar-SA"/>
              </w:rPr>
              <w:t>运营茂盛老年公寓，推进8处养老机构组织开展养老机构等级评定，依托社区养老服务设施、农村幸福院建设2处“城市社区+长者食堂”，2处“农村幸福院+长者食堂”。</w:t>
            </w:r>
          </w:p>
        </w:tc>
        <w:tc>
          <w:tcPr>
            <w:tcW w:w="159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spacing w:val="-11"/>
                <w:kern w:val="0"/>
                <w:sz w:val="24"/>
                <w:szCs w:val="24"/>
                <w:lang w:val="en-US" w:eastAsia="zh-CN" w:bidi="ar-SA"/>
              </w:rPr>
            </w:pPr>
            <w:r>
              <w:rPr>
                <w:rFonts w:hint="default" w:ascii="Times New Roman" w:hAnsi="Times New Roman" w:eastAsia="仿宋_GB2312" w:cs="Times New Roman"/>
                <w:b w:val="0"/>
                <w:bCs w:val="0"/>
                <w:color w:val="000000"/>
                <w:spacing w:val="-11"/>
                <w:kern w:val="0"/>
                <w:sz w:val="24"/>
                <w:szCs w:val="24"/>
                <w:lang w:val="en-US" w:eastAsia="zh-CN" w:bidi="ar-SA"/>
              </w:rPr>
              <w:t>完成养和健康养老中心项目主体建设，开展温暖过冬专项督查，保障入住老人温暖过冬；对养老机构进行年度评估，对在养老服务中做出突出贡献的单位和个人给予奖励。</w:t>
            </w:r>
          </w:p>
        </w:tc>
        <w:tc>
          <w:tcPr>
            <w:tcW w:w="807"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张志东</w:t>
            </w:r>
          </w:p>
        </w:tc>
        <w:tc>
          <w:tcPr>
            <w:tcW w:w="1800"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黑体" w:cs="Times New Roman"/>
                <w:b w:val="0"/>
                <w:bCs w:val="0"/>
                <w:color w:val="000000"/>
                <w:kern w:val="0"/>
                <w:sz w:val="24"/>
                <w:szCs w:val="24"/>
                <w:lang w:val="en-US" w:eastAsia="zh-CN" w:bidi="ar-SA"/>
              </w:rPr>
            </w:pPr>
            <w:r>
              <w:rPr>
                <w:rFonts w:hint="default" w:ascii="Times New Roman" w:hAnsi="Times New Roman" w:eastAsia="黑体" w:cs="Times New Roman"/>
                <w:b w:val="0"/>
                <w:bCs w:val="0"/>
                <w:color w:val="000000"/>
                <w:kern w:val="0"/>
                <w:sz w:val="24"/>
                <w:szCs w:val="24"/>
                <w:lang w:val="en-US" w:eastAsia="zh-CN" w:bidi="ar-SA"/>
              </w:rPr>
              <w:t>县民政局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cs="Times New Roman"/>
                <w:lang w:val="en-US" w:eastAsia="zh-CN"/>
              </w:rPr>
            </w:pPr>
            <w:r>
              <w:rPr>
                <w:rFonts w:hint="default" w:ascii="Times New Roman" w:hAnsi="Times New Roman" w:eastAsia="仿宋_GB2312" w:cs="Times New Roman"/>
                <w:b w:val="0"/>
                <w:bCs w:val="0"/>
                <w:color w:val="000000"/>
                <w:kern w:val="0"/>
                <w:sz w:val="24"/>
                <w:szCs w:val="24"/>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2400" w:hRule="atLeast"/>
          <w:jc w:val="center"/>
        </w:trPr>
        <w:tc>
          <w:tcPr>
            <w:tcW w:w="632"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bidi="ar-SA"/>
              </w:rPr>
              <w:t>三</w:t>
            </w:r>
          </w:p>
        </w:tc>
        <w:tc>
          <w:tcPr>
            <w:tcW w:w="102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bidi="ar-SA"/>
              </w:rPr>
              <w:t>更加关爱特殊群体项目</w:t>
            </w:r>
          </w:p>
        </w:tc>
        <w:tc>
          <w:tcPr>
            <w:tcW w:w="147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bidi="ar-SA"/>
              </w:rPr>
              <w:t>11.为家庭困难失智老人发放防走失定位手环。</w:t>
            </w:r>
          </w:p>
        </w:tc>
        <w:tc>
          <w:tcPr>
            <w:tcW w:w="2232"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方正小标宋简体" w:cs="Times New Roman"/>
                <w:b w:val="0"/>
                <w:bCs/>
                <w:kern w:val="2"/>
                <w:sz w:val="24"/>
                <w:szCs w:val="24"/>
                <w:vertAlign w:val="baseline"/>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精准评估后识别符合条件的困难失智老人，及时发放防走失定位手环，做到应配尽配。</w:t>
            </w:r>
          </w:p>
        </w:tc>
        <w:tc>
          <w:tcPr>
            <w:tcW w:w="165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排查辖区内持有医疗机构老年痴呆诊断证明，或持有1</w:t>
            </w:r>
            <w:r>
              <w:rPr>
                <w:rFonts w:hint="eastAsia" w:ascii="Times New Roman" w:hAnsi="Times New Roman" w:eastAsia="仿宋_GB2312" w:cs="Times New Roman"/>
                <w:b w:val="0"/>
                <w:bCs w:val="0"/>
                <w:color w:val="000000"/>
                <w:kern w:val="0"/>
                <w:sz w:val="24"/>
                <w:szCs w:val="24"/>
                <w:lang w:val="en-US" w:eastAsia="zh-CN" w:bidi="ar-SA"/>
              </w:rPr>
              <w:t>—</w:t>
            </w:r>
            <w:r>
              <w:rPr>
                <w:rFonts w:hint="default" w:ascii="Times New Roman" w:hAnsi="Times New Roman" w:eastAsia="仿宋_GB2312" w:cs="Times New Roman"/>
                <w:b w:val="0"/>
                <w:bCs w:val="0"/>
                <w:color w:val="000000"/>
                <w:kern w:val="0"/>
                <w:sz w:val="24"/>
                <w:szCs w:val="24"/>
                <w:lang w:val="en-US" w:eastAsia="zh-CN" w:bidi="ar-SA"/>
              </w:rPr>
              <w:t>2级精神重度残疾证明等老年人群。</w:t>
            </w:r>
          </w:p>
        </w:tc>
        <w:tc>
          <w:tcPr>
            <w:tcW w:w="162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u w:val="none"/>
                <w:lang w:val="en-US" w:eastAsia="zh-CN" w:bidi="ar-SA"/>
              </w:rPr>
              <w:t>对排查人员进行评估、核查。</w:t>
            </w:r>
          </w:p>
        </w:tc>
        <w:tc>
          <w:tcPr>
            <w:tcW w:w="153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eastAsia" w:ascii="Times New Roman" w:hAnsi="Times New Roman" w:eastAsia="仿宋_GB2312" w:cs="Times New Roman"/>
                <w:b w:val="0"/>
                <w:bCs w:val="0"/>
                <w:color w:val="000000"/>
                <w:kern w:val="0"/>
                <w:sz w:val="24"/>
                <w:szCs w:val="24"/>
                <w:lang w:val="en-US" w:eastAsia="zh-CN" w:bidi="ar-SA"/>
              </w:rPr>
              <w:t>铺开</w:t>
            </w:r>
            <w:r>
              <w:rPr>
                <w:rFonts w:hint="default" w:ascii="Times New Roman" w:hAnsi="Times New Roman" w:eastAsia="仿宋_GB2312" w:cs="Times New Roman"/>
                <w:b w:val="0"/>
                <w:bCs w:val="0"/>
                <w:color w:val="000000"/>
                <w:kern w:val="0"/>
                <w:sz w:val="24"/>
                <w:szCs w:val="24"/>
                <w:lang w:val="en-US" w:eastAsia="zh-CN" w:bidi="ar-SA"/>
              </w:rPr>
              <w:t>防走失定位手环</w:t>
            </w:r>
            <w:r>
              <w:rPr>
                <w:rFonts w:hint="eastAsia" w:ascii="Times New Roman" w:hAnsi="Times New Roman" w:eastAsia="仿宋_GB2312" w:cs="Times New Roman"/>
                <w:b w:val="0"/>
                <w:bCs w:val="0"/>
                <w:color w:val="000000"/>
                <w:kern w:val="0"/>
                <w:sz w:val="24"/>
                <w:szCs w:val="24"/>
                <w:lang w:val="en-US" w:eastAsia="zh-CN" w:bidi="ar-SA"/>
              </w:rPr>
              <w:t>发放工作</w:t>
            </w:r>
            <w:r>
              <w:rPr>
                <w:rFonts w:hint="default" w:ascii="Times New Roman" w:hAnsi="Times New Roman" w:eastAsia="仿宋_GB2312" w:cs="Times New Roman"/>
                <w:b w:val="0"/>
                <w:bCs w:val="0"/>
                <w:color w:val="000000"/>
                <w:kern w:val="0"/>
                <w:sz w:val="24"/>
                <w:szCs w:val="24"/>
                <w:lang w:val="en-US" w:eastAsia="zh-CN" w:bidi="ar-SA"/>
              </w:rPr>
              <w:t>。</w:t>
            </w:r>
          </w:p>
        </w:tc>
        <w:tc>
          <w:tcPr>
            <w:tcW w:w="159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方正小标宋简体" w:cs="Times New Roman"/>
                <w:b w:val="0"/>
                <w:bCs/>
                <w:kern w:val="2"/>
                <w:sz w:val="24"/>
                <w:szCs w:val="24"/>
                <w:vertAlign w:val="baseline"/>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防走失定位手环完成发放。</w:t>
            </w:r>
          </w:p>
        </w:tc>
        <w:tc>
          <w:tcPr>
            <w:tcW w:w="807"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张志东</w:t>
            </w:r>
          </w:p>
        </w:tc>
        <w:tc>
          <w:tcPr>
            <w:tcW w:w="1800"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eastAsia" w:ascii="仿宋_GB2312" w:hAnsi="仿宋_GB2312" w:eastAsia="仿宋_GB2312" w:cs="仿宋_GB2312"/>
                <w:b w:val="0"/>
                <w:bCs w:val="0"/>
                <w:color w:val="000000"/>
                <w:kern w:val="0"/>
                <w:sz w:val="24"/>
                <w:szCs w:val="24"/>
                <w:lang w:val="en-US" w:eastAsia="zh-CN" w:bidi="ar-SA"/>
              </w:rPr>
              <w:t>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4640" w:hRule="atLeast"/>
          <w:jc w:val="center"/>
        </w:trPr>
        <w:tc>
          <w:tcPr>
            <w:tcW w:w="632"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四</w:t>
            </w:r>
          </w:p>
        </w:tc>
        <w:tc>
          <w:tcPr>
            <w:tcW w:w="102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丰富群众文体生活项目</w:t>
            </w:r>
          </w:p>
        </w:tc>
        <w:tc>
          <w:tcPr>
            <w:tcW w:w="147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12.开放城区20所学校体育健身场所。</w:t>
            </w:r>
          </w:p>
        </w:tc>
        <w:tc>
          <w:tcPr>
            <w:tcW w:w="2232"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完善体育场地设施，加强场地器材管理维护，提升服务质量；</w:t>
            </w:r>
          </w:p>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争取财政资金支持，购买场地公众责任险，安装电子围栏、智能电子门禁，增加运动安全保障</w:t>
            </w:r>
            <w:r>
              <w:rPr>
                <w:rFonts w:hint="eastAsia" w:ascii="Times New Roman" w:hAnsi="Times New Roman" w:eastAsia="仿宋_GB2312" w:cs="Times New Roman"/>
                <w:b w:val="0"/>
                <w:bCs w:val="0"/>
                <w:color w:val="000000"/>
                <w:kern w:val="0"/>
                <w:sz w:val="24"/>
                <w:szCs w:val="24"/>
                <w:lang w:val="en-US" w:eastAsia="zh-CN" w:bidi="ar-SA"/>
              </w:rPr>
              <w:t>；</w:t>
            </w:r>
            <w:r>
              <w:rPr>
                <w:rFonts w:hint="default" w:ascii="Times New Roman" w:hAnsi="Times New Roman" w:eastAsia="仿宋_GB2312" w:cs="Times New Roman"/>
                <w:b w:val="0"/>
                <w:bCs w:val="0"/>
                <w:color w:val="000000"/>
                <w:kern w:val="0"/>
                <w:sz w:val="24"/>
                <w:szCs w:val="24"/>
                <w:lang w:val="en-US" w:eastAsia="zh-CN" w:bidi="ar-SA"/>
              </w:rPr>
              <w:t>进一步推进开放工作，努力做到学校体育场地设施应开尽开。</w:t>
            </w:r>
          </w:p>
        </w:tc>
        <w:tc>
          <w:tcPr>
            <w:tcW w:w="165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19所学校体育场地正常向社会开放；加快推进振华实验学校操场附属设施建设；督促开放学校运动场地购买公众责任险；摸排其他具备开放条件的非寄宿制学校场地情况。</w:t>
            </w:r>
          </w:p>
        </w:tc>
        <w:tc>
          <w:tcPr>
            <w:tcW w:w="162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振华实验学校</w:t>
            </w:r>
            <w:r>
              <w:rPr>
                <w:rFonts w:hint="eastAsia" w:ascii="Times New Roman" w:hAnsi="Times New Roman" w:eastAsia="仿宋_GB2312" w:cs="Times New Roman"/>
                <w:b w:val="0"/>
                <w:bCs w:val="0"/>
                <w:color w:val="000000"/>
                <w:kern w:val="0"/>
                <w:sz w:val="24"/>
                <w:szCs w:val="24"/>
                <w:lang w:val="en-US" w:eastAsia="zh-CN" w:bidi="ar-SA"/>
              </w:rPr>
              <w:t>体育场地</w:t>
            </w:r>
            <w:r>
              <w:rPr>
                <w:rFonts w:hint="default" w:ascii="Times New Roman" w:hAnsi="Times New Roman" w:eastAsia="仿宋_GB2312" w:cs="Times New Roman"/>
                <w:b w:val="0"/>
                <w:bCs w:val="0"/>
                <w:color w:val="000000"/>
                <w:kern w:val="0"/>
                <w:sz w:val="24"/>
                <w:szCs w:val="24"/>
                <w:lang w:val="en-US" w:eastAsia="zh-CN" w:bidi="ar-SA"/>
              </w:rPr>
              <w:t>实现对外开放；启动开放学校智能门禁、电子围栏等设施设备采购招投标程序；推动未开放而具备开放条件的学校加快改造提升进度，安装附属设施设备；确保所有开放学校购买场地公众责任险。</w:t>
            </w:r>
          </w:p>
        </w:tc>
        <w:tc>
          <w:tcPr>
            <w:tcW w:w="153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所有具备开放条件的非寄宿制学校体育运动场地设施向社会全面开放；完成部分开放学校智能门禁、电子围栏等设施设备安装；加强对学校开放情况实地督导。</w:t>
            </w:r>
          </w:p>
        </w:tc>
        <w:tc>
          <w:tcPr>
            <w:tcW w:w="159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确保所有开放学校均按规定要求对社会开放；加强场地器材管理维护，确保场地开放安全；加大学校场地开放宣传力度，鼓励群众积极参与体育锻炼、文明健身。</w:t>
            </w:r>
          </w:p>
        </w:tc>
        <w:tc>
          <w:tcPr>
            <w:tcW w:w="807"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张莹莹</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p>
        </w:tc>
        <w:tc>
          <w:tcPr>
            <w:tcW w:w="1800"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仿宋_GB2312" w:hAnsi="仿宋_GB2312" w:eastAsia="仿宋_GB2312" w:cs="仿宋_GB2312"/>
                <w:b w:val="0"/>
                <w:bCs w:val="0"/>
                <w:color w:val="000000"/>
                <w:kern w:val="0"/>
                <w:sz w:val="24"/>
                <w:szCs w:val="24"/>
                <w:lang w:val="en-US" w:eastAsia="zh-CN" w:bidi="ar-SA"/>
              </w:rPr>
            </w:pPr>
            <w:r>
              <w:rPr>
                <w:rFonts w:hint="default" w:ascii="仿宋_GB2312" w:hAnsi="仿宋_GB2312" w:eastAsia="仿宋_GB2312" w:cs="仿宋_GB2312"/>
                <w:b w:val="0"/>
                <w:bCs w:val="0"/>
                <w:color w:val="000000"/>
                <w:kern w:val="0"/>
                <w:sz w:val="24"/>
                <w:szCs w:val="24"/>
                <w:lang w:val="en-US" w:eastAsia="zh-CN" w:bidi="ar-SA"/>
              </w:rPr>
              <w:t>县教育和体育局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7051" w:hRule="atLeast"/>
          <w:jc w:val="center"/>
        </w:trPr>
        <w:tc>
          <w:tcPr>
            <w:tcW w:w="632"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四</w:t>
            </w:r>
          </w:p>
        </w:tc>
        <w:tc>
          <w:tcPr>
            <w:tcW w:w="102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丰富群众文体生活项目</w:t>
            </w:r>
          </w:p>
        </w:tc>
        <w:tc>
          <w:tcPr>
            <w:tcW w:w="147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13.对村居、社区、公园等室外健身设施维护更新。</w:t>
            </w:r>
          </w:p>
        </w:tc>
        <w:tc>
          <w:tcPr>
            <w:tcW w:w="2232"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对全县各社区、公园等室外体育健身场所进行实地摸排，制定提升工作方案；积极争取各级资金扶持；组织各镇、街道、综合行政执法局等部门单位，对室外健身设施进行更新维护，全面提升公共体育健身场地设施。</w:t>
            </w:r>
          </w:p>
        </w:tc>
        <w:tc>
          <w:tcPr>
            <w:tcW w:w="165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对13个城市社区、130个居住区体育健身设施进行摸底，制定改造提升实施方案；</w:t>
            </w:r>
            <w:r>
              <w:rPr>
                <w:rFonts w:hint="eastAsia" w:ascii="Times New Roman" w:hAnsi="Times New Roman" w:eastAsia="仿宋_GB2312" w:cs="Times New Roman"/>
                <w:b w:val="0"/>
                <w:bCs w:val="0"/>
                <w:color w:val="000000"/>
                <w:kern w:val="0"/>
                <w:sz w:val="24"/>
                <w:szCs w:val="24"/>
                <w:lang w:val="en-US" w:eastAsia="zh-CN" w:bidi="ar-SA"/>
              </w:rPr>
              <w:t>通过对</w:t>
            </w:r>
            <w:r>
              <w:rPr>
                <w:rFonts w:hint="default" w:ascii="Times New Roman" w:hAnsi="Times New Roman" w:eastAsia="仿宋_GB2312" w:cs="Times New Roman"/>
                <w:b w:val="0"/>
                <w:bCs w:val="0"/>
                <w:color w:val="000000"/>
                <w:kern w:val="0"/>
                <w:sz w:val="24"/>
                <w:szCs w:val="24"/>
                <w:lang w:val="en-US" w:eastAsia="zh-CN" w:bidi="ar-SA"/>
              </w:rPr>
              <w:t>东苑社区、祥源社区和康源社区实地调研，初步确定在三个社区规划建设多功能运动场；做好九九乐园、儿童乐园提升改造工程与县体育公园建设项目结合工作。</w:t>
            </w:r>
          </w:p>
        </w:tc>
        <w:tc>
          <w:tcPr>
            <w:tcW w:w="162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启动全民健身广场改造提升工程；对水景公园两侧健身步道进行规划，打造1条夜跑路线；在水景公园两侧健身步道组织开展“青年夜跑”活动；推进东苑社区、祥源社区和康源社区的多功能运动场地建设；启动水景公园、社区健身场所健身器材招投标；启动对村级体育健身场所的管理维护工作。</w:t>
            </w:r>
          </w:p>
        </w:tc>
        <w:tc>
          <w:tcPr>
            <w:tcW w:w="153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打造夜跑路线</w:t>
            </w:r>
            <w:r>
              <w:rPr>
                <w:rFonts w:hint="eastAsia" w:ascii="Times New Roman" w:hAnsi="Times New Roman" w:eastAsia="仿宋_GB2312" w:cs="Times New Roman"/>
                <w:b w:val="0"/>
                <w:bCs w:val="0"/>
                <w:color w:val="000000"/>
                <w:kern w:val="0"/>
                <w:sz w:val="24"/>
                <w:szCs w:val="24"/>
                <w:lang w:val="en-US" w:eastAsia="zh-CN" w:bidi="ar-SA"/>
              </w:rPr>
              <w:t>，</w:t>
            </w:r>
            <w:r>
              <w:rPr>
                <w:rFonts w:hint="default" w:ascii="Times New Roman" w:hAnsi="Times New Roman" w:eastAsia="仿宋_GB2312" w:cs="Times New Roman"/>
                <w:b w:val="0"/>
                <w:bCs w:val="0"/>
                <w:color w:val="000000"/>
                <w:kern w:val="0"/>
                <w:sz w:val="24"/>
                <w:szCs w:val="24"/>
                <w:lang w:val="en-US" w:eastAsia="zh-CN" w:bidi="ar-SA"/>
              </w:rPr>
              <w:t>组织开展“青年夜跑”活动；启动水景公园、社区健身场所健身器材安装工作；力争13个城市社区、130个居住区的体育健身场地改造提升工程、水景公园等3处多功能运动场建设工程、九九乐园、儿童乐园改造提升暨体育公园建设等工程全部竣工。</w:t>
            </w:r>
          </w:p>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p>
        </w:tc>
        <w:tc>
          <w:tcPr>
            <w:tcW w:w="159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加强对村居、社区、公园等室外健身设施的巡查及更新维护，确保广大居民的健身需求及锻炼安全。</w:t>
            </w:r>
          </w:p>
        </w:tc>
        <w:tc>
          <w:tcPr>
            <w:tcW w:w="807"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张莹莹</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p>
        </w:tc>
        <w:tc>
          <w:tcPr>
            <w:tcW w:w="1800"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黑体" w:cs="Times New Roman"/>
                <w:b w:val="0"/>
                <w:bCs w:val="0"/>
                <w:color w:val="000000"/>
                <w:kern w:val="0"/>
                <w:sz w:val="24"/>
                <w:szCs w:val="24"/>
                <w:lang w:val="en-US" w:eastAsia="zh-CN" w:bidi="ar-SA"/>
              </w:rPr>
            </w:pPr>
            <w:r>
              <w:rPr>
                <w:rFonts w:hint="default" w:ascii="Times New Roman" w:hAnsi="Times New Roman" w:eastAsia="黑体" w:cs="Times New Roman"/>
                <w:b w:val="0"/>
                <w:bCs w:val="0"/>
                <w:color w:val="000000"/>
                <w:kern w:val="0"/>
                <w:sz w:val="24"/>
                <w:szCs w:val="24"/>
                <w:lang w:val="en-US" w:eastAsia="zh-CN" w:bidi="ar-SA"/>
              </w:rPr>
              <w:t>县教育和体育局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1"/>
                <w:szCs w:val="21"/>
                <w:lang w:val="en-US" w:eastAsia="zh-CN" w:bidi="ar-SA"/>
              </w:rPr>
              <w:t>县住房城乡建设局县综合行政执法局</w:t>
            </w:r>
            <w:r>
              <w:rPr>
                <w:rFonts w:hint="default" w:ascii="Times New Roman" w:hAnsi="Times New Roman" w:eastAsia="仿宋_GB2312" w:cs="Times New Roman"/>
                <w:b w:val="0"/>
                <w:bCs w:val="0"/>
                <w:color w:val="000000"/>
                <w:kern w:val="0"/>
                <w:sz w:val="24"/>
                <w:szCs w:val="24"/>
                <w:lang w:val="en-US" w:eastAsia="zh-CN" w:bidi="ar-SA"/>
              </w:rPr>
              <w:t>南麻街道</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历山街道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7076" w:hRule="atLeast"/>
          <w:jc w:val="center"/>
        </w:trPr>
        <w:tc>
          <w:tcPr>
            <w:tcW w:w="632"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四</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丰富群众文体生活项目</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14.新建改造4处城市公园和一批乡村公园。</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仿宋_GB2312" w:cs="Times New Roman"/>
                <w:b w:val="0"/>
                <w:bCs w:val="0"/>
                <w:color w:val="000000"/>
                <w:kern w:val="0"/>
                <w:sz w:val="24"/>
                <w:szCs w:val="24"/>
                <w:lang w:val="en-US" w:eastAsia="zh-CN" w:bidi="ar-SA"/>
              </w:rPr>
            </w:pPr>
          </w:p>
        </w:tc>
        <w:tc>
          <w:tcPr>
            <w:tcW w:w="22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严格施工现场管理，在确保工程质量和施工安全的前提下，抢抓住施工黄金期，采取土建施工、绿化苗木栽植和景观建设交叉同步施工等措施，加快项目</w:t>
            </w:r>
            <w:r>
              <w:rPr>
                <w:rFonts w:hint="eastAsia" w:ascii="Times New Roman" w:hAnsi="Times New Roman" w:eastAsia="仿宋_GB2312" w:cs="Times New Roman"/>
                <w:b w:val="0"/>
                <w:bCs w:val="0"/>
                <w:color w:val="000000"/>
                <w:kern w:val="0"/>
                <w:sz w:val="24"/>
                <w:szCs w:val="24"/>
                <w:lang w:val="en-US" w:eastAsia="zh-CN" w:bidi="ar-SA"/>
              </w:rPr>
              <w:t>建设进度</w:t>
            </w:r>
            <w:r>
              <w:rPr>
                <w:rFonts w:hint="default" w:ascii="Times New Roman" w:hAnsi="Times New Roman" w:eastAsia="仿宋_GB2312" w:cs="Times New Roman"/>
                <w:b w:val="0"/>
                <w:bCs w:val="0"/>
                <w:color w:val="000000"/>
                <w:kern w:val="0"/>
                <w:sz w:val="24"/>
                <w:szCs w:val="24"/>
                <w:lang w:val="en-US" w:eastAsia="zh-CN" w:bidi="ar-SA"/>
              </w:rPr>
              <w:t>，确保各项目按期竣工；督促各镇（街道）做好镇级公园、村级广场改造、建设计划，制定实施方案，实施镇级公园和村级广场建设。</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儿童乐园、九九乐园景观提升开始施工，进行场地平整；城市文化会客厅开始施工，进行场地的平整及基础桩施工；虡盛文化公园进行水系、路面、景观基础施工；各镇（街道）确定镇级公园、村级广场改造、建设任务。</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仿宋_GB2312" w:cs="Times New Roman"/>
                <w:b w:val="0"/>
                <w:bCs w:val="0"/>
                <w:color w:val="000000"/>
                <w:kern w:val="0"/>
                <w:sz w:val="24"/>
                <w:szCs w:val="24"/>
                <w:lang w:val="en-US" w:eastAsia="zh-CN" w:bidi="ar-SA"/>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儿童乐园、九九乐园景观提升进行公园硬景施工；城市文化会客厅进行主体工程；虡盛文化公园水系、地面全面铺装、绿化栽植、水系管道施工；完成总任务量的20%。</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儿童乐园、九九乐园景观提升进行软景安装；城市文化会客厅进行装饰工程及水电暖、消防工程、人防工程施工；虡盛文化公园7月份竣工建成；完成总任务量的80%。</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仿宋_GB2312" w:cs="Times New Roman"/>
                <w:b w:val="0"/>
                <w:bCs w:val="0"/>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仿宋_GB2312" w:cs="Times New Roman"/>
                <w:b w:val="0"/>
                <w:bCs w:val="0"/>
                <w:color w:val="000000"/>
                <w:kern w:val="0"/>
                <w:sz w:val="24"/>
                <w:szCs w:val="24"/>
                <w:lang w:val="en-US" w:eastAsia="zh-CN" w:bidi="ar-SA"/>
              </w:rPr>
            </w:pP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儿童乐园、九九乐园景观提升进行软景施工及竣工前清理；城市文化会客厅进行水电暖，人防、消防工程及竣工前清理；完成所有的建设任务，进行验收，迎接上级的检查验收。</w:t>
            </w:r>
          </w:p>
        </w:tc>
        <w:tc>
          <w:tcPr>
            <w:tcW w:w="8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郑  峰</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黑体" w:cs="Times New Roman"/>
                <w:b w:val="0"/>
                <w:bCs w:val="0"/>
                <w:color w:val="000000"/>
                <w:kern w:val="0"/>
                <w:sz w:val="21"/>
                <w:szCs w:val="21"/>
                <w:lang w:val="en-US" w:eastAsia="zh-CN" w:bidi="ar-SA"/>
              </w:rPr>
              <w:t>县住房城乡建设局</w:t>
            </w:r>
            <w:r>
              <w:rPr>
                <w:rFonts w:hint="default" w:ascii="Times New Roman" w:hAnsi="Times New Roman" w:eastAsia="仿宋_GB2312" w:cs="Times New Roman"/>
                <w:b w:val="0"/>
                <w:bCs w:val="0"/>
                <w:color w:val="000000"/>
                <w:kern w:val="0"/>
                <w:sz w:val="24"/>
                <w:szCs w:val="24"/>
                <w:lang w:val="en-US" w:eastAsia="zh-CN" w:bidi="ar-SA"/>
              </w:rPr>
              <w:t>各镇（街道）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748" w:hRule="atLeast"/>
          <w:jc w:val="center"/>
        </w:trPr>
        <w:tc>
          <w:tcPr>
            <w:tcW w:w="632"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四</w:t>
            </w:r>
          </w:p>
        </w:tc>
        <w:tc>
          <w:tcPr>
            <w:tcW w:w="102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丰富群众文体生活项目</w:t>
            </w:r>
          </w:p>
        </w:tc>
        <w:tc>
          <w:tcPr>
            <w:tcW w:w="147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15.建设10处“拇指公园”，打造十五分钟健身圈。</w:t>
            </w:r>
          </w:p>
        </w:tc>
        <w:tc>
          <w:tcPr>
            <w:tcW w:w="2232"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在城区东埠路、瑞阳路、新城路、人民路等路段节点新建及改造建设“拇指公园”10处；结合“拇指公园”建设，增加健身器材设施，打造十五分钟健身圈。</w:t>
            </w:r>
          </w:p>
        </w:tc>
        <w:tc>
          <w:tcPr>
            <w:tcW w:w="165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编制项目《可行性研究报告》，办理立项手续；调整各“拇指公园”绿化规划方案，做好施工图设计，编制《工程造价》清单；做好项目的招投标工作，选定施工队伍，对项目进行地表清理或对原有苗木进行移栽、调整。</w:t>
            </w:r>
          </w:p>
        </w:tc>
        <w:tc>
          <w:tcPr>
            <w:tcW w:w="162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进行地形整理或塑形，完成各拇指公园的供水设施施工，栽值乔木及花灌木；栽值乔木、花灌木以及时令花卉、宿根地被等；栽值乔木、花灌木以及地被；做好游路、广场、建筑物（构筑物）等基础垫层施工。</w:t>
            </w:r>
          </w:p>
        </w:tc>
        <w:tc>
          <w:tcPr>
            <w:tcW w:w="153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做好游路、广场、建筑物（构筑物）等施工工作；完善供排水设施施工，完成亮化设施的基础及供电线路施工。</w:t>
            </w:r>
          </w:p>
        </w:tc>
        <w:tc>
          <w:tcPr>
            <w:tcW w:w="159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对乔灌木进行调整或充实，完成游路、广场、建筑物（构筑物）等施工工作；完成亮化设施施工；完成健身器材设施的安装工作，完成10处拇指公园建设；做好工程竣工验收及工程结算工作。</w:t>
            </w:r>
          </w:p>
        </w:tc>
        <w:tc>
          <w:tcPr>
            <w:tcW w:w="807"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eastAsia" w:ascii="Times New Roman" w:hAnsi="Times New Roman" w:eastAsia="仿宋_GB2312" w:cs="Times New Roman"/>
                <w:b w:val="0"/>
                <w:bCs w:val="0"/>
                <w:color w:val="000000"/>
                <w:kern w:val="0"/>
                <w:sz w:val="24"/>
                <w:szCs w:val="24"/>
                <w:lang w:val="en-US" w:eastAsia="zh-CN" w:bidi="ar-SA"/>
              </w:rPr>
              <w:t>郑  峰</w:t>
            </w:r>
          </w:p>
        </w:tc>
        <w:tc>
          <w:tcPr>
            <w:tcW w:w="1800"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1"/>
                <w:szCs w:val="21"/>
                <w:lang w:val="en-US" w:eastAsia="zh-CN" w:bidi="ar-SA"/>
              </w:rPr>
              <w:t>县综合行政执法局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567" w:hRule="atLeast"/>
          <w:jc w:val="center"/>
        </w:trPr>
        <w:tc>
          <w:tcPr>
            <w:tcW w:w="632"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五</w:t>
            </w:r>
          </w:p>
        </w:tc>
        <w:tc>
          <w:tcPr>
            <w:tcW w:w="102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实施农村澡堂工程</w:t>
            </w:r>
          </w:p>
        </w:tc>
        <w:tc>
          <w:tcPr>
            <w:tcW w:w="147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16.以镇（街道）为单位，合理布局，建设100处农村澡堂。</w:t>
            </w:r>
          </w:p>
        </w:tc>
        <w:tc>
          <w:tcPr>
            <w:tcW w:w="2232"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各镇（街道）加强领导，制定切实可行的实施方案，专人负责工程的统筹协调、建设等工作；明确县直部门及镇（街道）各方职责；强化督导考核，纳入农村人居环境考核。</w:t>
            </w:r>
          </w:p>
        </w:tc>
        <w:tc>
          <w:tcPr>
            <w:tcW w:w="1653"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宣传发动，各镇（街道）结合辖区内农村公共澡堂现状，鼓励有条件的村积极进行申报，合理确定建设地点并上报。</w:t>
            </w:r>
          </w:p>
        </w:tc>
        <w:tc>
          <w:tcPr>
            <w:tcW w:w="1620" w:type="dxa"/>
            <w:vAlign w:val="center"/>
          </w:tcPr>
          <w:p>
            <w:pPr>
              <w:spacing w:line="280" w:lineRule="exact"/>
              <w:jc w:val="both"/>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开工建设，县直相关部门单位按照各自职责做好各项工作，指导各镇（街道）搞好工程施工建设</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镇（街道）组织好工程招投标、施工、监理等工作。</w:t>
            </w:r>
          </w:p>
          <w:p>
            <w:pPr>
              <w:spacing w:line="280" w:lineRule="exact"/>
              <w:jc w:val="both"/>
              <w:rPr>
                <w:rFonts w:hint="default" w:ascii="Times New Roman" w:hAnsi="Times New Roman" w:eastAsia="仿宋_GB2312" w:cs="Times New Roman"/>
                <w:color w:val="000000"/>
                <w:kern w:val="0"/>
                <w:sz w:val="24"/>
                <w:szCs w:val="24"/>
                <w:lang w:val="en-US" w:eastAsia="zh-CN" w:bidi="ar-SA"/>
              </w:rPr>
            </w:pPr>
          </w:p>
        </w:tc>
        <w:tc>
          <w:tcPr>
            <w:tcW w:w="153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镇（街道）组织好工程施工、监理等工作，并做好工程质量安全监督管理，9月</w:t>
            </w:r>
            <w:r>
              <w:rPr>
                <w:rFonts w:hint="default" w:ascii="Times New Roman" w:hAnsi="Times New Roman" w:eastAsia="仿宋_GB2312" w:cs="Times New Roman"/>
                <w:color w:val="000000"/>
                <w:kern w:val="0"/>
                <w:sz w:val="24"/>
                <w:szCs w:val="24"/>
                <w:lang w:val="en-US" w:eastAsia="zh-CN"/>
              </w:rPr>
              <w:t>底</w:t>
            </w:r>
            <w:r>
              <w:rPr>
                <w:rFonts w:hint="default" w:ascii="Times New Roman" w:hAnsi="Times New Roman" w:eastAsia="仿宋_GB2312" w:cs="Times New Roman"/>
                <w:color w:val="000000"/>
                <w:kern w:val="0"/>
                <w:sz w:val="24"/>
                <w:szCs w:val="24"/>
              </w:rPr>
              <w:t>前全部完成工程建设和内配设备安装，达到正常运营的条件。</w:t>
            </w:r>
          </w:p>
        </w:tc>
        <w:tc>
          <w:tcPr>
            <w:tcW w:w="159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10月份，组织专业人员对农村公共澡堂建设情况进行全面验收，验收合格的，交付使用。</w:t>
            </w:r>
          </w:p>
        </w:tc>
        <w:tc>
          <w:tcPr>
            <w:tcW w:w="807"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张志东</w:t>
            </w:r>
          </w:p>
        </w:tc>
        <w:tc>
          <w:tcPr>
            <w:tcW w:w="1800"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黑体" w:cs="Times New Roman"/>
                <w:b w:val="0"/>
                <w:bCs w:val="0"/>
                <w:color w:val="000000"/>
                <w:kern w:val="0"/>
                <w:sz w:val="24"/>
                <w:szCs w:val="24"/>
                <w:lang w:val="en-US" w:eastAsia="zh-CN" w:bidi="ar-SA"/>
              </w:rPr>
            </w:pPr>
            <w:r>
              <w:rPr>
                <w:rFonts w:hint="default" w:ascii="Times New Roman" w:hAnsi="Times New Roman" w:eastAsia="黑体" w:cs="Times New Roman"/>
                <w:b w:val="0"/>
                <w:bCs w:val="0"/>
                <w:color w:val="000000"/>
                <w:kern w:val="0"/>
                <w:sz w:val="24"/>
                <w:szCs w:val="24"/>
                <w:lang w:val="en-US" w:eastAsia="zh-CN" w:bidi="ar-SA"/>
              </w:rPr>
              <w:t>县农业农村局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县民政局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县财政局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 w:val="21"/>
                <w:szCs w:val="21"/>
                <w:lang w:val="en-US" w:eastAsia="zh-CN" w:bidi="ar-SA"/>
              </w:rPr>
              <w:t>县住房城乡建设局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县自然资源局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县扶贫办</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县残联</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市</w:t>
            </w:r>
            <w:r>
              <w:rPr>
                <w:rFonts w:hint="eastAsia" w:ascii="Times New Roman" w:hAnsi="Times New Roman" w:eastAsia="仿宋_GB2312" w:cs="Times New Roman"/>
                <w:b w:val="0"/>
                <w:bCs w:val="0"/>
                <w:color w:val="000000"/>
                <w:kern w:val="0"/>
                <w:sz w:val="24"/>
                <w:szCs w:val="24"/>
                <w:lang w:val="en-US" w:eastAsia="zh-CN" w:bidi="ar-SA"/>
              </w:rPr>
              <w:t>市</w:t>
            </w:r>
            <w:r>
              <w:rPr>
                <w:rFonts w:hint="default" w:ascii="Times New Roman" w:hAnsi="Times New Roman" w:eastAsia="仿宋_GB2312" w:cs="Times New Roman"/>
                <w:b w:val="0"/>
                <w:bCs w:val="0"/>
                <w:color w:val="000000"/>
                <w:kern w:val="0"/>
                <w:sz w:val="24"/>
                <w:szCs w:val="24"/>
                <w:lang w:val="en-US" w:eastAsia="zh-CN" w:bidi="ar-SA"/>
              </w:rPr>
              <w:t>生态环境局沂源分局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各镇（街道）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3494" w:hRule="atLeast"/>
          <w:jc w:val="center"/>
        </w:trPr>
        <w:tc>
          <w:tcPr>
            <w:tcW w:w="632" w:type="dxa"/>
            <w:vMerge w:val="restart"/>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六</w:t>
            </w:r>
          </w:p>
        </w:tc>
        <w:tc>
          <w:tcPr>
            <w:tcW w:w="1020" w:type="dxa"/>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实施“果业振兴计划”</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17.完善配套《沂源县现代农业扶持办法》，改造提升果园8万亩。</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b w:val="0"/>
                <w:bCs w:val="0"/>
                <w:color w:val="000000"/>
                <w:kern w:val="0"/>
                <w:sz w:val="24"/>
                <w:szCs w:val="24"/>
                <w:lang w:val="en-US" w:eastAsia="zh-CN" w:bidi="ar-SA"/>
              </w:rPr>
            </w:pPr>
          </w:p>
        </w:tc>
        <w:tc>
          <w:tcPr>
            <w:tcW w:w="2232"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加大对《沂源县数字农业农村建设扶持办法》的宣传力度；做好改造园区技术培训与指导工作；加大对改造园区的调度、督察、考核。</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sz w:val="24"/>
                <w:szCs w:val="24"/>
              </w:rPr>
              <w:t>新发展果品</w:t>
            </w:r>
            <w:r>
              <w:rPr>
                <w:rFonts w:hint="default" w:ascii="Times New Roman" w:hAnsi="Times New Roman" w:eastAsia="仿宋_GB2312" w:cs="Times New Roman"/>
                <w:color w:val="000000"/>
                <w:sz w:val="24"/>
                <w:szCs w:val="24"/>
                <w:lang w:val="en-US" w:eastAsia="zh-CN"/>
              </w:rPr>
              <w:t>0.4万</w:t>
            </w:r>
            <w:r>
              <w:rPr>
                <w:rFonts w:hint="default" w:ascii="Times New Roman" w:hAnsi="Times New Roman" w:eastAsia="仿宋_GB2312" w:cs="Times New Roman"/>
                <w:color w:val="000000"/>
                <w:sz w:val="24"/>
                <w:szCs w:val="24"/>
              </w:rPr>
              <w:t>亩，完成果园改造2</w:t>
            </w:r>
            <w:r>
              <w:rPr>
                <w:rFonts w:hint="default" w:ascii="Times New Roman" w:hAnsi="Times New Roman" w:eastAsia="仿宋_GB2312" w:cs="Times New Roman"/>
                <w:color w:val="000000"/>
                <w:sz w:val="24"/>
                <w:szCs w:val="24"/>
                <w:lang w:val="en-US" w:eastAsia="zh-CN"/>
              </w:rPr>
              <w:t>万</w:t>
            </w:r>
            <w:r>
              <w:rPr>
                <w:rFonts w:hint="default" w:ascii="Times New Roman" w:hAnsi="Times New Roman" w:eastAsia="仿宋_GB2312" w:cs="Times New Roman"/>
                <w:color w:val="000000"/>
                <w:sz w:val="24"/>
                <w:szCs w:val="24"/>
              </w:rPr>
              <w:t>亩。</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sz w:val="24"/>
                <w:szCs w:val="24"/>
              </w:rPr>
              <w:t>新发展果品</w:t>
            </w:r>
            <w:r>
              <w:rPr>
                <w:rFonts w:hint="default" w:ascii="Times New Roman" w:hAnsi="Times New Roman" w:eastAsia="仿宋_GB2312" w:cs="Times New Roman"/>
                <w:color w:val="000000"/>
                <w:sz w:val="24"/>
                <w:szCs w:val="24"/>
                <w:lang w:val="en-US" w:eastAsia="zh-CN"/>
              </w:rPr>
              <w:t>0.6万</w:t>
            </w:r>
            <w:r>
              <w:rPr>
                <w:rFonts w:hint="default" w:ascii="Times New Roman" w:hAnsi="Times New Roman" w:eastAsia="仿宋_GB2312" w:cs="Times New Roman"/>
                <w:color w:val="000000"/>
                <w:sz w:val="24"/>
                <w:szCs w:val="24"/>
              </w:rPr>
              <w:t>亩，完成果园改造1</w:t>
            </w:r>
            <w:r>
              <w:rPr>
                <w:rFonts w:hint="default" w:ascii="Times New Roman" w:hAnsi="Times New Roman" w:eastAsia="仿宋_GB2312" w:cs="Times New Roman"/>
                <w:color w:val="000000"/>
                <w:sz w:val="24"/>
                <w:szCs w:val="24"/>
                <w:lang w:val="en-US" w:eastAsia="zh-CN"/>
              </w:rPr>
              <w:t>万</w:t>
            </w:r>
            <w:r>
              <w:rPr>
                <w:rFonts w:hint="default" w:ascii="Times New Roman" w:hAnsi="Times New Roman" w:eastAsia="仿宋_GB2312" w:cs="Times New Roman"/>
                <w:color w:val="000000"/>
                <w:sz w:val="24"/>
                <w:szCs w:val="24"/>
              </w:rPr>
              <w:t>亩。</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sz w:val="24"/>
                <w:szCs w:val="24"/>
              </w:rPr>
              <w:t>完成果园改造3</w:t>
            </w:r>
            <w:r>
              <w:rPr>
                <w:rFonts w:hint="default" w:ascii="Times New Roman" w:hAnsi="Times New Roman" w:eastAsia="仿宋_GB2312" w:cs="Times New Roman"/>
                <w:color w:val="000000"/>
                <w:sz w:val="24"/>
                <w:szCs w:val="24"/>
                <w:lang w:val="en-US" w:eastAsia="zh-CN"/>
              </w:rPr>
              <w:t>万</w:t>
            </w:r>
            <w:r>
              <w:rPr>
                <w:rFonts w:hint="default" w:ascii="Times New Roman" w:hAnsi="Times New Roman" w:eastAsia="仿宋_GB2312" w:cs="Times New Roman"/>
                <w:color w:val="000000"/>
                <w:sz w:val="24"/>
                <w:szCs w:val="24"/>
              </w:rPr>
              <w:t>亩。</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sz w:val="24"/>
                <w:szCs w:val="24"/>
              </w:rPr>
              <w:t>新发展果品1</w:t>
            </w:r>
            <w:r>
              <w:rPr>
                <w:rFonts w:hint="default" w:ascii="Times New Roman" w:hAnsi="Times New Roman" w:eastAsia="仿宋_GB2312" w:cs="Times New Roman"/>
                <w:color w:val="000000"/>
                <w:sz w:val="24"/>
                <w:szCs w:val="24"/>
                <w:lang w:val="en-US" w:eastAsia="zh-CN"/>
              </w:rPr>
              <w:t>万</w:t>
            </w:r>
            <w:r>
              <w:rPr>
                <w:rFonts w:hint="default" w:ascii="Times New Roman" w:hAnsi="Times New Roman" w:eastAsia="仿宋_GB2312" w:cs="Times New Roman"/>
                <w:color w:val="000000"/>
                <w:sz w:val="24"/>
                <w:szCs w:val="24"/>
              </w:rPr>
              <w:t>亩，完成果园改造4</w:t>
            </w:r>
            <w:r>
              <w:rPr>
                <w:rFonts w:hint="default" w:ascii="Times New Roman" w:hAnsi="Times New Roman" w:eastAsia="仿宋_GB2312" w:cs="Times New Roman"/>
                <w:color w:val="000000"/>
                <w:sz w:val="24"/>
                <w:szCs w:val="24"/>
                <w:lang w:val="en-US" w:eastAsia="zh-CN"/>
              </w:rPr>
              <w:t>万</w:t>
            </w:r>
            <w:r>
              <w:rPr>
                <w:rFonts w:hint="default" w:ascii="Times New Roman" w:hAnsi="Times New Roman" w:eastAsia="仿宋_GB2312" w:cs="Times New Roman"/>
                <w:color w:val="000000"/>
                <w:sz w:val="24"/>
                <w:szCs w:val="24"/>
              </w:rPr>
              <w:t>亩。</w:t>
            </w:r>
          </w:p>
        </w:tc>
        <w:tc>
          <w:tcPr>
            <w:tcW w:w="8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张志东</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黑体" w:cs="Times New Roman"/>
                <w:b w:val="0"/>
                <w:bCs w:val="0"/>
                <w:color w:val="000000"/>
                <w:kern w:val="0"/>
                <w:sz w:val="24"/>
                <w:szCs w:val="24"/>
                <w:lang w:val="en-US" w:eastAsia="zh-CN" w:bidi="ar-SA"/>
              </w:rPr>
            </w:pPr>
            <w:r>
              <w:rPr>
                <w:rFonts w:hint="default" w:ascii="Times New Roman" w:hAnsi="Times New Roman" w:eastAsia="黑体" w:cs="Times New Roman"/>
                <w:b w:val="0"/>
                <w:bCs w:val="0"/>
                <w:color w:val="000000"/>
                <w:kern w:val="0"/>
                <w:sz w:val="24"/>
                <w:szCs w:val="24"/>
                <w:lang w:val="en-US" w:eastAsia="zh-CN" w:bidi="ar-SA"/>
              </w:rPr>
              <w:t>县农业农村局</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县财政局</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南麻街道</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3226" w:hRule="atLeast"/>
          <w:jc w:val="center"/>
        </w:trPr>
        <w:tc>
          <w:tcPr>
            <w:tcW w:w="632" w:type="dxa"/>
            <w:vMerge w:val="continue"/>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p>
        </w:tc>
        <w:tc>
          <w:tcPr>
            <w:tcW w:w="1020"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方正小标宋简体" w:cs="Times New Roman"/>
                <w:b w:val="0"/>
                <w:bCs/>
                <w:sz w:val="24"/>
                <w:szCs w:val="24"/>
                <w:vertAlign w:val="baseline"/>
                <w:lang w:val="en-US" w:eastAsia="zh-CN"/>
              </w:rPr>
            </w:pP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bidi="ar-SA"/>
              </w:rPr>
              <w:t>18.实施水肥一体化建设8万亩。</w:t>
            </w:r>
          </w:p>
        </w:tc>
        <w:tc>
          <w:tcPr>
            <w:tcW w:w="2232"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加强组织领导，分解落实任务</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积极争取上级项目，落实县扶持政策</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开展技培训、现场观摩、田间技术指导。</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新建</w:t>
            </w:r>
            <w:r>
              <w:rPr>
                <w:rFonts w:hint="default" w:ascii="Times New Roman" w:hAnsi="Times New Roman" w:eastAsia="仿宋_GB2312" w:cs="Times New Roman"/>
                <w:b w:val="0"/>
                <w:bCs w:val="0"/>
                <w:color w:val="000000"/>
                <w:kern w:val="0"/>
                <w:sz w:val="24"/>
                <w:szCs w:val="24"/>
                <w:lang w:val="en-US" w:eastAsia="zh-CN" w:bidi="ar-SA"/>
              </w:rPr>
              <w:t>水肥一体化</w:t>
            </w:r>
            <w:r>
              <w:rPr>
                <w:rFonts w:hint="default" w:ascii="Times New Roman" w:hAnsi="Times New Roman" w:eastAsia="仿宋_GB2312" w:cs="Times New Roman"/>
                <w:color w:val="000000"/>
                <w:kern w:val="0"/>
                <w:sz w:val="24"/>
                <w:szCs w:val="24"/>
              </w:rPr>
              <w:t>2万亩</w:t>
            </w:r>
            <w:r>
              <w:rPr>
                <w:rFonts w:hint="default" w:ascii="Times New Roman" w:hAnsi="Times New Roman" w:eastAsia="仿宋_GB2312" w:cs="Times New Roman"/>
                <w:color w:val="000000"/>
                <w:kern w:val="0"/>
                <w:sz w:val="24"/>
                <w:szCs w:val="24"/>
                <w:lang w:eastAsia="zh-CN"/>
              </w:rPr>
              <w:t>。</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新建</w:t>
            </w:r>
            <w:r>
              <w:rPr>
                <w:rFonts w:hint="default" w:ascii="Times New Roman" w:hAnsi="Times New Roman" w:eastAsia="仿宋_GB2312" w:cs="Times New Roman"/>
                <w:b w:val="0"/>
                <w:bCs w:val="0"/>
                <w:color w:val="000000"/>
                <w:kern w:val="0"/>
                <w:sz w:val="24"/>
                <w:szCs w:val="24"/>
                <w:lang w:val="en-US" w:eastAsia="zh-CN" w:bidi="ar-SA"/>
              </w:rPr>
              <w:t>水肥一体化</w:t>
            </w:r>
            <w:r>
              <w:rPr>
                <w:rFonts w:hint="eastAsia" w:ascii="Times New Roman" w:hAnsi="Times New Roman" w:eastAsia="仿宋_GB2312" w:cs="Times New Roman"/>
                <w:color w:val="000000"/>
                <w:kern w:val="0"/>
                <w:sz w:val="24"/>
                <w:szCs w:val="24"/>
                <w:lang w:val="en-US" w:eastAsia="zh-CN"/>
              </w:rPr>
              <w:t>2</w:t>
            </w:r>
            <w:r>
              <w:rPr>
                <w:rFonts w:hint="default" w:ascii="Times New Roman" w:hAnsi="Times New Roman" w:eastAsia="仿宋_GB2312" w:cs="Times New Roman"/>
                <w:color w:val="000000"/>
                <w:kern w:val="0"/>
                <w:sz w:val="24"/>
                <w:szCs w:val="24"/>
              </w:rPr>
              <w:t>万亩</w:t>
            </w:r>
            <w:r>
              <w:rPr>
                <w:rFonts w:hint="default" w:ascii="Times New Roman" w:hAnsi="Times New Roman" w:eastAsia="仿宋_GB2312" w:cs="Times New Roman"/>
                <w:color w:val="000000"/>
                <w:kern w:val="0"/>
                <w:sz w:val="24"/>
                <w:szCs w:val="24"/>
                <w:lang w:eastAsia="zh-CN"/>
              </w:rPr>
              <w:t>。</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新建</w:t>
            </w:r>
            <w:r>
              <w:rPr>
                <w:rFonts w:hint="default" w:ascii="Times New Roman" w:hAnsi="Times New Roman" w:eastAsia="仿宋_GB2312" w:cs="Times New Roman"/>
                <w:b w:val="0"/>
                <w:bCs w:val="0"/>
                <w:color w:val="000000"/>
                <w:kern w:val="0"/>
                <w:sz w:val="24"/>
                <w:szCs w:val="24"/>
                <w:lang w:val="en-US" w:eastAsia="zh-CN" w:bidi="ar-SA"/>
              </w:rPr>
              <w:t>水肥一体化</w:t>
            </w:r>
            <w:r>
              <w:rPr>
                <w:rFonts w:hint="eastAsia" w:ascii="Times New Roman" w:hAnsi="Times New Roman" w:eastAsia="仿宋_GB2312" w:cs="Times New Roman"/>
                <w:color w:val="000000"/>
                <w:kern w:val="0"/>
                <w:sz w:val="24"/>
                <w:szCs w:val="24"/>
                <w:lang w:val="en-US" w:eastAsia="zh-CN"/>
              </w:rPr>
              <w:t>2</w:t>
            </w:r>
            <w:r>
              <w:rPr>
                <w:rFonts w:hint="default" w:ascii="Times New Roman" w:hAnsi="Times New Roman" w:eastAsia="仿宋_GB2312" w:cs="Times New Roman"/>
                <w:color w:val="000000"/>
                <w:kern w:val="0"/>
                <w:sz w:val="24"/>
                <w:szCs w:val="24"/>
              </w:rPr>
              <w:t>万亩</w:t>
            </w:r>
            <w:r>
              <w:rPr>
                <w:rFonts w:hint="default" w:ascii="Times New Roman" w:hAnsi="Times New Roman" w:eastAsia="仿宋_GB2312" w:cs="Times New Roman"/>
                <w:color w:val="000000"/>
                <w:kern w:val="0"/>
                <w:sz w:val="24"/>
                <w:szCs w:val="24"/>
                <w:lang w:eastAsia="zh-CN"/>
              </w:rPr>
              <w:t>。</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新建</w:t>
            </w:r>
            <w:r>
              <w:rPr>
                <w:rFonts w:hint="default" w:ascii="Times New Roman" w:hAnsi="Times New Roman" w:eastAsia="仿宋_GB2312" w:cs="Times New Roman"/>
                <w:b w:val="0"/>
                <w:bCs w:val="0"/>
                <w:color w:val="000000"/>
                <w:kern w:val="0"/>
                <w:sz w:val="24"/>
                <w:szCs w:val="24"/>
                <w:lang w:val="en-US" w:eastAsia="zh-CN" w:bidi="ar-SA"/>
              </w:rPr>
              <w:t>水肥一体化</w:t>
            </w:r>
            <w:r>
              <w:rPr>
                <w:rFonts w:hint="eastAsia" w:ascii="Times New Roman" w:hAnsi="Times New Roman" w:eastAsia="仿宋_GB2312" w:cs="Times New Roman"/>
                <w:color w:val="000000"/>
                <w:kern w:val="0"/>
                <w:sz w:val="24"/>
                <w:szCs w:val="24"/>
                <w:lang w:val="en-US" w:eastAsia="zh-CN"/>
              </w:rPr>
              <w:t>2</w:t>
            </w:r>
            <w:r>
              <w:rPr>
                <w:rFonts w:hint="default" w:ascii="Times New Roman" w:hAnsi="Times New Roman" w:eastAsia="仿宋_GB2312" w:cs="Times New Roman"/>
                <w:color w:val="000000"/>
                <w:kern w:val="0"/>
                <w:sz w:val="24"/>
                <w:szCs w:val="24"/>
              </w:rPr>
              <w:t>万亩</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年度新建总面积达到8万亩</w:t>
            </w:r>
            <w:r>
              <w:rPr>
                <w:rFonts w:hint="default" w:ascii="Times New Roman" w:hAnsi="Times New Roman" w:eastAsia="仿宋_GB2312" w:cs="Times New Roman"/>
                <w:color w:val="000000"/>
                <w:kern w:val="0"/>
                <w:sz w:val="24"/>
                <w:szCs w:val="24"/>
                <w:lang w:eastAsia="zh-CN"/>
              </w:rPr>
              <w:t>。</w:t>
            </w:r>
          </w:p>
        </w:tc>
        <w:tc>
          <w:tcPr>
            <w:tcW w:w="8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bidi="ar-SA"/>
              </w:rPr>
              <w:t>张志东</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黑体" w:cs="Times New Roman"/>
                <w:b w:val="0"/>
                <w:bCs w:val="0"/>
                <w:color w:val="000000"/>
                <w:kern w:val="0"/>
                <w:sz w:val="24"/>
                <w:szCs w:val="24"/>
                <w:lang w:val="en-US" w:eastAsia="zh-CN" w:bidi="ar-SA"/>
              </w:rPr>
            </w:pPr>
            <w:r>
              <w:rPr>
                <w:rFonts w:hint="default" w:ascii="Times New Roman" w:hAnsi="Times New Roman" w:eastAsia="黑体" w:cs="Times New Roman"/>
                <w:b w:val="0"/>
                <w:bCs w:val="0"/>
                <w:color w:val="000000"/>
                <w:kern w:val="0"/>
                <w:sz w:val="24"/>
                <w:szCs w:val="24"/>
                <w:lang w:val="en-US" w:eastAsia="zh-CN" w:bidi="ar-SA"/>
              </w:rPr>
              <w:t>县农业农村局</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县财政局</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南麻街道</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bidi="ar-SA"/>
              </w:rPr>
              <w:t>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567" w:hRule="atLeast"/>
          <w:jc w:val="center"/>
        </w:trPr>
        <w:tc>
          <w:tcPr>
            <w:tcW w:w="632" w:type="dxa"/>
            <w:vMerge w:val="restart"/>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bidi="ar-SA"/>
              </w:rPr>
              <w:t>七</w:t>
            </w:r>
          </w:p>
        </w:tc>
        <w:tc>
          <w:tcPr>
            <w:tcW w:w="1020" w:type="dxa"/>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实施水生态体系建设惠民工程</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19.提升61个村供水安全和质量。</w:t>
            </w:r>
          </w:p>
        </w:tc>
        <w:tc>
          <w:tcPr>
            <w:tcW w:w="2232"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组建工作专班</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综合协同推</w:t>
            </w:r>
            <w:r>
              <w:rPr>
                <w:rFonts w:hint="eastAsia" w:ascii="Times New Roman" w:hAnsi="Times New Roman" w:eastAsia="仿宋_GB2312" w:cs="Times New Roman"/>
                <w:color w:val="000000"/>
                <w:kern w:val="0"/>
                <w:sz w:val="24"/>
                <w:szCs w:val="24"/>
                <w:lang w:val="en-US" w:eastAsia="zh-CN"/>
              </w:rPr>
              <w:t>进</w:t>
            </w:r>
            <w:r>
              <w:rPr>
                <w:rFonts w:hint="default"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保证</w:t>
            </w:r>
            <w:r>
              <w:rPr>
                <w:rFonts w:hint="default" w:ascii="Times New Roman" w:hAnsi="Times New Roman" w:eastAsia="仿宋_GB2312" w:cs="Times New Roman"/>
                <w:color w:val="000000"/>
                <w:kern w:val="0"/>
                <w:sz w:val="24"/>
                <w:szCs w:val="24"/>
              </w:rPr>
              <w:t>工程进度</w:t>
            </w:r>
            <w:r>
              <w:rPr>
                <w:rFonts w:hint="default" w:ascii="Times New Roman" w:hAnsi="Times New Roman" w:eastAsia="仿宋_GB2312" w:cs="Times New Roman"/>
                <w:color w:val="000000"/>
                <w:kern w:val="0"/>
                <w:sz w:val="24"/>
                <w:szCs w:val="24"/>
                <w:lang w:eastAsia="zh-CN"/>
              </w:rPr>
              <w:t>。</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rPr>
              <w:t>开展</w:t>
            </w:r>
            <w:r>
              <w:rPr>
                <w:rFonts w:hint="default" w:ascii="Times New Roman" w:hAnsi="Times New Roman" w:eastAsia="仿宋_GB2312" w:cs="Times New Roman"/>
                <w:color w:val="000000"/>
                <w:kern w:val="0"/>
                <w:sz w:val="24"/>
                <w:szCs w:val="24"/>
              </w:rPr>
              <w:t>勘测设计。</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完成招投标及施工准备，全面开工。</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完成总工程量</w:t>
            </w:r>
            <w:r>
              <w:rPr>
                <w:rFonts w:hint="eastAsia" w:ascii="Times New Roman" w:hAnsi="Times New Roman" w:eastAsia="仿宋_GB2312" w:cs="Times New Roman"/>
                <w:color w:val="000000"/>
                <w:kern w:val="0"/>
                <w:sz w:val="24"/>
                <w:szCs w:val="24"/>
                <w:lang w:val="en-US" w:eastAsia="zh-CN"/>
              </w:rPr>
              <w:t>的</w:t>
            </w:r>
            <w:r>
              <w:rPr>
                <w:rFonts w:hint="default" w:ascii="Times New Roman" w:hAnsi="Times New Roman" w:eastAsia="仿宋_GB2312" w:cs="Times New Roman"/>
                <w:color w:val="000000"/>
                <w:kern w:val="0"/>
                <w:sz w:val="24"/>
                <w:szCs w:val="24"/>
              </w:rPr>
              <w:t>80%。</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全部完成建设任务。</w:t>
            </w:r>
          </w:p>
        </w:tc>
        <w:tc>
          <w:tcPr>
            <w:tcW w:w="8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张志东</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567" w:hRule="atLeast"/>
          <w:jc w:val="center"/>
        </w:trPr>
        <w:tc>
          <w:tcPr>
            <w:tcW w:w="632" w:type="dxa"/>
            <w:vMerge w:val="continue"/>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p>
        </w:tc>
        <w:tc>
          <w:tcPr>
            <w:tcW w:w="1020"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b w:val="0"/>
                <w:bCs w:val="0"/>
                <w:color w:val="000000"/>
                <w:kern w:val="0"/>
                <w:sz w:val="24"/>
                <w:szCs w:val="24"/>
                <w:lang w:val="en-US" w:eastAsia="zh-CN" w:bidi="ar-SA"/>
              </w:rPr>
            </w:pP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20.对112座小型水库实施安全运行保障工程。</w:t>
            </w:r>
          </w:p>
        </w:tc>
        <w:tc>
          <w:tcPr>
            <w:tcW w:w="2232"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严格执行项目“四制”，确保工程建设程序规范、质量优良</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严格落实“一线工作法”，对所有工程项目采取驻点督导的办法，确保工程进度</w:t>
            </w:r>
            <w:r>
              <w:rPr>
                <w:rFonts w:hint="default" w:ascii="Times New Roman" w:hAnsi="Times New Roman" w:eastAsia="仿宋_GB2312" w:cs="Times New Roman"/>
                <w:color w:val="000000"/>
                <w:kern w:val="0"/>
                <w:sz w:val="24"/>
                <w:szCs w:val="24"/>
                <w:lang w:eastAsia="zh-CN"/>
              </w:rPr>
              <w:t>。</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完成招标工作。</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对43座水库进行地质勘探和大坝安全鉴定工作，计划5月底竣工。</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w:t>
            </w:r>
          </w:p>
        </w:tc>
        <w:tc>
          <w:tcPr>
            <w:tcW w:w="8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b w:val="0"/>
                <w:bCs w:val="0"/>
                <w:color w:val="000000"/>
                <w:kern w:val="0"/>
                <w:sz w:val="24"/>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张志东</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2846" w:hRule="atLeast"/>
          <w:jc w:val="center"/>
        </w:trPr>
        <w:tc>
          <w:tcPr>
            <w:tcW w:w="632" w:type="dxa"/>
            <w:vMerge w:val="continue"/>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p>
        </w:tc>
        <w:tc>
          <w:tcPr>
            <w:tcW w:w="1020" w:type="dxa"/>
            <w:vMerge w:val="continue"/>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val="0"/>
                <w:color w:val="000000"/>
                <w:kern w:val="0"/>
                <w:sz w:val="24"/>
                <w:szCs w:val="24"/>
                <w:lang w:val="en-US" w:eastAsia="zh-CN" w:bidi="ar-SA"/>
              </w:rPr>
            </w:pP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21.开展农村生活污水治理。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rPr>
            </w:pPr>
          </w:p>
        </w:tc>
        <w:tc>
          <w:tcPr>
            <w:tcW w:w="2232"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rPr>
              <w:t>完成49个新增行政村和15个</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十三五</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时期农村环境综合整治村庄的提升巩固任务。</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rPr>
              <w:t>确定拟治理村庄，编制2021年农村生活污水治理方案。</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rPr>
              <w:t>对拟治理村庄聘请第三方运维团队进行现场勘查设计。</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rPr>
              <w:t>根据前期工作成果开展治理任务。</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rPr>
              <w:t>完成治理任务。</w:t>
            </w:r>
          </w:p>
        </w:tc>
        <w:tc>
          <w:tcPr>
            <w:tcW w:w="80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武光明</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市生态环境局</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沂源分局</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各镇</w:t>
            </w:r>
            <w:r>
              <w:rPr>
                <w:rFonts w:hint="eastAsia" w:ascii="Times New Roman" w:hAnsi="Times New Roman" w:eastAsia="仿宋_GB2312" w:cs="Times New Roman"/>
                <w:color w:val="000000"/>
                <w:kern w:val="0"/>
                <w:sz w:val="24"/>
                <w:szCs w:val="24"/>
                <w:lang w:val="en-US" w:eastAsia="zh-CN"/>
              </w:rPr>
              <w:t>、</w:t>
            </w:r>
            <w:r>
              <w:rPr>
                <w:rFonts w:hint="default" w:ascii="Times New Roman" w:hAnsi="Times New Roman" w:eastAsia="仿宋_GB2312" w:cs="Times New Roman"/>
                <w:color w:val="000000"/>
                <w:kern w:val="0"/>
                <w:sz w:val="24"/>
                <w:szCs w:val="24"/>
                <w:lang w:val="en-US" w:eastAsia="zh-CN"/>
              </w:rPr>
              <w:t>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2457" w:hRule="atLeast"/>
          <w:jc w:val="center"/>
        </w:trPr>
        <w:tc>
          <w:tcPr>
            <w:tcW w:w="632" w:type="dxa"/>
            <w:vMerge w:val="restart"/>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bidi="ar-SA"/>
              </w:rPr>
              <w:t>八</w:t>
            </w:r>
          </w:p>
        </w:tc>
        <w:tc>
          <w:tcPr>
            <w:tcW w:w="1020" w:type="dxa"/>
            <w:vMerge w:val="restart"/>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rPr>
              <w:t>持续实施“平安沂源”工程</w:t>
            </w:r>
          </w:p>
        </w:tc>
        <w:tc>
          <w:tcPr>
            <w:tcW w:w="147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22.</w:t>
            </w:r>
            <w:r>
              <w:rPr>
                <w:rFonts w:hint="default" w:ascii="Times New Roman" w:hAnsi="Times New Roman" w:eastAsia="仿宋_GB2312" w:cs="Times New Roman"/>
                <w:b w:val="0"/>
                <w:bCs w:val="0"/>
                <w:color w:val="000000"/>
                <w:kern w:val="0"/>
                <w:sz w:val="24"/>
                <w:szCs w:val="24"/>
              </w:rPr>
              <w:t>建成智慧安防小区50个</w:t>
            </w:r>
            <w:r>
              <w:rPr>
                <w:rFonts w:hint="default" w:ascii="Times New Roman" w:hAnsi="Times New Roman" w:eastAsia="仿宋_GB2312" w:cs="Times New Roman"/>
                <w:b w:val="0"/>
                <w:bCs w:val="0"/>
                <w:color w:val="000000"/>
                <w:kern w:val="0"/>
                <w:sz w:val="24"/>
                <w:szCs w:val="24"/>
                <w:lang w:eastAsia="zh-CN"/>
              </w:rPr>
              <w:t>。</w:t>
            </w:r>
          </w:p>
        </w:tc>
        <w:tc>
          <w:tcPr>
            <w:tcW w:w="2232" w:type="dxa"/>
            <w:vAlign w:val="center"/>
          </w:tcPr>
          <w:p>
            <w:pPr>
              <w:spacing w:line="280" w:lineRule="exact"/>
              <w:jc w:val="both"/>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color w:val="000000"/>
                <w:kern w:val="0"/>
                <w:sz w:val="24"/>
                <w:szCs w:val="24"/>
              </w:rPr>
              <w:t>制定推进计划，确定专人负责</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定期召开联席会议，通报工作进度，协商解决问题，推进建设工作顺利进行</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加强工作督导，实行月通报制度，加快建设进度。</w:t>
            </w:r>
          </w:p>
        </w:tc>
        <w:tc>
          <w:tcPr>
            <w:tcW w:w="165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color w:val="000000"/>
                <w:kern w:val="0"/>
                <w:sz w:val="24"/>
                <w:szCs w:val="24"/>
              </w:rPr>
              <w:t>完成摸排工作</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确定拟建智慧安防小区</w:t>
            </w:r>
            <w:r>
              <w:rPr>
                <w:rFonts w:hint="default" w:ascii="Times New Roman" w:hAnsi="Times New Roman" w:eastAsia="仿宋_GB2312" w:cs="Times New Roman"/>
                <w:color w:val="000000"/>
                <w:kern w:val="0"/>
                <w:sz w:val="24"/>
                <w:szCs w:val="24"/>
                <w:lang w:val="en-US" w:eastAsia="zh-CN"/>
              </w:rPr>
              <w:t>名单。</w:t>
            </w:r>
          </w:p>
        </w:tc>
        <w:tc>
          <w:tcPr>
            <w:tcW w:w="162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rPr>
              <w:t>建成</w:t>
            </w:r>
            <w:r>
              <w:rPr>
                <w:rFonts w:hint="default" w:ascii="Times New Roman" w:hAnsi="Times New Roman" w:eastAsia="仿宋_GB2312" w:cs="Times New Roman"/>
                <w:color w:val="000000"/>
                <w:kern w:val="0"/>
                <w:sz w:val="24"/>
                <w:szCs w:val="24"/>
              </w:rPr>
              <w:t>5个智慧安防小区</w:t>
            </w:r>
            <w:r>
              <w:rPr>
                <w:rFonts w:hint="default" w:ascii="Times New Roman" w:hAnsi="Times New Roman" w:eastAsia="仿宋_GB2312" w:cs="Times New Roman"/>
                <w:color w:val="000000"/>
                <w:kern w:val="0"/>
                <w:sz w:val="24"/>
                <w:szCs w:val="24"/>
                <w:lang w:eastAsia="zh-CN"/>
              </w:rPr>
              <w:t>。</w:t>
            </w:r>
          </w:p>
        </w:tc>
        <w:tc>
          <w:tcPr>
            <w:tcW w:w="153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建成30个智慧安防小区</w:t>
            </w:r>
            <w:r>
              <w:rPr>
                <w:rFonts w:hint="default" w:ascii="Times New Roman" w:hAnsi="Times New Roman" w:eastAsia="仿宋_GB2312" w:cs="Times New Roman"/>
                <w:color w:val="000000"/>
                <w:kern w:val="0"/>
                <w:sz w:val="24"/>
                <w:szCs w:val="24"/>
                <w:lang w:eastAsia="zh-CN"/>
              </w:rPr>
              <w:t>。</w:t>
            </w:r>
          </w:p>
        </w:tc>
        <w:tc>
          <w:tcPr>
            <w:tcW w:w="159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建成15个智慧安防小区</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lang w:val="en-US" w:eastAsia="zh-CN"/>
              </w:rPr>
              <w:t>并</w:t>
            </w:r>
            <w:r>
              <w:rPr>
                <w:rFonts w:hint="default" w:ascii="Times New Roman" w:hAnsi="Times New Roman" w:eastAsia="仿宋_GB2312" w:cs="Times New Roman"/>
                <w:color w:val="000000"/>
                <w:kern w:val="0"/>
                <w:sz w:val="24"/>
                <w:szCs w:val="24"/>
              </w:rPr>
              <w:t>完成验收</w:t>
            </w:r>
            <w:r>
              <w:rPr>
                <w:rFonts w:hint="default" w:ascii="Times New Roman" w:hAnsi="Times New Roman" w:eastAsia="仿宋_GB2312" w:cs="Times New Roman"/>
                <w:color w:val="000000"/>
                <w:kern w:val="0"/>
                <w:sz w:val="24"/>
                <w:szCs w:val="24"/>
                <w:lang w:eastAsia="zh-CN"/>
              </w:rPr>
              <w:t>。</w:t>
            </w:r>
          </w:p>
        </w:tc>
        <w:tc>
          <w:tcPr>
            <w:tcW w:w="807"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bidi="ar-SA"/>
              </w:rPr>
              <w:t>王亚玮</w:t>
            </w:r>
          </w:p>
        </w:tc>
        <w:tc>
          <w:tcPr>
            <w:tcW w:w="1800" w:type="dxa"/>
            <w:vAlign w:val="center"/>
          </w:tcPr>
          <w:p>
            <w:pPr>
              <w:pStyle w:val="2"/>
              <w:keepNext/>
              <w:keepLines/>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baseline"/>
              <w:rPr>
                <w:rFonts w:hint="default" w:ascii="Times New Roman" w:hAnsi="Times New Roman" w:eastAsia="黑体" w:cs="Times New Roman"/>
                <w:b w:val="0"/>
                <w:bCs w:val="0"/>
                <w:color w:val="000000"/>
                <w:kern w:val="0"/>
                <w:sz w:val="24"/>
                <w:szCs w:val="24"/>
                <w:lang w:val="en-US" w:eastAsia="zh-CN"/>
              </w:rPr>
            </w:pPr>
            <w:r>
              <w:rPr>
                <w:rFonts w:hint="default" w:ascii="Times New Roman" w:hAnsi="Times New Roman" w:eastAsia="黑体" w:cs="Times New Roman"/>
                <w:b w:val="0"/>
                <w:bCs w:val="0"/>
                <w:color w:val="000000"/>
                <w:kern w:val="0"/>
                <w:sz w:val="24"/>
                <w:szCs w:val="24"/>
                <w:lang w:val="en-US" w:eastAsia="zh-CN"/>
              </w:rPr>
              <w:t>县公安局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rPr>
            </w:pPr>
            <w:r>
              <w:rPr>
                <w:rFonts w:hint="default" w:ascii="Times New Roman" w:hAnsi="Times New Roman" w:eastAsia="仿宋_GB2312" w:cs="Times New Roman"/>
                <w:b w:val="0"/>
                <w:bCs w:val="0"/>
                <w:color w:val="000000"/>
                <w:kern w:val="0"/>
                <w:sz w:val="24"/>
                <w:szCs w:val="24"/>
                <w:lang w:val="en-US" w:eastAsia="zh-CN"/>
              </w:rPr>
              <w:t>县财政局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各镇（街道）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567" w:hRule="atLeast"/>
          <w:jc w:val="center"/>
        </w:trPr>
        <w:tc>
          <w:tcPr>
            <w:tcW w:w="632" w:type="dxa"/>
            <w:vMerge w:val="continue"/>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p>
        </w:tc>
        <w:tc>
          <w:tcPr>
            <w:tcW w:w="1020" w:type="dxa"/>
            <w:vMerge w:val="continue"/>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方正小标宋简体" w:cs="Times New Roman"/>
                <w:b w:val="0"/>
                <w:bCs/>
                <w:sz w:val="24"/>
                <w:szCs w:val="24"/>
                <w:vertAlign w:val="baseline"/>
                <w:lang w:val="en-US" w:eastAsia="zh-CN"/>
              </w:rPr>
            </w:pPr>
          </w:p>
        </w:tc>
        <w:tc>
          <w:tcPr>
            <w:tcW w:w="147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23.建成</w:t>
            </w:r>
            <w:r>
              <w:rPr>
                <w:rFonts w:hint="default" w:ascii="Times New Roman" w:hAnsi="Times New Roman" w:eastAsia="仿宋_GB2312" w:cs="Times New Roman"/>
                <w:b w:val="0"/>
                <w:bCs w:val="0"/>
                <w:color w:val="000000"/>
                <w:kern w:val="0"/>
                <w:sz w:val="24"/>
                <w:szCs w:val="24"/>
              </w:rPr>
              <w:t>农村技防村100个。</w:t>
            </w:r>
          </w:p>
        </w:tc>
        <w:tc>
          <w:tcPr>
            <w:tcW w:w="2232"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color w:val="000000"/>
                <w:kern w:val="0"/>
                <w:sz w:val="24"/>
                <w:szCs w:val="24"/>
              </w:rPr>
              <w:t>研究确认资金来源</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选定安装点位，将任务分解到各镇</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街道</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lang w:val="en-US" w:eastAsia="zh-CN"/>
              </w:rPr>
              <w:t>压实主体责任</w:t>
            </w:r>
            <w:r>
              <w:rPr>
                <w:rFonts w:hint="default" w:ascii="Times New Roman" w:hAnsi="Times New Roman" w:eastAsia="仿宋_GB2312" w:cs="Times New Roman"/>
                <w:color w:val="000000"/>
                <w:kern w:val="0"/>
                <w:sz w:val="24"/>
                <w:szCs w:val="24"/>
              </w:rPr>
              <w:t>。</w:t>
            </w:r>
          </w:p>
        </w:tc>
        <w:tc>
          <w:tcPr>
            <w:tcW w:w="1653"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完成摸排工作，确定监控等技防设施的安装数量及位置。</w:t>
            </w:r>
          </w:p>
        </w:tc>
        <w:tc>
          <w:tcPr>
            <w:tcW w:w="162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完成50个村建设任务</w:t>
            </w:r>
            <w:r>
              <w:rPr>
                <w:rFonts w:hint="default" w:ascii="Times New Roman" w:hAnsi="Times New Roman" w:eastAsia="仿宋_GB2312" w:cs="Times New Roman"/>
                <w:color w:val="000000"/>
                <w:kern w:val="0"/>
                <w:sz w:val="24"/>
                <w:szCs w:val="24"/>
                <w:lang w:eastAsia="zh-CN"/>
              </w:rPr>
              <w:t>。</w:t>
            </w:r>
          </w:p>
        </w:tc>
        <w:tc>
          <w:tcPr>
            <w:tcW w:w="153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完成30个村建设任务</w:t>
            </w:r>
            <w:r>
              <w:rPr>
                <w:rFonts w:hint="default" w:ascii="Times New Roman" w:hAnsi="Times New Roman" w:eastAsia="仿宋_GB2312" w:cs="Times New Roman"/>
                <w:color w:val="000000"/>
                <w:kern w:val="0"/>
                <w:sz w:val="24"/>
                <w:szCs w:val="24"/>
                <w:lang w:eastAsia="zh-CN"/>
              </w:rPr>
              <w:t>。</w:t>
            </w:r>
          </w:p>
        </w:tc>
        <w:tc>
          <w:tcPr>
            <w:tcW w:w="1590" w:type="dxa"/>
            <w:vAlign w:val="center"/>
          </w:tcPr>
          <w:p>
            <w:pPr>
              <w:spacing w:line="280" w:lineRule="exact"/>
              <w:jc w:val="both"/>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完成20个村建设任务，并完成验收。</w:t>
            </w:r>
          </w:p>
        </w:tc>
        <w:tc>
          <w:tcPr>
            <w:tcW w:w="807"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kern w:val="2"/>
                <w:sz w:val="24"/>
                <w:szCs w:val="24"/>
                <w:vertAlign w:val="baseline"/>
                <w:lang w:val="en-US" w:eastAsia="zh-CN" w:bidi="ar-SA"/>
              </w:rPr>
            </w:pPr>
            <w:r>
              <w:rPr>
                <w:rFonts w:hint="default" w:ascii="Times New Roman" w:hAnsi="Times New Roman" w:eastAsia="仿宋_GB2312" w:cs="Times New Roman"/>
                <w:b w:val="0"/>
                <w:bCs w:val="0"/>
                <w:color w:val="000000"/>
                <w:kern w:val="0"/>
                <w:sz w:val="24"/>
                <w:szCs w:val="24"/>
                <w:lang w:val="en-US" w:eastAsia="zh-CN" w:bidi="ar-SA"/>
              </w:rPr>
              <w:t>王亚玮</w:t>
            </w:r>
          </w:p>
        </w:tc>
        <w:tc>
          <w:tcPr>
            <w:tcW w:w="1800" w:type="dxa"/>
            <w:vAlign w:val="center"/>
          </w:tcPr>
          <w:p>
            <w:pPr>
              <w:pStyle w:val="2"/>
              <w:keepNext/>
              <w:keepLines/>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baseline"/>
              <w:rPr>
                <w:rFonts w:hint="default" w:ascii="Times New Roman" w:hAnsi="Times New Roman" w:eastAsia="黑体" w:cs="Times New Roman"/>
                <w:b w:val="0"/>
                <w:bCs w:val="0"/>
                <w:color w:val="000000"/>
                <w:kern w:val="0"/>
                <w:sz w:val="24"/>
                <w:szCs w:val="24"/>
                <w:lang w:val="en-US" w:eastAsia="zh-CN"/>
              </w:rPr>
            </w:pPr>
            <w:r>
              <w:rPr>
                <w:rFonts w:hint="default" w:ascii="Times New Roman" w:hAnsi="Times New Roman" w:eastAsia="黑体" w:cs="Times New Roman"/>
                <w:b w:val="0"/>
                <w:bCs w:val="0"/>
                <w:color w:val="000000"/>
                <w:kern w:val="0"/>
                <w:sz w:val="24"/>
                <w:szCs w:val="24"/>
                <w:lang w:val="en-US" w:eastAsia="zh-CN"/>
              </w:rPr>
              <w:t>县公安局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rPr>
            </w:pPr>
            <w:r>
              <w:rPr>
                <w:rFonts w:hint="default" w:ascii="Times New Roman" w:hAnsi="Times New Roman" w:eastAsia="仿宋_GB2312" w:cs="Times New Roman"/>
                <w:b w:val="0"/>
                <w:bCs w:val="0"/>
                <w:color w:val="000000"/>
                <w:kern w:val="0"/>
                <w:sz w:val="24"/>
                <w:szCs w:val="24"/>
                <w:lang w:val="en-US" w:eastAsia="zh-CN"/>
              </w:rPr>
              <w:t>县财政局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kern w:val="2"/>
                <w:sz w:val="24"/>
                <w:szCs w:val="24"/>
                <w:vertAlign w:val="baseline"/>
                <w:lang w:val="en-US" w:eastAsia="zh-CN" w:bidi="ar-SA"/>
              </w:rPr>
            </w:pPr>
            <w:r>
              <w:rPr>
                <w:rFonts w:hint="default" w:ascii="Times New Roman" w:hAnsi="Times New Roman" w:eastAsia="仿宋_GB2312" w:cs="Times New Roman"/>
                <w:b w:val="0"/>
                <w:bCs w:val="0"/>
                <w:color w:val="000000"/>
                <w:kern w:val="0"/>
                <w:sz w:val="24"/>
                <w:szCs w:val="24"/>
                <w:lang w:val="en-US" w:eastAsia="zh-CN"/>
              </w:rPr>
              <w:t>各镇（街道）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3587" w:hRule="atLeast"/>
          <w:jc w:val="center"/>
        </w:trPr>
        <w:tc>
          <w:tcPr>
            <w:tcW w:w="632"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bidi="ar-SA"/>
              </w:rPr>
              <w:t>九</w:t>
            </w:r>
          </w:p>
        </w:tc>
        <w:tc>
          <w:tcPr>
            <w:tcW w:w="102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rPr>
              <w:t>提高农业抵御风险能力项目</w:t>
            </w:r>
          </w:p>
        </w:tc>
        <w:tc>
          <w:tcPr>
            <w:tcW w:w="147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24.</w:t>
            </w:r>
            <w:r>
              <w:rPr>
                <w:rFonts w:hint="default" w:ascii="Times New Roman" w:hAnsi="Times New Roman" w:eastAsia="仿宋_GB2312" w:cs="Times New Roman"/>
                <w:b w:val="0"/>
                <w:bCs w:val="0"/>
                <w:color w:val="000000"/>
                <w:kern w:val="0"/>
                <w:sz w:val="24"/>
                <w:szCs w:val="24"/>
              </w:rPr>
              <w:t>加大农业保险补贴力度，扩大购买农业保险覆盖面</w:t>
            </w:r>
            <w:r>
              <w:rPr>
                <w:rFonts w:hint="default" w:ascii="Times New Roman" w:hAnsi="Times New Roman" w:eastAsia="仿宋_GB2312" w:cs="Times New Roman"/>
                <w:b w:val="0"/>
                <w:bCs w:val="0"/>
                <w:color w:val="000000"/>
                <w:kern w:val="0"/>
                <w:sz w:val="24"/>
                <w:szCs w:val="24"/>
                <w:lang w:eastAsia="zh-CN"/>
              </w:rPr>
              <w:t>。</w:t>
            </w:r>
          </w:p>
        </w:tc>
        <w:tc>
          <w:tcPr>
            <w:tcW w:w="2232" w:type="dxa"/>
            <w:vAlign w:val="center"/>
          </w:tcPr>
          <w:p>
            <w:pPr>
              <w:spacing w:line="280" w:lineRule="exact"/>
              <w:jc w:val="both"/>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sz w:val="24"/>
                <w:szCs w:val="24"/>
              </w:rPr>
              <w:t>加强组织领导，</w:t>
            </w:r>
            <w:r>
              <w:rPr>
                <w:rFonts w:hint="default" w:ascii="Times New Roman" w:hAnsi="Times New Roman" w:eastAsia="仿宋_GB2312" w:cs="Times New Roman"/>
                <w:bCs/>
                <w:sz w:val="24"/>
                <w:szCs w:val="24"/>
              </w:rPr>
              <w:t>调整充实县农业保险工作小组，抓好工作协调</w:t>
            </w:r>
            <w:r>
              <w:rPr>
                <w:rFonts w:hint="default" w:ascii="Times New Roman" w:hAnsi="Times New Roman" w:eastAsia="仿宋_GB2312" w:cs="Times New Roman"/>
                <w:bCs/>
                <w:sz w:val="24"/>
                <w:szCs w:val="24"/>
                <w:lang w:eastAsia="zh-CN"/>
              </w:rPr>
              <w:t>；</w:t>
            </w:r>
            <w:r>
              <w:rPr>
                <w:rFonts w:hint="default" w:ascii="Times New Roman" w:hAnsi="Times New Roman" w:eastAsia="仿宋_GB2312" w:cs="Times New Roman"/>
                <w:sz w:val="24"/>
                <w:szCs w:val="24"/>
              </w:rPr>
              <w:t>强化政策宣传，</w:t>
            </w:r>
            <w:r>
              <w:rPr>
                <w:rFonts w:hint="default" w:ascii="Times New Roman" w:hAnsi="Times New Roman" w:eastAsia="仿宋_GB2312" w:cs="Times New Roman"/>
                <w:bCs/>
                <w:sz w:val="24"/>
                <w:szCs w:val="24"/>
              </w:rPr>
              <w:t>引导广大农户自愿投保，提高各险种投保率。</w:t>
            </w:r>
            <w:r>
              <w:rPr>
                <w:rFonts w:hint="eastAsia" w:ascii="仿宋_GB2312" w:hAnsi="仿宋_GB2312" w:eastAsia="仿宋_GB2312" w:cs="仿宋_GB2312"/>
                <w:sz w:val="24"/>
                <w:szCs w:val="32"/>
              </w:rPr>
              <w:t>加</w:t>
            </w:r>
            <w:r>
              <w:rPr>
                <w:rFonts w:hint="eastAsia" w:ascii="仿宋_GB2312" w:hAnsi="仿宋_GB2312" w:eastAsia="仿宋_GB2312" w:cs="仿宋_GB2312"/>
                <w:sz w:val="24"/>
                <w:szCs w:val="24"/>
              </w:rPr>
              <w:t>大监</w:t>
            </w:r>
            <w:r>
              <w:rPr>
                <w:rFonts w:hint="default" w:ascii="Times New Roman" w:hAnsi="Times New Roman" w:eastAsia="仿宋_GB2312" w:cs="Times New Roman"/>
                <w:sz w:val="24"/>
                <w:szCs w:val="24"/>
              </w:rPr>
              <w:t>督考核</w:t>
            </w:r>
            <w:r>
              <w:rPr>
                <w:rFonts w:hint="default" w:ascii="Times New Roman" w:hAnsi="Times New Roman" w:eastAsia="仿宋_GB2312" w:cs="Times New Roman"/>
                <w:bCs/>
                <w:sz w:val="24"/>
                <w:szCs w:val="24"/>
              </w:rPr>
              <w:t>，</w:t>
            </w:r>
            <w:r>
              <w:rPr>
                <w:rFonts w:hint="default" w:ascii="Times New Roman" w:hAnsi="Times New Roman" w:eastAsia="仿宋_GB2312" w:cs="Times New Roman"/>
                <w:sz w:val="24"/>
                <w:szCs w:val="32"/>
              </w:rPr>
              <w:t>纳入县对镇（街道）工作考核，加强监督，实行周调度、通报制度，及时通报进度，督促工作推进。</w:t>
            </w:r>
          </w:p>
        </w:tc>
        <w:tc>
          <w:tcPr>
            <w:tcW w:w="1653" w:type="dxa"/>
            <w:vAlign w:val="center"/>
          </w:tcPr>
          <w:p>
            <w:pPr>
              <w:spacing w:line="280" w:lineRule="exact"/>
              <w:jc w:val="both"/>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rPr>
              <w:t>全面完成小麦入保工作，安排部署苹果、桃、大樱桃、葡萄、日光温室等险种承保工作。</w:t>
            </w:r>
          </w:p>
        </w:tc>
        <w:tc>
          <w:tcPr>
            <w:tcW w:w="1620" w:type="dxa"/>
            <w:vAlign w:val="center"/>
          </w:tcPr>
          <w:p>
            <w:pPr>
              <w:spacing w:line="280" w:lineRule="exact"/>
              <w:jc w:val="both"/>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rPr>
              <w:t>基本完成苹果、桃、大樱桃、葡萄、日光温室入保工作</w:t>
            </w:r>
            <w:r>
              <w:rPr>
                <w:rFonts w:hint="default" w:ascii="Times New Roman" w:hAnsi="Times New Roman" w:eastAsia="仿宋_GB2312" w:cs="Times New Roman"/>
                <w:bCs/>
                <w:sz w:val="24"/>
                <w:szCs w:val="24"/>
                <w:lang w:eastAsia="zh-CN"/>
              </w:rPr>
              <w:t>。</w:t>
            </w:r>
          </w:p>
        </w:tc>
        <w:tc>
          <w:tcPr>
            <w:tcW w:w="1530" w:type="dxa"/>
            <w:vAlign w:val="center"/>
          </w:tcPr>
          <w:p>
            <w:pPr>
              <w:spacing w:line="280" w:lineRule="exact"/>
              <w:jc w:val="both"/>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rPr>
              <w:t>全面完成玉米入保工作</w:t>
            </w:r>
            <w:r>
              <w:rPr>
                <w:rFonts w:hint="default" w:ascii="Times New Roman" w:hAnsi="Times New Roman" w:eastAsia="仿宋_GB2312" w:cs="Times New Roman"/>
                <w:bCs/>
                <w:sz w:val="24"/>
                <w:szCs w:val="24"/>
                <w:lang w:eastAsia="zh-CN"/>
              </w:rPr>
              <w:t>。</w:t>
            </w:r>
          </w:p>
        </w:tc>
        <w:tc>
          <w:tcPr>
            <w:tcW w:w="1590" w:type="dxa"/>
            <w:vAlign w:val="center"/>
          </w:tcPr>
          <w:p>
            <w:pPr>
              <w:spacing w:line="280" w:lineRule="exact"/>
              <w:jc w:val="both"/>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rPr>
              <w:t>全力抓好政策性农业保险理赔工作，确保政策性农业保险落到实处</w:t>
            </w:r>
            <w:r>
              <w:rPr>
                <w:rFonts w:hint="default" w:ascii="Times New Roman" w:hAnsi="Times New Roman" w:eastAsia="仿宋_GB2312" w:cs="Times New Roman"/>
                <w:bCs/>
                <w:sz w:val="24"/>
                <w:szCs w:val="24"/>
                <w:lang w:eastAsia="zh-CN"/>
              </w:rPr>
              <w:t>。</w:t>
            </w:r>
          </w:p>
        </w:tc>
        <w:tc>
          <w:tcPr>
            <w:tcW w:w="807"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bidi="ar-SA"/>
              </w:rPr>
              <w:t>张志东</w:t>
            </w:r>
          </w:p>
        </w:tc>
        <w:tc>
          <w:tcPr>
            <w:tcW w:w="1800" w:type="dxa"/>
            <w:vAlign w:val="center"/>
          </w:tcPr>
          <w:p>
            <w:pPr>
              <w:pStyle w:val="2"/>
              <w:keepNext/>
              <w:keepLines/>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baseline"/>
              <w:rPr>
                <w:rFonts w:hint="default" w:ascii="Times New Roman" w:hAnsi="Times New Roman" w:eastAsia="黑体" w:cs="Times New Roman"/>
                <w:b w:val="0"/>
                <w:bCs w:val="0"/>
                <w:color w:val="000000"/>
                <w:kern w:val="0"/>
                <w:sz w:val="24"/>
                <w:szCs w:val="24"/>
                <w:lang w:val="en-US" w:eastAsia="zh-CN"/>
              </w:rPr>
            </w:pPr>
            <w:r>
              <w:rPr>
                <w:rFonts w:hint="default" w:ascii="Times New Roman" w:hAnsi="Times New Roman" w:eastAsia="黑体" w:cs="Times New Roman"/>
                <w:b w:val="0"/>
                <w:bCs w:val="0"/>
                <w:color w:val="000000"/>
                <w:kern w:val="0"/>
                <w:sz w:val="24"/>
                <w:szCs w:val="24"/>
                <w:lang w:val="en-US" w:eastAsia="zh-CN"/>
              </w:rPr>
              <w:t>县农业农村局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rPr>
            </w:pPr>
            <w:r>
              <w:rPr>
                <w:rFonts w:hint="default" w:ascii="Times New Roman" w:hAnsi="Times New Roman" w:eastAsia="仿宋_GB2312" w:cs="Times New Roman"/>
                <w:b w:val="0"/>
                <w:bCs w:val="0"/>
                <w:color w:val="000000"/>
                <w:kern w:val="0"/>
                <w:sz w:val="24"/>
                <w:szCs w:val="24"/>
                <w:lang w:val="en-US" w:eastAsia="zh-CN"/>
              </w:rPr>
              <w:t>县财政局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各镇（街道）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7336" w:hRule="atLeast"/>
          <w:jc w:val="center"/>
        </w:trPr>
        <w:tc>
          <w:tcPr>
            <w:tcW w:w="632"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bidi="ar-SA"/>
              </w:rPr>
              <w:t>十</w:t>
            </w:r>
          </w:p>
        </w:tc>
        <w:tc>
          <w:tcPr>
            <w:tcW w:w="102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rPr>
              <w:t>提升市民生活便利度项目</w:t>
            </w:r>
          </w:p>
        </w:tc>
        <w:tc>
          <w:tcPr>
            <w:tcW w:w="1473" w:type="dxa"/>
            <w:vAlign w:val="center"/>
          </w:tcPr>
          <w:p>
            <w:pPr>
              <w:pStyle w:val="2"/>
              <w:keepNext/>
              <w:keepLines/>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baseline"/>
              <w:rPr>
                <w:rFonts w:hint="default" w:ascii="Times New Roman" w:hAnsi="Times New Roman" w:eastAsia="仿宋_GB2312" w:cs="Times New Roman"/>
                <w:b w:val="0"/>
                <w:bCs w:val="0"/>
                <w:color w:val="000000"/>
                <w:kern w:val="0"/>
                <w:sz w:val="24"/>
                <w:szCs w:val="24"/>
                <w:lang w:eastAsia="zh-CN"/>
              </w:rPr>
            </w:pPr>
            <w:r>
              <w:rPr>
                <w:rFonts w:hint="default" w:ascii="Times New Roman" w:hAnsi="Times New Roman" w:eastAsia="仿宋_GB2312" w:cs="Times New Roman"/>
                <w:b w:val="0"/>
                <w:bCs w:val="0"/>
                <w:color w:val="000000"/>
                <w:kern w:val="0"/>
                <w:sz w:val="24"/>
                <w:szCs w:val="24"/>
                <w:lang w:val="en-US" w:eastAsia="zh-CN"/>
              </w:rPr>
              <w:t>25.</w:t>
            </w:r>
            <w:r>
              <w:rPr>
                <w:rFonts w:hint="default" w:ascii="Times New Roman" w:hAnsi="Times New Roman" w:eastAsia="仿宋_GB2312" w:cs="Times New Roman"/>
                <w:b w:val="0"/>
                <w:bCs w:val="0"/>
                <w:color w:val="000000"/>
                <w:kern w:val="0"/>
                <w:sz w:val="24"/>
                <w:szCs w:val="24"/>
              </w:rPr>
              <w:t>对西台、儒林集等6处城区农贸市场进行规范化、数字化改造</w:t>
            </w:r>
            <w:r>
              <w:rPr>
                <w:rFonts w:hint="default" w:ascii="Times New Roman" w:hAnsi="Times New Roman" w:eastAsia="仿宋_GB2312" w:cs="Times New Roman"/>
                <w:b w:val="0"/>
                <w:bCs w:val="0"/>
                <w:color w:val="000000"/>
                <w:kern w:val="0"/>
                <w:sz w:val="24"/>
                <w:szCs w:val="24"/>
                <w:lang w:eastAsia="zh-CN"/>
              </w:rPr>
              <w:t>。</w:t>
            </w:r>
          </w:p>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方正小标宋简体" w:cs="Times New Roman"/>
                <w:b w:val="0"/>
                <w:bCs/>
                <w:sz w:val="24"/>
                <w:szCs w:val="24"/>
                <w:vertAlign w:val="baseline"/>
                <w:lang w:val="en-US" w:eastAsia="zh-CN"/>
              </w:rPr>
            </w:pPr>
          </w:p>
        </w:tc>
        <w:tc>
          <w:tcPr>
            <w:tcW w:w="2232" w:type="dxa"/>
            <w:vAlign w:val="center"/>
          </w:tcPr>
          <w:p>
            <w:pPr>
              <w:spacing w:line="280" w:lineRule="exact"/>
              <w:jc w:val="both"/>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成立领导小组，研究解决农贸市场建设和改造提升工作涉及的重大问题；明确市场开办方、属地街道、各相关部门责任分工，督促各街道成立工作专班，制定“时间表”、明确“路线图”，倒排工期、挂图作战；强化长效管理，加强对农贸市场管理工作的指导；严格调度督查，建立项目跟踪落实责任制，倒逼工作提速增效，加快推进全县城区农贸市场改造提升;加强财政支持，对6处城区农贸市场改造提升试点，经相关部门验收合格后，采取先建后补方式出台配套奖励政策。</w:t>
            </w:r>
          </w:p>
        </w:tc>
        <w:tc>
          <w:tcPr>
            <w:tcW w:w="1653" w:type="dxa"/>
            <w:vAlign w:val="center"/>
          </w:tcPr>
          <w:p>
            <w:pPr>
              <w:spacing w:line="280" w:lineRule="exact"/>
              <w:jc w:val="both"/>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对全县城区农贸市场进行排查摸底，制定全县城区农贸市场改造提升总体方案；城区各街道制定辖区内农贸市场改造提升方案及每处农贸市场改造提升子方案，形成“1+N”农贸市场改造提升方案体系。</w:t>
            </w:r>
          </w:p>
        </w:tc>
        <w:tc>
          <w:tcPr>
            <w:tcW w:w="1620" w:type="dxa"/>
            <w:vAlign w:val="center"/>
          </w:tcPr>
          <w:p>
            <w:pPr>
              <w:spacing w:line="280" w:lineRule="exact"/>
              <w:jc w:val="both"/>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指导督促西台、成和、世纪新城等6处城区农贸市场按照方案实施改造升，力争6月底前全县农贸市场改造提升工作基本完成，并取得明显成效。</w:t>
            </w:r>
          </w:p>
        </w:tc>
        <w:tc>
          <w:tcPr>
            <w:tcW w:w="1530" w:type="dxa"/>
            <w:vAlign w:val="center"/>
          </w:tcPr>
          <w:p>
            <w:pPr>
              <w:spacing w:line="280" w:lineRule="exact"/>
              <w:jc w:val="both"/>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对城区农贸市场改造提升情况进行现场排查，对在改造提升中发现的问题、存在的不足和各级各部门反馈的意见进行归纳梳理，制定整改方案，进行再巩固、再完善。</w:t>
            </w:r>
          </w:p>
        </w:tc>
        <w:tc>
          <w:tcPr>
            <w:tcW w:w="1590" w:type="dxa"/>
            <w:vAlign w:val="center"/>
          </w:tcPr>
          <w:p>
            <w:pPr>
              <w:spacing w:line="280" w:lineRule="exact"/>
              <w:jc w:val="both"/>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改造提升项目完工后，按照提升要求，开展项目现场验收。</w:t>
            </w:r>
          </w:p>
        </w:tc>
        <w:tc>
          <w:tcPr>
            <w:tcW w:w="807"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宋传伟</w:t>
            </w:r>
          </w:p>
        </w:tc>
        <w:tc>
          <w:tcPr>
            <w:tcW w:w="1800"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rPr>
            </w:pPr>
            <w:r>
              <w:rPr>
                <w:rFonts w:hint="default" w:ascii="Times New Roman" w:hAnsi="Times New Roman" w:eastAsia="黑体" w:cs="Times New Roman"/>
                <w:b w:val="0"/>
                <w:bCs w:val="0"/>
                <w:color w:val="000000"/>
                <w:kern w:val="0"/>
                <w:sz w:val="24"/>
                <w:szCs w:val="24"/>
                <w:lang w:val="en-US" w:eastAsia="zh-CN"/>
              </w:rPr>
              <w:t>县商务局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color w:val="000000"/>
                <w:kern w:val="0"/>
                <w:sz w:val="24"/>
                <w:szCs w:val="24"/>
                <w:lang w:val="en-US" w:eastAsia="zh-CN"/>
              </w:rPr>
            </w:pPr>
            <w:r>
              <w:rPr>
                <w:rFonts w:hint="default" w:ascii="Times New Roman" w:hAnsi="Times New Roman" w:eastAsia="仿宋_GB2312" w:cs="Times New Roman"/>
                <w:b w:val="0"/>
                <w:bCs w:val="0"/>
                <w:color w:val="000000"/>
                <w:kern w:val="0"/>
                <w:sz w:val="24"/>
                <w:szCs w:val="24"/>
                <w:lang w:val="en-US" w:eastAsia="zh-CN"/>
              </w:rPr>
              <w:t>南麻街道</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历山街道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3" w:type="dxa"/>
            <w:bottom w:w="28" w:type="dxa"/>
            <w:right w:w="23" w:type="dxa"/>
          </w:tblCellMar>
        </w:tblPrEx>
        <w:trPr>
          <w:trHeight w:val="567" w:hRule="atLeast"/>
          <w:jc w:val="center"/>
        </w:trPr>
        <w:tc>
          <w:tcPr>
            <w:tcW w:w="632"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bidi="ar-SA"/>
              </w:rPr>
              <w:t>十</w:t>
            </w:r>
          </w:p>
        </w:tc>
        <w:tc>
          <w:tcPr>
            <w:tcW w:w="1020"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rPr>
              <w:t>提升市民生活便利度项目</w:t>
            </w:r>
          </w:p>
        </w:tc>
        <w:tc>
          <w:tcPr>
            <w:tcW w:w="1473" w:type="dxa"/>
            <w:vAlign w:val="center"/>
          </w:tcPr>
          <w:p>
            <w:pPr>
              <w:pageBreakBefore w:val="0"/>
              <w:widowControl w:val="0"/>
              <w:kinsoku/>
              <w:wordWrap/>
              <w:overflowPunct/>
              <w:topLinePunct w:val="0"/>
              <w:autoSpaceDE/>
              <w:autoSpaceDN/>
              <w:bidi w:val="0"/>
              <w:adjustRightInd/>
              <w:snapToGrid/>
              <w:spacing w:line="280" w:lineRule="exact"/>
              <w:jc w:val="both"/>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26.</w:t>
            </w:r>
            <w:r>
              <w:rPr>
                <w:rFonts w:hint="default" w:ascii="Times New Roman" w:hAnsi="Times New Roman" w:eastAsia="仿宋_GB2312" w:cs="Times New Roman"/>
                <w:b w:val="0"/>
                <w:bCs w:val="0"/>
                <w:color w:val="000000"/>
                <w:kern w:val="0"/>
                <w:sz w:val="24"/>
                <w:szCs w:val="24"/>
              </w:rPr>
              <w:t>新建500处食品质量快检点，保障“舌尖上的安全”。</w:t>
            </w:r>
          </w:p>
        </w:tc>
        <w:tc>
          <w:tcPr>
            <w:tcW w:w="2232" w:type="dxa"/>
            <w:vAlign w:val="center"/>
          </w:tcPr>
          <w:p>
            <w:pPr>
              <w:spacing w:line="280" w:lineRule="exact"/>
              <w:jc w:val="both"/>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对全县食品业态进行调查摸底，确定快检室设置点；积极争取资金，出台快检室建设激励政策；协调有关食品快检设备生产企业，争取设备购进优惠条件；与软件公司共同研发快检信息共享平台软件，制定全县快检工作制度；对食品快检检测人员进行业务培训；组织快检室正常运行，发挥快检检测筛查作用，建立食品检测长效机制。</w:t>
            </w:r>
          </w:p>
          <w:p>
            <w:pPr>
              <w:spacing w:line="280" w:lineRule="exact"/>
              <w:jc w:val="both"/>
              <w:rPr>
                <w:rFonts w:hint="default" w:ascii="Times New Roman" w:hAnsi="Times New Roman" w:eastAsia="仿宋_GB2312" w:cs="Times New Roman"/>
                <w:bCs/>
                <w:sz w:val="24"/>
                <w:szCs w:val="24"/>
                <w:lang w:val="en-US" w:eastAsia="zh-CN"/>
              </w:rPr>
            </w:pPr>
          </w:p>
        </w:tc>
        <w:tc>
          <w:tcPr>
            <w:tcW w:w="1653" w:type="dxa"/>
            <w:vAlign w:val="center"/>
          </w:tcPr>
          <w:p>
            <w:pPr>
              <w:spacing w:line="280" w:lineRule="exact"/>
              <w:jc w:val="both"/>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对全县食品业态进行调查摸底，确定食品快检室设置点；积极筹措资金，出台快检室建设激励政策。</w:t>
            </w:r>
          </w:p>
        </w:tc>
        <w:tc>
          <w:tcPr>
            <w:tcW w:w="1620" w:type="dxa"/>
            <w:vAlign w:val="center"/>
          </w:tcPr>
          <w:p>
            <w:pPr>
              <w:spacing w:line="280" w:lineRule="exact"/>
              <w:jc w:val="both"/>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协调有关食品快检设备生产企业，争取设备购进优惠条件；与软件公司共同研发快检检测软件，制定运营制度；组织对食品快检检测人员进行业务培训。</w:t>
            </w:r>
          </w:p>
        </w:tc>
        <w:tc>
          <w:tcPr>
            <w:tcW w:w="1530" w:type="dxa"/>
            <w:vAlign w:val="center"/>
          </w:tcPr>
          <w:p>
            <w:pPr>
              <w:spacing w:line="280" w:lineRule="exact"/>
              <w:jc w:val="both"/>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督查学校幼儿园食堂、大中型商超、基层市场监管所、镇</w:t>
            </w:r>
            <w:r>
              <w:rPr>
                <w:rFonts w:hint="eastAsia" w:ascii="Times New Roman" w:hAnsi="Times New Roman" w:eastAsia="仿宋_GB2312" w:cs="Times New Roman"/>
                <w:bCs/>
                <w:sz w:val="24"/>
                <w:szCs w:val="24"/>
                <w:lang w:val="en-US" w:eastAsia="zh-CN"/>
              </w:rPr>
              <w:t>（街道）</w:t>
            </w:r>
            <w:r>
              <w:rPr>
                <w:rFonts w:hint="default" w:ascii="Times New Roman" w:hAnsi="Times New Roman" w:eastAsia="仿宋_GB2312" w:cs="Times New Roman"/>
                <w:bCs/>
                <w:sz w:val="24"/>
                <w:szCs w:val="24"/>
                <w:lang w:val="en-US" w:eastAsia="zh-CN"/>
              </w:rPr>
              <w:t>农产品质检等单位的食品快检室建设情况；力争完成全县70%以上快检室建设并逐步投入运行。</w:t>
            </w:r>
          </w:p>
        </w:tc>
        <w:tc>
          <w:tcPr>
            <w:tcW w:w="1590" w:type="dxa"/>
            <w:vAlign w:val="center"/>
          </w:tcPr>
          <w:p>
            <w:pPr>
              <w:spacing w:line="280" w:lineRule="exact"/>
              <w:jc w:val="both"/>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力争完成计划内快检室建设和全面运行工作；对全县食品快检室建设和运行情况进行督导；对全县食品快检运行机制进行调研，建立食品检测长效机制，发挥快检检测筛查作用，确保</w:t>
            </w:r>
            <w:r>
              <w:rPr>
                <w:rFonts w:hint="eastAsia" w:ascii="Times New Roman" w:hAnsi="Times New Roman" w:eastAsia="仿宋_GB2312" w:cs="Times New Roman"/>
                <w:bCs/>
                <w:sz w:val="24"/>
                <w:szCs w:val="24"/>
                <w:lang w:val="en-US" w:eastAsia="zh-CN"/>
              </w:rPr>
              <w:t>群众</w:t>
            </w:r>
            <w:r>
              <w:rPr>
                <w:rFonts w:hint="default" w:ascii="Times New Roman" w:hAnsi="Times New Roman" w:eastAsia="仿宋_GB2312" w:cs="Times New Roman"/>
                <w:bCs/>
                <w:sz w:val="24"/>
                <w:szCs w:val="24"/>
                <w:lang w:val="en-US" w:eastAsia="zh-CN"/>
              </w:rPr>
              <w:t>“舌尖上的食品安全”。</w:t>
            </w:r>
          </w:p>
        </w:tc>
        <w:tc>
          <w:tcPr>
            <w:tcW w:w="807" w:type="dxa"/>
            <w:vAlign w:val="center"/>
          </w:tcPr>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宋传伟</w:t>
            </w:r>
          </w:p>
        </w:tc>
        <w:tc>
          <w:tcPr>
            <w:tcW w:w="1800" w:type="dxa"/>
            <w:vAlign w:val="center"/>
          </w:tcPr>
          <w:p>
            <w:pPr>
              <w:pStyle w:val="2"/>
              <w:keepNext/>
              <w:keepLines/>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baseline"/>
              <w:rPr>
                <w:rFonts w:hint="default" w:ascii="Times New Roman" w:hAnsi="Times New Roman" w:eastAsia="黑体" w:cs="Times New Roman"/>
                <w:b w:val="0"/>
                <w:bCs w:val="0"/>
                <w:color w:val="000000"/>
                <w:kern w:val="0"/>
                <w:sz w:val="24"/>
                <w:szCs w:val="24"/>
                <w:lang w:val="en-US" w:eastAsia="zh-CN"/>
              </w:rPr>
            </w:pPr>
            <w:r>
              <w:rPr>
                <w:rFonts w:hint="default" w:ascii="Times New Roman" w:hAnsi="Times New Roman" w:eastAsia="黑体" w:cs="Times New Roman"/>
                <w:b w:val="0"/>
                <w:bCs w:val="0"/>
                <w:color w:val="000000"/>
                <w:kern w:val="0"/>
                <w:sz w:val="24"/>
                <w:szCs w:val="24"/>
                <w:lang w:val="en-US" w:eastAsia="zh-CN"/>
              </w:rPr>
              <w:t>县市场监管局</w:t>
            </w:r>
          </w:p>
          <w:p>
            <w:pPr>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小标宋简体" w:cs="Times New Roman"/>
                <w:b w:val="0"/>
                <w:bCs/>
                <w:sz w:val="24"/>
                <w:szCs w:val="24"/>
                <w:vertAlign w:val="baseline"/>
                <w:lang w:val="en-US" w:eastAsia="zh-CN"/>
              </w:rPr>
            </w:pPr>
            <w:r>
              <w:rPr>
                <w:rFonts w:hint="default" w:ascii="Times New Roman" w:hAnsi="Times New Roman" w:eastAsia="仿宋_GB2312" w:cs="Times New Roman"/>
                <w:b w:val="0"/>
                <w:bCs w:val="0"/>
                <w:color w:val="000000"/>
                <w:kern w:val="0"/>
                <w:sz w:val="24"/>
                <w:szCs w:val="24"/>
                <w:lang w:val="en-US" w:eastAsia="zh-CN"/>
              </w:rPr>
              <w:t>各镇</w:t>
            </w:r>
            <w:r>
              <w:rPr>
                <w:rFonts w:hint="eastAsia" w:ascii="Times New Roman" w:hAnsi="Times New Roman" w:eastAsia="仿宋_GB2312" w:cs="Times New Roman"/>
                <w:b w:val="0"/>
                <w:bCs w:val="0"/>
                <w:color w:val="000000"/>
                <w:kern w:val="0"/>
                <w:sz w:val="24"/>
                <w:szCs w:val="24"/>
                <w:lang w:val="en-US" w:eastAsia="zh-CN"/>
              </w:rPr>
              <w:t>、</w:t>
            </w:r>
            <w:r>
              <w:rPr>
                <w:rFonts w:hint="default" w:ascii="Times New Roman" w:hAnsi="Times New Roman" w:eastAsia="仿宋_GB2312" w:cs="Times New Roman"/>
                <w:b w:val="0"/>
                <w:bCs w:val="0"/>
                <w:color w:val="000000"/>
                <w:kern w:val="0"/>
                <w:sz w:val="24"/>
                <w:szCs w:val="24"/>
                <w:lang w:val="en-US" w:eastAsia="zh-CN"/>
              </w:rPr>
              <w:t>街道</w:t>
            </w:r>
          </w:p>
        </w:tc>
      </w:tr>
    </w:tbl>
    <w:p>
      <w:pPr>
        <w:pageBreakBefore w:val="0"/>
        <w:widowControl w:val="0"/>
        <w:kinsoku/>
        <w:wordWrap/>
        <w:overflowPunct/>
        <w:topLinePunct w:val="0"/>
        <w:autoSpaceDE/>
        <w:autoSpaceDN/>
        <w:bidi w:val="0"/>
        <w:adjustRightInd/>
        <w:snapToGrid/>
        <w:spacing w:line="280" w:lineRule="exact"/>
        <w:jc w:val="center"/>
        <w:rPr>
          <w:rFonts w:hint="eastAsia" w:ascii="方正小标宋简体" w:hAnsi="方正小标宋简体" w:eastAsia="方正小标宋简体" w:cs="方正小标宋简体"/>
          <w:b w:val="0"/>
          <w:bCs/>
          <w:sz w:val="24"/>
          <w:szCs w:val="24"/>
          <w:lang w:val="en-US" w:eastAsia="zh-CN"/>
        </w:rPr>
      </w:pPr>
    </w:p>
    <w:p>
      <w:pPr>
        <w:pStyle w:val="2"/>
        <w:rPr>
          <w:rFonts w:hint="eastAsia"/>
          <w:lang w:val="en-US" w:eastAsia="zh-CN"/>
        </w:rPr>
      </w:pPr>
    </w:p>
    <w:p>
      <w:pPr>
        <w:pStyle w:val="2"/>
        <w:jc w:val="center"/>
        <w:rPr>
          <w:rFonts w:hint="default" w:eastAsia="楷体_GB2312"/>
          <w:b w:val="0"/>
          <w:bCs w:val="0"/>
          <w:lang w:val="en-US" w:eastAsia="zh-CN"/>
        </w:rPr>
        <w:sectPr>
          <w:pgSz w:w="16838" w:h="11906" w:orient="landscape"/>
          <w:pgMar w:top="1800" w:right="1361" w:bottom="1800" w:left="1361" w:header="851" w:footer="992" w:gutter="0"/>
          <w:cols w:space="425" w:num="1"/>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方正小标宋简体" w:hAnsi="方正小标宋简体" w:eastAsia="方正小标宋简体" w:cs="方正小标宋简体"/>
          <w:b w:val="0"/>
          <w:bCs/>
          <w:sz w:val="44"/>
          <w:szCs w:val="44"/>
          <w:vertAlign w:val="baseline"/>
          <w:lang w:val="en-US" w:eastAsia="zh-CN"/>
        </w:rPr>
      </w:pPr>
      <w:r>
        <w:rPr>
          <w:rFonts w:hint="eastAsia" w:ascii="方正小标宋简体" w:hAnsi="方正小标宋简体" w:eastAsia="方正小标宋简体" w:cs="方正小标宋简体"/>
          <w:b w:val="0"/>
          <w:bCs/>
          <w:sz w:val="44"/>
          <w:szCs w:val="44"/>
          <w:lang w:val="en-US" w:eastAsia="zh-CN"/>
        </w:rPr>
        <w:t>2021年度沂源县重大民生实事项目进展情况调度表</w:t>
      </w:r>
    </w:p>
    <w:tbl>
      <w:tblPr>
        <w:tblStyle w:val="9"/>
        <w:tblW w:w="137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2299"/>
        <w:gridCol w:w="2073"/>
        <w:gridCol w:w="1848"/>
        <w:gridCol w:w="2269"/>
        <w:gridCol w:w="2660"/>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292" w:type="dxa"/>
            <w:vAlign w:val="center"/>
          </w:tcPr>
          <w:p>
            <w:pPr>
              <w:pStyle w:val="2"/>
              <w:ind w:left="0" w:leftChars="0" w:firstLine="0" w:firstLineChars="0"/>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序号</w:t>
            </w:r>
          </w:p>
        </w:tc>
        <w:tc>
          <w:tcPr>
            <w:tcW w:w="2299" w:type="dxa"/>
            <w:vAlign w:val="center"/>
          </w:tcPr>
          <w:p>
            <w:pPr>
              <w:pStyle w:val="2"/>
              <w:ind w:left="0" w:leftChars="0" w:firstLine="0" w:firstLineChars="0"/>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项目名称</w:t>
            </w:r>
          </w:p>
        </w:tc>
        <w:tc>
          <w:tcPr>
            <w:tcW w:w="2073" w:type="dxa"/>
            <w:vAlign w:val="center"/>
          </w:tcPr>
          <w:p>
            <w:pPr>
              <w:pStyle w:val="2"/>
              <w:ind w:left="0" w:leftChars="0" w:firstLine="0" w:firstLineChars="0"/>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主要任务</w:t>
            </w:r>
          </w:p>
        </w:tc>
        <w:tc>
          <w:tcPr>
            <w:tcW w:w="1848" w:type="dxa"/>
            <w:vAlign w:val="center"/>
          </w:tcPr>
          <w:p>
            <w:pPr>
              <w:pStyle w:val="2"/>
              <w:ind w:left="0" w:leftChars="0" w:firstLine="0" w:firstLineChars="0"/>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责任部门</w:t>
            </w:r>
          </w:p>
        </w:tc>
        <w:tc>
          <w:tcPr>
            <w:tcW w:w="2269" w:type="dxa"/>
            <w:vAlign w:val="center"/>
          </w:tcPr>
          <w:p>
            <w:pPr>
              <w:pStyle w:val="2"/>
              <w:ind w:left="0" w:leftChars="0" w:firstLine="0" w:firstLineChars="0"/>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总体进展情况</w:t>
            </w:r>
          </w:p>
        </w:tc>
        <w:tc>
          <w:tcPr>
            <w:tcW w:w="2660" w:type="dxa"/>
            <w:vAlign w:val="center"/>
          </w:tcPr>
          <w:p>
            <w:pPr>
              <w:pStyle w:val="2"/>
              <w:ind w:left="0" w:leftChars="0" w:firstLine="0" w:firstLineChars="0"/>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当月进展情况</w:t>
            </w:r>
          </w:p>
        </w:tc>
        <w:tc>
          <w:tcPr>
            <w:tcW w:w="1316" w:type="dxa"/>
            <w:vAlign w:val="center"/>
          </w:tcPr>
          <w:p>
            <w:pPr>
              <w:pStyle w:val="2"/>
              <w:ind w:left="0" w:leftChars="0" w:firstLine="0" w:firstLineChars="0"/>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292" w:type="dxa"/>
            <w:vAlign w:val="center"/>
          </w:tcPr>
          <w:p>
            <w:pPr>
              <w:pStyle w:val="2"/>
              <w:jc w:val="center"/>
              <w:rPr>
                <w:rFonts w:hint="default"/>
                <w:sz w:val="28"/>
                <w:szCs w:val="28"/>
                <w:vertAlign w:val="baseline"/>
                <w:lang w:val="en-US" w:eastAsia="zh-CN"/>
              </w:rPr>
            </w:pPr>
          </w:p>
        </w:tc>
        <w:tc>
          <w:tcPr>
            <w:tcW w:w="2299" w:type="dxa"/>
            <w:vAlign w:val="center"/>
          </w:tcPr>
          <w:p>
            <w:pPr>
              <w:pStyle w:val="2"/>
              <w:jc w:val="center"/>
              <w:rPr>
                <w:rFonts w:hint="default"/>
                <w:sz w:val="28"/>
                <w:szCs w:val="28"/>
                <w:vertAlign w:val="baseline"/>
                <w:lang w:val="en-US" w:eastAsia="zh-CN"/>
              </w:rPr>
            </w:pPr>
          </w:p>
        </w:tc>
        <w:tc>
          <w:tcPr>
            <w:tcW w:w="2073" w:type="dxa"/>
            <w:vAlign w:val="center"/>
          </w:tcPr>
          <w:p>
            <w:pPr>
              <w:pStyle w:val="2"/>
              <w:jc w:val="center"/>
              <w:rPr>
                <w:rFonts w:hint="default"/>
                <w:sz w:val="28"/>
                <w:szCs w:val="28"/>
                <w:vertAlign w:val="baseline"/>
                <w:lang w:val="en-US" w:eastAsia="zh-CN"/>
              </w:rPr>
            </w:pPr>
          </w:p>
        </w:tc>
        <w:tc>
          <w:tcPr>
            <w:tcW w:w="1848" w:type="dxa"/>
            <w:vAlign w:val="center"/>
          </w:tcPr>
          <w:p>
            <w:pPr>
              <w:pStyle w:val="2"/>
              <w:jc w:val="center"/>
              <w:rPr>
                <w:rFonts w:hint="default"/>
                <w:sz w:val="28"/>
                <w:szCs w:val="28"/>
                <w:vertAlign w:val="baseline"/>
                <w:lang w:val="en-US" w:eastAsia="zh-CN"/>
              </w:rPr>
            </w:pPr>
          </w:p>
        </w:tc>
        <w:tc>
          <w:tcPr>
            <w:tcW w:w="2269" w:type="dxa"/>
            <w:vAlign w:val="center"/>
          </w:tcPr>
          <w:p>
            <w:pPr>
              <w:pStyle w:val="2"/>
              <w:jc w:val="center"/>
              <w:rPr>
                <w:rFonts w:hint="default"/>
                <w:sz w:val="28"/>
                <w:szCs w:val="28"/>
                <w:vertAlign w:val="baseline"/>
                <w:lang w:val="en-US" w:eastAsia="zh-CN"/>
              </w:rPr>
            </w:pPr>
          </w:p>
        </w:tc>
        <w:tc>
          <w:tcPr>
            <w:tcW w:w="2660" w:type="dxa"/>
            <w:vAlign w:val="center"/>
          </w:tcPr>
          <w:p>
            <w:pPr>
              <w:pStyle w:val="2"/>
              <w:jc w:val="center"/>
              <w:rPr>
                <w:rFonts w:hint="default"/>
                <w:sz w:val="28"/>
                <w:szCs w:val="28"/>
                <w:vertAlign w:val="baseline"/>
                <w:lang w:val="en-US" w:eastAsia="zh-CN"/>
              </w:rPr>
            </w:pPr>
          </w:p>
        </w:tc>
        <w:tc>
          <w:tcPr>
            <w:tcW w:w="1316" w:type="dxa"/>
            <w:vAlign w:val="center"/>
          </w:tcPr>
          <w:p>
            <w:pPr>
              <w:pStyle w:val="2"/>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292" w:type="dxa"/>
            <w:vAlign w:val="center"/>
          </w:tcPr>
          <w:p>
            <w:pPr>
              <w:pStyle w:val="2"/>
              <w:jc w:val="center"/>
              <w:rPr>
                <w:rFonts w:hint="default"/>
                <w:sz w:val="28"/>
                <w:szCs w:val="28"/>
                <w:vertAlign w:val="baseline"/>
                <w:lang w:val="en-US" w:eastAsia="zh-CN"/>
              </w:rPr>
            </w:pPr>
          </w:p>
        </w:tc>
        <w:tc>
          <w:tcPr>
            <w:tcW w:w="2299" w:type="dxa"/>
            <w:vAlign w:val="center"/>
          </w:tcPr>
          <w:p>
            <w:pPr>
              <w:pStyle w:val="2"/>
              <w:jc w:val="center"/>
              <w:rPr>
                <w:rFonts w:hint="default"/>
                <w:sz w:val="28"/>
                <w:szCs w:val="28"/>
                <w:vertAlign w:val="baseline"/>
                <w:lang w:val="en-US" w:eastAsia="zh-CN"/>
              </w:rPr>
            </w:pPr>
          </w:p>
        </w:tc>
        <w:tc>
          <w:tcPr>
            <w:tcW w:w="2073" w:type="dxa"/>
            <w:vAlign w:val="center"/>
          </w:tcPr>
          <w:p>
            <w:pPr>
              <w:pStyle w:val="2"/>
              <w:jc w:val="center"/>
              <w:rPr>
                <w:rFonts w:hint="default"/>
                <w:sz w:val="28"/>
                <w:szCs w:val="28"/>
                <w:vertAlign w:val="baseline"/>
                <w:lang w:val="en-US" w:eastAsia="zh-CN"/>
              </w:rPr>
            </w:pPr>
          </w:p>
        </w:tc>
        <w:tc>
          <w:tcPr>
            <w:tcW w:w="1848" w:type="dxa"/>
            <w:vAlign w:val="center"/>
          </w:tcPr>
          <w:p>
            <w:pPr>
              <w:pStyle w:val="2"/>
              <w:jc w:val="center"/>
              <w:rPr>
                <w:rFonts w:hint="default"/>
                <w:sz w:val="28"/>
                <w:szCs w:val="28"/>
                <w:vertAlign w:val="baseline"/>
                <w:lang w:val="en-US" w:eastAsia="zh-CN"/>
              </w:rPr>
            </w:pPr>
          </w:p>
        </w:tc>
        <w:tc>
          <w:tcPr>
            <w:tcW w:w="2269" w:type="dxa"/>
            <w:vAlign w:val="center"/>
          </w:tcPr>
          <w:p>
            <w:pPr>
              <w:pStyle w:val="2"/>
              <w:jc w:val="center"/>
              <w:rPr>
                <w:rFonts w:hint="default"/>
                <w:sz w:val="28"/>
                <w:szCs w:val="28"/>
                <w:vertAlign w:val="baseline"/>
                <w:lang w:val="en-US" w:eastAsia="zh-CN"/>
              </w:rPr>
            </w:pPr>
          </w:p>
        </w:tc>
        <w:tc>
          <w:tcPr>
            <w:tcW w:w="2660" w:type="dxa"/>
            <w:vAlign w:val="center"/>
          </w:tcPr>
          <w:p>
            <w:pPr>
              <w:pStyle w:val="2"/>
              <w:jc w:val="center"/>
              <w:rPr>
                <w:rFonts w:hint="default"/>
                <w:sz w:val="28"/>
                <w:szCs w:val="28"/>
                <w:vertAlign w:val="baseline"/>
                <w:lang w:val="en-US" w:eastAsia="zh-CN"/>
              </w:rPr>
            </w:pPr>
          </w:p>
        </w:tc>
        <w:tc>
          <w:tcPr>
            <w:tcW w:w="1316" w:type="dxa"/>
            <w:vAlign w:val="center"/>
          </w:tcPr>
          <w:p>
            <w:pPr>
              <w:pStyle w:val="2"/>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292" w:type="dxa"/>
            <w:vAlign w:val="center"/>
          </w:tcPr>
          <w:p>
            <w:pPr>
              <w:pStyle w:val="2"/>
              <w:jc w:val="center"/>
              <w:rPr>
                <w:rFonts w:hint="default"/>
                <w:sz w:val="28"/>
                <w:szCs w:val="28"/>
                <w:vertAlign w:val="baseline"/>
                <w:lang w:val="en-US" w:eastAsia="zh-CN"/>
              </w:rPr>
            </w:pPr>
          </w:p>
        </w:tc>
        <w:tc>
          <w:tcPr>
            <w:tcW w:w="2299" w:type="dxa"/>
            <w:vAlign w:val="center"/>
          </w:tcPr>
          <w:p>
            <w:pPr>
              <w:pStyle w:val="2"/>
              <w:jc w:val="center"/>
              <w:rPr>
                <w:rFonts w:hint="default"/>
                <w:sz w:val="28"/>
                <w:szCs w:val="28"/>
                <w:vertAlign w:val="baseline"/>
                <w:lang w:val="en-US" w:eastAsia="zh-CN"/>
              </w:rPr>
            </w:pPr>
          </w:p>
        </w:tc>
        <w:tc>
          <w:tcPr>
            <w:tcW w:w="2073" w:type="dxa"/>
            <w:vAlign w:val="center"/>
          </w:tcPr>
          <w:p>
            <w:pPr>
              <w:pStyle w:val="2"/>
              <w:jc w:val="center"/>
              <w:rPr>
                <w:rFonts w:hint="default"/>
                <w:sz w:val="28"/>
                <w:szCs w:val="28"/>
                <w:vertAlign w:val="baseline"/>
                <w:lang w:val="en-US" w:eastAsia="zh-CN"/>
              </w:rPr>
            </w:pPr>
          </w:p>
        </w:tc>
        <w:tc>
          <w:tcPr>
            <w:tcW w:w="1848" w:type="dxa"/>
            <w:vAlign w:val="center"/>
          </w:tcPr>
          <w:p>
            <w:pPr>
              <w:pStyle w:val="2"/>
              <w:jc w:val="center"/>
              <w:rPr>
                <w:rFonts w:hint="default"/>
                <w:sz w:val="28"/>
                <w:szCs w:val="28"/>
                <w:vertAlign w:val="baseline"/>
                <w:lang w:val="en-US" w:eastAsia="zh-CN"/>
              </w:rPr>
            </w:pPr>
          </w:p>
        </w:tc>
        <w:tc>
          <w:tcPr>
            <w:tcW w:w="2269" w:type="dxa"/>
            <w:vAlign w:val="center"/>
          </w:tcPr>
          <w:p>
            <w:pPr>
              <w:pStyle w:val="2"/>
              <w:jc w:val="center"/>
              <w:rPr>
                <w:rFonts w:hint="default"/>
                <w:sz w:val="28"/>
                <w:szCs w:val="28"/>
                <w:vertAlign w:val="baseline"/>
                <w:lang w:val="en-US" w:eastAsia="zh-CN"/>
              </w:rPr>
            </w:pPr>
          </w:p>
        </w:tc>
        <w:tc>
          <w:tcPr>
            <w:tcW w:w="2660" w:type="dxa"/>
            <w:vAlign w:val="center"/>
          </w:tcPr>
          <w:p>
            <w:pPr>
              <w:pStyle w:val="2"/>
              <w:jc w:val="center"/>
              <w:rPr>
                <w:rFonts w:hint="default"/>
                <w:sz w:val="28"/>
                <w:szCs w:val="28"/>
                <w:vertAlign w:val="baseline"/>
                <w:lang w:val="en-US" w:eastAsia="zh-CN"/>
              </w:rPr>
            </w:pPr>
          </w:p>
        </w:tc>
        <w:tc>
          <w:tcPr>
            <w:tcW w:w="1316" w:type="dxa"/>
            <w:vAlign w:val="center"/>
          </w:tcPr>
          <w:p>
            <w:pPr>
              <w:pStyle w:val="2"/>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292" w:type="dxa"/>
            <w:vAlign w:val="center"/>
          </w:tcPr>
          <w:p>
            <w:pPr>
              <w:pStyle w:val="2"/>
              <w:jc w:val="center"/>
              <w:rPr>
                <w:rFonts w:hint="default"/>
                <w:sz w:val="28"/>
                <w:szCs w:val="28"/>
                <w:vertAlign w:val="baseline"/>
                <w:lang w:val="en-US" w:eastAsia="zh-CN"/>
              </w:rPr>
            </w:pPr>
          </w:p>
        </w:tc>
        <w:tc>
          <w:tcPr>
            <w:tcW w:w="2299" w:type="dxa"/>
            <w:vAlign w:val="center"/>
          </w:tcPr>
          <w:p>
            <w:pPr>
              <w:pStyle w:val="2"/>
              <w:jc w:val="center"/>
              <w:rPr>
                <w:rFonts w:hint="default"/>
                <w:sz w:val="28"/>
                <w:szCs w:val="28"/>
                <w:vertAlign w:val="baseline"/>
                <w:lang w:val="en-US" w:eastAsia="zh-CN"/>
              </w:rPr>
            </w:pPr>
          </w:p>
        </w:tc>
        <w:tc>
          <w:tcPr>
            <w:tcW w:w="2073" w:type="dxa"/>
            <w:vAlign w:val="center"/>
          </w:tcPr>
          <w:p>
            <w:pPr>
              <w:pStyle w:val="2"/>
              <w:jc w:val="center"/>
              <w:rPr>
                <w:rFonts w:hint="default"/>
                <w:sz w:val="28"/>
                <w:szCs w:val="28"/>
                <w:vertAlign w:val="baseline"/>
                <w:lang w:val="en-US" w:eastAsia="zh-CN"/>
              </w:rPr>
            </w:pPr>
          </w:p>
        </w:tc>
        <w:tc>
          <w:tcPr>
            <w:tcW w:w="1848" w:type="dxa"/>
            <w:vAlign w:val="center"/>
          </w:tcPr>
          <w:p>
            <w:pPr>
              <w:pStyle w:val="2"/>
              <w:jc w:val="center"/>
              <w:rPr>
                <w:rFonts w:hint="default"/>
                <w:sz w:val="28"/>
                <w:szCs w:val="28"/>
                <w:vertAlign w:val="baseline"/>
                <w:lang w:val="en-US" w:eastAsia="zh-CN"/>
              </w:rPr>
            </w:pPr>
          </w:p>
        </w:tc>
        <w:tc>
          <w:tcPr>
            <w:tcW w:w="2269" w:type="dxa"/>
            <w:vAlign w:val="center"/>
          </w:tcPr>
          <w:p>
            <w:pPr>
              <w:pStyle w:val="2"/>
              <w:jc w:val="center"/>
              <w:rPr>
                <w:rFonts w:hint="default"/>
                <w:sz w:val="28"/>
                <w:szCs w:val="28"/>
                <w:vertAlign w:val="baseline"/>
                <w:lang w:val="en-US" w:eastAsia="zh-CN"/>
              </w:rPr>
            </w:pPr>
          </w:p>
        </w:tc>
        <w:tc>
          <w:tcPr>
            <w:tcW w:w="2660" w:type="dxa"/>
            <w:vAlign w:val="center"/>
          </w:tcPr>
          <w:p>
            <w:pPr>
              <w:pStyle w:val="2"/>
              <w:jc w:val="center"/>
              <w:rPr>
                <w:rFonts w:hint="default"/>
                <w:sz w:val="28"/>
                <w:szCs w:val="28"/>
                <w:vertAlign w:val="baseline"/>
                <w:lang w:val="en-US" w:eastAsia="zh-CN"/>
              </w:rPr>
            </w:pPr>
          </w:p>
        </w:tc>
        <w:tc>
          <w:tcPr>
            <w:tcW w:w="1316" w:type="dxa"/>
            <w:vAlign w:val="center"/>
          </w:tcPr>
          <w:p>
            <w:pPr>
              <w:pStyle w:val="2"/>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292" w:type="dxa"/>
            <w:vAlign w:val="center"/>
          </w:tcPr>
          <w:p>
            <w:pPr>
              <w:pStyle w:val="2"/>
              <w:jc w:val="center"/>
              <w:rPr>
                <w:rFonts w:hint="default"/>
                <w:sz w:val="28"/>
                <w:szCs w:val="28"/>
                <w:vertAlign w:val="baseline"/>
                <w:lang w:val="en-US" w:eastAsia="zh-CN"/>
              </w:rPr>
            </w:pPr>
          </w:p>
        </w:tc>
        <w:tc>
          <w:tcPr>
            <w:tcW w:w="2299" w:type="dxa"/>
            <w:vAlign w:val="center"/>
          </w:tcPr>
          <w:p>
            <w:pPr>
              <w:pStyle w:val="2"/>
              <w:jc w:val="center"/>
              <w:rPr>
                <w:rFonts w:hint="default"/>
                <w:sz w:val="28"/>
                <w:szCs w:val="28"/>
                <w:vertAlign w:val="baseline"/>
                <w:lang w:val="en-US" w:eastAsia="zh-CN"/>
              </w:rPr>
            </w:pPr>
          </w:p>
        </w:tc>
        <w:tc>
          <w:tcPr>
            <w:tcW w:w="2073" w:type="dxa"/>
            <w:vAlign w:val="center"/>
          </w:tcPr>
          <w:p>
            <w:pPr>
              <w:pStyle w:val="2"/>
              <w:jc w:val="center"/>
              <w:rPr>
                <w:rFonts w:hint="default"/>
                <w:sz w:val="28"/>
                <w:szCs w:val="28"/>
                <w:vertAlign w:val="baseline"/>
                <w:lang w:val="en-US" w:eastAsia="zh-CN"/>
              </w:rPr>
            </w:pPr>
          </w:p>
        </w:tc>
        <w:tc>
          <w:tcPr>
            <w:tcW w:w="1848" w:type="dxa"/>
            <w:vAlign w:val="center"/>
          </w:tcPr>
          <w:p>
            <w:pPr>
              <w:pStyle w:val="2"/>
              <w:jc w:val="center"/>
              <w:rPr>
                <w:rFonts w:hint="default"/>
                <w:sz w:val="28"/>
                <w:szCs w:val="28"/>
                <w:vertAlign w:val="baseline"/>
                <w:lang w:val="en-US" w:eastAsia="zh-CN"/>
              </w:rPr>
            </w:pPr>
          </w:p>
        </w:tc>
        <w:tc>
          <w:tcPr>
            <w:tcW w:w="2269" w:type="dxa"/>
            <w:vAlign w:val="center"/>
          </w:tcPr>
          <w:p>
            <w:pPr>
              <w:pStyle w:val="2"/>
              <w:jc w:val="center"/>
              <w:rPr>
                <w:rFonts w:hint="default"/>
                <w:sz w:val="28"/>
                <w:szCs w:val="28"/>
                <w:vertAlign w:val="baseline"/>
                <w:lang w:val="en-US" w:eastAsia="zh-CN"/>
              </w:rPr>
            </w:pPr>
          </w:p>
        </w:tc>
        <w:tc>
          <w:tcPr>
            <w:tcW w:w="2660" w:type="dxa"/>
            <w:vAlign w:val="center"/>
          </w:tcPr>
          <w:p>
            <w:pPr>
              <w:pStyle w:val="2"/>
              <w:jc w:val="center"/>
              <w:rPr>
                <w:rFonts w:hint="default"/>
                <w:sz w:val="28"/>
                <w:szCs w:val="28"/>
                <w:vertAlign w:val="baseline"/>
                <w:lang w:val="en-US" w:eastAsia="zh-CN"/>
              </w:rPr>
            </w:pPr>
          </w:p>
        </w:tc>
        <w:tc>
          <w:tcPr>
            <w:tcW w:w="1316" w:type="dxa"/>
            <w:vAlign w:val="center"/>
          </w:tcPr>
          <w:p>
            <w:pPr>
              <w:pStyle w:val="2"/>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1292" w:type="dxa"/>
            <w:vAlign w:val="center"/>
          </w:tcPr>
          <w:p>
            <w:pPr>
              <w:pStyle w:val="2"/>
              <w:jc w:val="center"/>
              <w:rPr>
                <w:rFonts w:hint="default"/>
                <w:sz w:val="28"/>
                <w:szCs w:val="28"/>
                <w:vertAlign w:val="baseline"/>
                <w:lang w:val="en-US" w:eastAsia="zh-CN"/>
              </w:rPr>
            </w:pPr>
          </w:p>
        </w:tc>
        <w:tc>
          <w:tcPr>
            <w:tcW w:w="2299" w:type="dxa"/>
            <w:vAlign w:val="center"/>
          </w:tcPr>
          <w:p>
            <w:pPr>
              <w:pStyle w:val="2"/>
              <w:jc w:val="center"/>
              <w:rPr>
                <w:rFonts w:hint="default"/>
                <w:sz w:val="28"/>
                <w:szCs w:val="28"/>
                <w:vertAlign w:val="baseline"/>
                <w:lang w:val="en-US" w:eastAsia="zh-CN"/>
              </w:rPr>
            </w:pPr>
          </w:p>
        </w:tc>
        <w:tc>
          <w:tcPr>
            <w:tcW w:w="2073" w:type="dxa"/>
            <w:vAlign w:val="center"/>
          </w:tcPr>
          <w:p>
            <w:pPr>
              <w:pStyle w:val="2"/>
              <w:jc w:val="center"/>
              <w:rPr>
                <w:rFonts w:hint="default"/>
                <w:sz w:val="28"/>
                <w:szCs w:val="28"/>
                <w:vertAlign w:val="baseline"/>
                <w:lang w:val="en-US" w:eastAsia="zh-CN"/>
              </w:rPr>
            </w:pPr>
          </w:p>
        </w:tc>
        <w:tc>
          <w:tcPr>
            <w:tcW w:w="1848" w:type="dxa"/>
            <w:vAlign w:val="center"/>
          </w:tcPr>
          <w:p>
            <w:pPr>
              <w:pStyle w:val="2"/>
              <w:jc w:val="center"/>
              <w:rPr>
                <w:rFonts w:hint="default"/>
                <w:sz w:val="28"/>
                <w:szCs w:val="28"/>
                <w:vertAlign w:val="baseline"/>
                <w:lang w:val="en-US" w:eastAsia="zh-CN"/>
              </w:rPr>
            </w:pPr>
          </w:p>
        </w:tc>
        <w:tc>
          <w:tcPr>
            <w:tcW w:w="2269" w:type="dxa"/>
            <w:vAlign w:val="center"/>
          </w:tcPr>
          <w:p>
            <w:pPr>
              <w:pStyle w:val="2"/>
              <w:jc w:val="center"/>
              <w:rPr>
                <w:rFonts w:hint="default"/>
                <w:sz w:val="28"/>
                <w:szCs w:val="28"/>
                <w:vertAlign w:val="baseline"/>
                <w:lang w:val="en-US" w:eastAsia="zh-CN"/>
              </w:rPr>
            </w:pPr>
          </w:p>
        </w:tc>
        <w:tc>
          <w:tcPr>
            <w:tcW w:w="2660" w:type="dxa"/>
            <w:vAlign w:val="center"/>
          </w:tcPr>
          <w:p>
            <w:pPr>
              <w:pStyle w:val="2"/>
              <w:jc w:val="center"/>
              <w:rPr>
                <w:rFonts w:hint="default"/>
                <w:sz w:val="28"/>
                <w:szCs w:val="28"/>
                <w:vertAlign w:val="baseline"/>
                <w:lang w:val="en-US" w:eastAsia="zh-CN"/>
              </w:rPr>
            </w:pPr>
          </w:p>
        </w:tc>
        <w:tc>
          <w:tcPr>
            <w:tcW w:w="1316" w:type="dxa"/>
            <w:vAlign w:val="center"/>
          </w:tcPr>
          <w:p>
            <w:pPr>
              <w:pStyle w:val="2"/>
              <w:jc w:val="center"/>
              <w:rPr>
                <w:rFonts w:hint="default"/>
                <w:sz w:val="28"/>
                <w:szCs w:val="28"/>
                <w:vertAlign w:val="baseline"/>
                <w:lang w:val="en-US" w:eastAsia="zh-CN"/>
              </w:rPr>
            </w:pPr>
          </w:p>
        </w:tc>
      </w:tr>
    </w:tbl>
    <w:p>
      <w:pPr>
        <w:pStyle w:val="2"/>
        <w:rPr>
          <w:rFonts w:hint="default"/>
          <w:lang w:val="en-US" w:eastAsia="zh-CN"/>
        </w:rPr>
      </w:pPr>
    </w:p>
    <w:sectPr>
      <w:pgSz w:w="16838" w:h="11906" w:orient="landscape"/>
      <w:pgMar w:top="1803" w:right="1440" w:bottom="1803" w:left="1440" w:header="851" w:footer="133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8F6"/>
    <w:rsid w:val="000C7C7E"/>
    <w:rsid w:val="002543E2"/>
    <w:rsid w:val="00583567"/>
    <w:rsid w:val="00774EED"/>
    <w:rsid w:val="008B527A"/>
    <w:rsid w:val="008E2D38"/>
    <w:rsid w:val="00934A55"/>
    <w:rsid w:val="00977F6F"/>
    <w:rsid w:val="009871F0"/>
    <w:rsid w:val="00CD48F6"/>
    <w:rsid w:val="00F927D2"/>
    <w:rsid w:val="02B37217"/>
    <w:rsid w:val="02FC3A38"/>
    <w:rsid w:val="03481B84"/>
    <w:rsid w:val="046D6E69"/>
    <w:rsid w:val="04EC5260"/>
    <w:rsid w:val="05630A65"/>
    <w:rsid w:val="06342795"/>
    <w:rsid w:val="06CA6754"/>
    <w:rsid w:val="070279D5"/>
    <w:rsid w:val="07061BB6"/>
    <w:rsid w:val="08F561F8"/>
    <w:rsid w:val="09625D01"/>
    <w:rsid w:val="0B1D29D3"/>
    <w:rsid w:val="0B8A7505"/>
    <w:rsid w:val="0BB96042"/>
    <w:rsid w:val="0C2C7E91"/>
    <w:rsid w:val="0D031A4B"/>
    <w:rsid w:val="0DB44511"/>
    <w:rsid w:val="0E5D1900"/>
    <w:rsid w:val="0F5642B0"/>
    <w:rsid w:val="10B41B0C"/>
    <w:rsid w:val="12507D72"/>
    <w:rsid w:val="12B83518"/>
    <w:rsid w:val="13292022"/>
    <w:rsid w:val="14F72209"/>
    <w:rsid w:val="15C53F4C"/>
    <w:rsid w:val="15F109AB"/>
    <w:rsid w:val="16AF197C"/>
    <w:rsid w:val="16F94B95"/>
    <w:rsid w:val="170F6A26"/>
    <w:rsid w:val="17173396"/>
    <w:rsid w:val="173A3F17"/>
    <w:rsid w:val="19716F65"/>
    <w:rsid w:val="19885CDD"/>
    <w:rsid w:val="19D245D8"/>
    <w:rsid w:val="1E60251B"/>
    <w:rsid w:val="1E91323E"/>
    <w:rsid w:val="1EB513EF"/>
    <w:rsid w:val="1EF926D6"/>
    <w:rsid w:val="1F2867C1"/>
    <w:rsid w:val="20AD39C0"/>
    <w:rsid w:val="21194218"/>
    <w:rsid w:val="214E3E03"/>
    <w:rsid w:val="22D27D57"/>
    <w:rsid w:val="23672DED"/>
    <w:rsid w:val="26F268DB"/>
    <w:rsid w:val="27AF516E"/>
    <w:rsid w:val="286B3748"/>
    <w:rsid w:val="28A41B14"/>
    <w:rsid w:val="29437C47"/>
    <w:rsid w:val="29D40946"/>
    <w:rsid w:val="2ADA58EA"/>
    <w:rsid w:val="2B9B6D4A"/>
    <w:rsid w:val="2C4F17FD"/>
    <w:rsid w:val="2C51491C"/>
    <w:rsid w:val="2D286BE3"/>
    <w:rsid w:val="2D2D1FAC"/>
    <w:rsid w:val="2DA60767"/>
    <w:rsid w:val="2DAE4DD0"/>
    <w:rsid w:val="2DF94449"/>
    <w:rsid w:val="2E8F3D8A"/>
    <w:rsid w:val="2E977FBD"/>
    <w:rsid w:val="30117708"/>
    <w:rsid w:val="303C26DF"/>
    <w:rsid w:val="3113644C"/>
    <w:rsid w:val="31E10375"/>
    <w:rsid w:val="32276862"/>
    <w:rsid w:val="326C2BDB"/>
    <w:rsid w:val="33E27FE0"/>
    <w:rsid w:val="34832155"/>
    <w:rsid w:val="361D72C0"/>
    <w:rsid w:val="37167F2C"/>
    <w:rsid w:val="37511CD1"/>
    <w:rsid w:val="375C468C"/>
    <w:rsid w:val="38F03684"/>
    <w:rsid w:val="39473157"/>
    <w:rsid w:val="399B3454"/>
    <w:rsid w:val="39D03C2E"/>
    <w:rsid w:val="39D0725D"/>
    <w:rsid w:val="3B0C6F26"/>
    <w:rsid w:val="3C0B176A"/>
    <w:rsid w:val="3C1A2131"/>
    <w:rsid w:val="3D901BBD"/>
    <w:rsid w:val="3E515F9C"/>
    <w:rsid w:val="3EAC78D8"/>
    <w:rsid w:val="3EEB3A87"/>
    <w:rsid w:val="3FB35B40"/>
    <w:rsid w:val="416C169F"/>
    <w:rsid w:val="4271074E"/>
    <w:rsid w:val="433244DF"/>
    <w:rsid w:val="43E704F2"/>
    <w:rsid w:val="440327CB"/>
    <w:rsid w:val="44D902F2"/>
    <w:rsid w:val="457C098E"/>
    <w:rsid w:val="45AA233C"/>
    <w:rsid w:val="466D2EFC"/>
    <w:rsid w:val="480A503A"/>
    <w:rsid w:val="48744DF3"/>
    <w:rsid w:val="495D5C48"/>
    <w:rsid w:val="497B72E0"/>
    <w:rsid w:val="4A1F786A"/>
    <w:rsid w:val="4C0E4555"/>
    <w:rsid w:val="4CC131AA"/>
    <w:rsid w:val="4E550244"/>
    <w:rsid w:val="4E573484"/>
    <w:rsid w:val="4E620382"/>
    <w:rsid w:val="4F4254CE"/>
    <w:rsid w:val="4FC86739"/>
    <w:rsid w:val="50CF76C5"/>
    <w:rsid w:val="52F53965"/>
    <w:rsid w:val="530E6467"/>
    <w:rsid w:val="53287AEF"/>
    <w:rsid w:val="54582ECF"/>
    <w:rsid w:val="54964654"/>
    <w:rsid w:val="554B0583"/>
    <w:rsid w:val="55A725BF"/>
    <w:rsid w:val="56335AAC"/>
    <w:rsid w:val="58927926"/>
    <w:rsid w:val="589E033C"/>
    <w:rsid w:val="58CC06C3"/>
    <w:rsid w:val="59F26AA9"/>
    <w:rsid w:val="5A2613E8"/>
    <w:rsid w:val="5A3329F8"/>
    <w:rsid w:val="5A6E21BB"/>
    <w:rsid w:val="5AE71A74"/>
    <w:rsid w:val="5AF065DF"/>
    <w:rsid w:val="5D2B660C"/>
    <w:rsid w:val="5F757615"/>
    <w:rsid w:val="604B21F9"/>
    <w:rsid w:val="613D4004"/>
    <w:rsid w:val="62FE1C9E"/>
    <w:rsid w:val="63D87E3B"/>
    <w:rsid w:val="64B56F0D"/>
    <w:rsid w:val="65DF2EA6"/>
    <w:rsid w:val="664467C7"/>
    <w:rsid w:val="66821F59"/>
    <w:rsid w:val="677B2903"/>
    <w:rsid w:val="67A661AE"/>
    <w:rsid w:val="6B7F6130"/>
    <w:rsid w:val="6BCB73D5"/>
    <w:rsid w:val="6CD22517"/>
    <w:rsid w:val="6D67321F"/>
    <w:rsid w:val="6E8C09ED"/>
    <w:rsid w:val="6F061DC2"/>
    <w:rsid w:val="71145D3B"/>
    <w:rsid w:val="71C337CC"/>
    <w:rsid w:val="72447894"/>
    <w:rsid w:val="73A30A32"/>
    <w:rsid w:val="741E5790"/>
    <w:rsid w:val="74367902"/>
    <w:rsid w:val="74915AA8"/>
    <w:rsid w:val="75CB0B0B"/>
    <w:rsid w:val="778D7CA9"/>
    <w:rsid w:val="79994432"/>
    <w:rsid w:val="79E17FD6"/>
    <w:rsid w:val="7A025FBD"/>
    <w:rsid w:val="7A581ADB"/>
    <w:rsid w:val="7B9B772A"/>
    <w:rsid w:val="7BDD246E"/>
    <w:rsid w:val="7CC060C4"/>
    <w:rsid w:val="7D325521"/>
    <w:rsid w:val="7E6D5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Heading3"/>
    <w:basedOn w:val="1"/>
    <w:next w:val="1"/>
    <w:qFormat/>
    <w:uiPriority w:val="0"/>
    <w:pPr>
      <w:keepNext/>
      <w:keepLines/>
      <w:spacing w:line="560" w:lineRule="exact"/>
      <w:ind w:firstLine="880" w:firstLineChars="200"/>
      <w:jc w:val="both"/>
      <w:textAlignment w:val="baseline"/>
    </w:pPr>
    <w:rPr>
      <w:rFonts w:ascii="Calibri" w:hAnsi="Calibri" w:eastAsia="楷体_GB2312" w:cs="Times New Roman"/>
      <w:b/>
      <w:bCs/>
      <w:kern w:val="2"/>
      <w:sz w:val="32"/>
      <w:szCs w:val="32"/>
      <w:lang w:val="en-US" w:eastAsia="zh-CN" w:bidi="ar-SA"/>
    </w:rPr>
  </w:style>
  <w:style w:type="paragraph" w:styleId="4">
    <w:name w:val="Body Text"/>
    <w:basedOn w:val="1"/>
    <w:qFormat/>
    <w:uiPriority w:val="99"/>
    <w:pPr>
      <w:autoSpaceDE w:val="0"/>
      <w:autoSpaceDN w:val="0"/>
      <w:ind w:left="411"/>
      <w:jc w:val="left"/>
    </w:pPr>
    <w:rPr>
      <w:rFonts w:ascii="宋体" w:hAnsi="宋体" w:cs="宋体"/>
      <w:kern w:val="0"/>
      <w:sz w:val="32"/>
      <w:szCs w:val="32"/>
      <w:lang w:val="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NormalCharacter"/>
    <w:semiHidden/>
    <w:qFormat/>
    <w:uiPriority w:val="0"/>
  </w:style>
  <w:style w:type="paragraph" w:customStyle="1" w:styleId="11">
    <w:name w:val="WPSOffice手动目录 1"/>
    <w:qFormat/>
    <w:uiPriority w:val="0"/>
    <w:pPr>
      <w:ind w:leftChars="0"/>
    </w:pPr>
    <w:rPr>
      <w:rFonts w:ascii="Calibri" w:hAnsi="Calibri" w:eastAsia="微软雅黑"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153</Words>
  <Characters>878</Characters>
  <Lines>7</Lines>
  <Paragraphs>2</Paragraphs>
  <TotalTime>76</TotalTime>
  <ScaleCrop>false</ScaleCrop>
  <LinksUpToDate>false</LinksUpToDate>
  <CharactersWithSpaces>1029</CharactersWithSpaces>
  <Application>WPS Office_11.1.0.7832_F1E327BC-269C-435d-A152-05C5408002CA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2021-04-18T03:20:00Z</dcterms:created>
  <dc:creator>Lenovo</dc:creator>
  <cp:lastModifiedBy>Administrator</cp:lastModifiedBy>
  <cp:lastPrinted>2021-05-03T05:42:01Z</cp:lastPrinted>
  <dcterms:modified xsi:type="dcterms:W3CDTF">2021-05-03T05:42:18Z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y fmtid="{D5CDD505-2E9C-101B-9397-08002B2CF9AE}" pid="3" name="ICV">
    <vt:lpwstr>53B07A06D66947A9946939B0F6E213C7</vt:lpwstr>
  </property>
</Properties>
</file>