
<file path=[Content_Types].xml><?xml version="1.0" encoding="utf-8"?>
<Types xmlns="http://schemas.openxmlformats.org/package/2006/content-types">
  <Default Extension="png" ContentType="image/png"/>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FB84655">
      <w:pPr>
        <w:pStyle w:val="2"/>
        <w:keepNext w:val="0"/>
        <w:keepLines w:val="0"/>
        <w:widowControl/>
        <w:suppressLineNumbers w:val="0"/>
        <w:spacing w:line="555" w:lineRule="atLeast"/>
        <w:jc w:val="center"/>
      </w:pPr>
      <w:r>
        <w:rPr>
          <w:rStyle w:val="5"/>
          <w:rFonts w:ascii="仿宋" w:hAnsi="仿宋" w:eastAsia="仿宋" w:cs="仿宋"/>
          <w:sz w:val="31"/>
          <w:szCs w:val="31"/>
        </w:rPr>
        <w:t>源政办发〔2019〕7号</w:t>
      </w:r>
    </w:p>
    <w:p w14:paraId="416F1ECA">
      <w:pPr>
        <w:pStyle w:val="2"/>
        <w:keepNext w:val="0"/>
        <w:keepLines w:val="0"/>
        <w:widowControl/>
        <w:suppressLineNumbers w:val="0"/>
        <w:spacing w:line="555" w:lineRule="atLeast"/>
        <w:jc w:val="center"/>
      </w:pPr>
      <w:r>
        <w:t> </w:t>
      </w:r>
    </w:p>
    <w:p w14:paraId="6A8746BF">
      <w:pPr>
        <w:pStyle w:val="2"/>
        <w:keepNext w:val="0"/>
        <w:keepLines w:val="0"/>
        <w:widowControl/>
        <w:suppressLineNumbers w:val="0"/>
        <w:spacing w:line="555" w:lineRule="atLeast"/>
        <w:jc w:val="center"/>
      </w:pPr>
      <w:r>
        <w:rPr>
          <w:rStyle w:val="5"/>
          <w:rFonts w:ascii="黑体" w:hAnsi="宋体" w:eastAsia="黑体" w:cs="黑体"/>
          <w:sz w:val="43"/>
          <w:szCs w:val="43"/>
        </w:rPr>
        <w:t>沂源县人民政府办公室</w:t>
      </w:r>
    </w:p>
    <w:p w14:paraId="1FE890C8">
      <w:pPr>
        <w:pStyle w:val="2"/>
        <w:keepNext w:val="0"/>
        <w:keepLines w:val="0"/>
        <w:widowControl/>
        <w:suppressLineNumbers w:val="0"/>
        <w:spacing w:line="555" w:lineRule="atLeast"/>
        <w:jc w:val="center"/>
      </w:pPr>
      <w:bookmarkStart w:id="0" w:name="_GoBack"/>
      <w:r>
        <w:rPr>
          <w:rStyle w:val="5"/>
          <w:rFonts w:hint="eastAsia" w:ascii="黑体" w:hAnsi="宋体" w:eastAsia="黑体" w:cs="黑体"/>
          <w:sz w:val="43"/>
          <w:szCs w:val="43"/>
        </w:rPr>
        <w:t>关于印发沂源县机动车维修行业环保治理</w:t>
      </w:r>
    </w:p>
    <w:p w14:paraId="5416E298">
      <w:pPr>
        <w:pStyle w:val="2"/>
        <w:keepNext w:val="0"/>
        <w:keepLines w:val="0"/>
        <w:widowControl/>
        <w:suppressLineNumbers w:val="0"/>
        <w:spacing w:line="555" w:lineRule="atLeast"/>
        <w:jc w:val="center"/>
      </w:pPr>
      <w:r>
        <w:rPr>
          <w:rStyle w:val="5"/>
          <w:rFonts w:hint="eastAsia" w:ascii="黑体" w:hAnsi="宋体" w:eastAsia="黑体" w:cs="黑体"/>
          <w:sz w:val="43"/>
          <w:szCs w:val="43"/>
        </w:rPr>
        <w:t>专项行动方案的通知</w:t>
      </w:r>
      <w:bookmarkEnd w:id="0"/>
    </w:p>
    <w:p w14:paraId="61C8308B">
      <w:pPr>
        <w:pStyle w:val="2"/>
        <w:keepNext w:val="0"/>
        <w:keepLines w:val="0"/>
        <w:widowControl/>
        <w:suppressLineNumbers w:val="0"/>
        <w:spacing w:line="555" w:lineRule="atLeast"/>
        <w:jc w:val="center"/>
      </w:pPr>
      <w:r>
        <w:rPr>
          <w:rStyle w:val="5"/>
          <w:rFonts w:hint="eastAsia" w:ascii="黑体" w:hAnsi="宋体" w:eastAsia="黑体" w:cs="黑体"/>
          <w:sz w:val="43"/>
          <w:szCs w:val="43"/>
        </w:rPr>
        <w:t> </w:t>
      </w:r>
    </w:p>
    <w:p w14:paraId="7D28983D">
      <w:pPr>
        <w:pStyle w:val="2"/>
        <w:keepNext w:val="0"/>
        <w:keepLines w:val="0"/>
        <w:widowControl/>
        <w:suppressLineNumbers w:val="0"/>
        <w:spacing w:line="555" w:lineRule="atLeast"/>
      </w:pPr>
      <w:r>
        <w:rPr>
          <w:rStyle w:val="5"/>
          <w:rFonts w:hint="eastAsia" w:ascii="仿宋" w:hAnsi="仿宋" w:eastAsia="仿宋" w:cs="仿宋"/>
          <w:sz w:val="31"/>
          <w:szCs w:val="31"/>
        </w:rPr>
        <w:t>各镇人民政府，各街道办事处，开发区管委会，县政府有关部门，有关企事业单位：</w:t>
      </w:r>
    </w:p>
    <w:p w14:paraId="1D253B75">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《沂源县机动车维修行业环保治理专项行动方案》已经县政府同意，现印发给你们，请认真组织实施。</w:t>
      </w:r>
    </w:p>
    <w:p w14:paraId="5CB541D8">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w:t>
      </w:r>
    </w:p>
    <w:p w14:paraId="4485759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w:t>
      </w:r>
    </w:p>
    <w:p w14:paraId="5BC5ECBC">
      <w:pPr>
        <w:pStyle w:val="2"/>
        <w:keepNext w:val="0"/>
        <w:keepLines w:val="0"/>
        <w:widowControl/>
        <w:suppressLineNumbers w:val="0"/>
        <w:spacing w:line="555" w:lineRule="atLeast"/>
        <w:ind w:left="0" w:firstLine="5145"/>
        <w:jc w:val="right"/>
      </w:pPr>
      <w:r>
        <w:rPr>
          <w:rStyle w:val="5"/>
          <w:rFonts w:hint="eastAsia" w:ascii="仿宋" w:hAnsi="仿宋" w:eastAsia="仿宋" w:cs="仿宋"/>
          <w:sz w:val="31"/>
          <w:szCs w:val="31"/>
        </w:rPr>
        <w:t>沂源县人民政府办公室</w:t>
      </w:r>
    </w:p>
    <w:p w14:paraId="735911C7">
      <w:pPr>
        <w:pStyle w:val="2"/>
        <w:keepNext w:val="0"/>
        <w:keepLines w:val="0"/>
        <w:widowControl/>
        <w:suppressLineNumbers w:val="0"/>
        <w:spacing w:line="555" w:lineRule="atLeast"/>
        <w:ind w:left="0" w:firstLine="5460"/>
        <w:jc w:val="right"/>
      </w:pPr>
      <w:r>
        <w:rPr>
          <w:rStyle w:val="5"/>
          <w:rFonts w:hint="eastAsia" w:ascii="仿宋" w:hAnsi="仿宋" w:eastAsia="仿宋" w:cs="仿宋"/>
          <w:sz w:val="31"/>
          <w:szCs w:val="31"/>
        </w:rPr>
        <w:t>2019年7月12日</w:t>
      </w:r>
    </w:p>
    <w:p w14:paraId="15B81496">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（此件公开发布）</w:t>
      </w:r>
    </w:p>
    <w:p w14:paraId="107ECE0E">
      <w:pPr>
        <w:pStyle w:val="2"/>
        <w:keepNext w:val="0"/>
        <w:keepLines w:val="0"/>
        <w:widowControl/>
        <w:suppressLineNumbers w:val="0"/>
        <w:spacing w:line="555" w:lineRule="atLeast"/>
        <w:ind w:left="0" w:firstLine="645"/>
      </w:pPr>
      <w:r>
        <w:rPr>
          <w:rStyle w:val="5"/>
          <w:rFonts w:ascii="仿宋_GB2312" w:eastAsia="仿宋_GB2312" w:cs="仿宋_GB2312"/>
          <w:sz w:val="31"/>
          <w:szCs w:val="31"/>
        </w:rPr>
        <w:t> </w:t>
      </w:r>
    </w:p>
    <w:p w14:paraId="6E304F9A">
      <w:pPr>
        <w:pStyle w:val="2"/>
        <w:keepNext w:val="0"/>
        <w:keepLines w:val="0"/>
        <w:widowControl/>
        <w:suppressLineNumbers w:val="0"/>
        <w:spacing w:line="555" w:lineRule="atLeast"/>
        <w:jc w:val="center"/>
      </w:pPr>
      <w:r>
        <w:rPr>
          <w:rStyle w:val="5"/>
          <w:rFonts w:hint="eastAsia" w:ascii="黑体" w:hAnsi="宋体" w:eastAsia="黑体" w:cs="黑体"/>
          <w:sz w:val="43"/>
          <w:szCs w:val="43"/>
        </w:rPr>
        <w:t>沂源县机动车维修行业环保治理专项</w:t>
      </w:r>
    </w:p>
    <w:p w14:paraId="07354894">
      <w:pPr>
        <w:pStyle w:val="2"/>
        <w:keepNext w:val="0"/>
        <w:keepLines w:val="0"/>
        <w:widowControl/>
        <w:suppressLineNumbers w:val="0"/>
        <w:spacing w:line="555" w:lineRule="atLeast"/>
        <w:jc w:val="center"/>
      </w:pPr>
      <w:r>
        <w:rPr>
          <w:rStyle w:val="5"/>
          <w:rFonts w:hint="eastAsia" w:ascii="黑体" w:hAnsi="宋体" w:eastAsia="黑体" w:cs="黑体"/>
          <w:sz w:val="43"/>
          <w:szCs w:val="43"/>
        </w:rPr>
        <w:t>行 动 方 案</w:t>
      </w:r>
    </w:p>
    <w:p w14:paraId="2BAC4FB4">
      <w:pPr>
        <w:pStyle w:val="2"/>
        <w:keepNext w:val="0"/>
        <w:keepLines w:val="0"/>
        <w:widowControl/>
        <w:suppressLineNumbers w:val="0"/>
        <w:spacing w:line="555" w:lineRule="atLeast"/>
        <w:jc w:val="center"/>
      </w:pPr>
      <w:r>
        <w:rPr>
          <w:rStyle w:val="5"/>
          <w:rFonts w:hint="eastAsia" w:ascii="仿宋_GB2312" w:eastAsia="仿宋_GB2312" w:cs="仿宋_GB2312"/>
          <w:sz w:val="31"/>
          <w:szCs w:val="31"/>
        </w:rPr>
        <w:t> </w:t>
      </w:r>
    </w:p>
    <w:p w14:paraId="2BAB0B45">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为提升机动车维修行业环保治理水平，有效控制挥发性有机物等污染排放，进一步改善全县环境空气质量，根据《中华人民共和国大气污染防治法》《机动车维修管理规定》和上级有关要求，结合我县实际，制定本方案。</w:t>
      </w:r>
    </w:p>
    <w:p w14:paraId="79084CC8">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一、治理目标</w:t>
      </w:r>
    </w:p>
    <w:p w14:paraId="3D6880E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通过开展危废治理，规范机动车维修合法经营，整治无证、无序、超范围经营乱象，改变维修场地脏、乱、差现状；规范危险废物委托处置、按规定存放；烤漆房达标排放。有效遏制以上现象产生的对空气质量的不利影响，推动全县环境空气质量持续改善。</w:t>
      </w:r>
    </w:p>
    <w:p w14:paraId="23BCFDF3">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二、治理要求及责任分工</w:t>
      </w:r>
    </w:p>
    <w:p w14:paraId="032FA275">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（一）机动车维修无证、无序经营治理</w:t>
      </w:r>
    </w:p>
    <w:p w14:paraId="31F7C7AC">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严格行政许可，依法核发相关证件。对存在无照经营行为的机动车维修业户依法进行查处或取缔。对乱搭乱建、乱堆乱放、店外经营等违法行为进行严肃查处，依法进行打击或处罚。（县行政审批服务局、县市场监管局、县综合行政执法局牵头，各镇政府、各街道办事处、开发区管委会负责督促落实）</w:t>
      </w:r>
    </w:p>
    <w:p w14:paraId="4637369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（二）危险废物规范处置</w:t>
      </w:r>
    </w:p>
    <w:p w14:paraId="2C9770C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严格按照环保规定和标准要求进行全面规范。其中，产生危险废物企业要与有废物处置资质企业签订协议，建立防止危险废物扬散、流失、渗漏等符合标准要求的危险废物储存场所，进行隔离存放，并分类建立危险废物产生、储存及转移台账。实行网上申报转移危险废物，严禁非法转移，经营单位在转移危险废物前，需向县生态环境部门报批危险废物转移计划，批准后方可实施转移。以上要求未落实的，属地镇政府、街道办事处、开发区管委会责令停业限期整改，有违法行为的移交县生态环境部门进行处罚或依法予以取缔。（各镇政府、各街道办事处、开发区管委会负责督促落实，市生态环境局沂源分局负责审批和对违法行为进行处罚，县交通运输局负责对维修站点落实情况进行巡回检查）</w:t>
      </w:r>
    </w:p>
    <w:p w14:paraId="45381A0D">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（三）危险废气收集管理</w:t>
      </w:r>
    </w:p>
    <w:p w14:paraId="2E4D0727">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喷漆作业全部在标准喷漆房进行，严禁露天喷漆、烤漆作业，废气集中收集处理，达标排放，杜绝异味产生。定期对废气收集、处理设备进行维护保养，建立设备维护保养台账。未达到环境保护条件的，属地镇政府、街道办事处、开发区管委会责令停业限期整改，有违法行为的移交县生态环境部门进行处罚或依法予以取缔。（各镇政府、各街道办事处、开发区管委会负责督促落实，市生态环境局沂源分局负责对处理后的废气进行检测和对违法行为进行处罚，县交通运输局负责对维修站点落实情况进行巡回检查）</w:t>
      </w:r>
    </w:p>
    <w:p w14:paraId="48AEB6FA">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三、时间安排</w:t>
      </w:r>
    </w:p>
    <w:p w14:paraId="00895D5D">
      <w:pPr>
        <w:pStyle w:val="2"/>
        <w:keepNext w:val="0"/>
        <w:keepLines w:val="0"/>
        <w:widowControl/>
        <w:suppressLineNumbers w:val="0"/>
        <w:spacing w:line="555" w:lineRule="atLeast"/>
        <w:ind w:left="0" w:firstLine="645"/>
      </w:pPr>
      <w:r>
        <w:rPr>
          <w:rStyle w:val="5"/>
          <w:rFonts w:ascii="楷体_GB2312" w:eastAsia="楷体_GB2312" w:cs="楷体_GB2312"/>
          <w:sz w:val="31"/>
          <w:szCs w:val="31"/>
        </w:rPr>
        <w:t>（一）排查摸底（7月15日-20日）</w:t>
      </w:r>
    </w:p>
    <w:p w14:paraId="3624B54C">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按照属地管理原则，各镇政府、各街道办事处、开发区管委会向辖区所有机动车维修企业逐一宣传告知，介绍政策法规及专项整治要求。组织对辖区内各类机动车维修企业开展排查，摸清底数，逐一登记，分类标注，建立辖区机动车维修行业环保治理清单和工作台账，全面掌握情况。</w:t>
      </w:r>
    </w:p>
    <w:p w14:paraId="7F0FEF39">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（二）集中治理（7月21日-8月5日）</w:t>
      </w:r>
    </w:p>
    <w:p w14:paraId="0279376F">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各镇政府、各街道办事处、开发区管委会自行制定本辖区整治计划，按照时间节点开展专项治理工作。在治理过程中，发现有违法违规经营行为的，责令限期整改。对于涉及无证经营的，经治理后仍不符合规定条件的，坚决予以取缔。针对集中治理阶段存在的难点、重点问题，县有关部门开展联合执法行动，集中打击违法行为。</w:t>
      </w:r>
    </w:p>
    <w:p w14:paraId="3B4F62AD">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（三）巩固提升（长期坚持）</w:t>
      </w:r>
    </w:p>
    <w:p w14:paraId="419E608B">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进一步加强对机动车维修行业的检查管理，依法严厉打击各类违法违规行为，持续形成高压态势。以治理行动为契机，县交通运输部门要牵头完善相关制度措施，健全完善机动车维修行业长效监管机制。</w:t>
      </w:r>
    </w:p>
    <w:p w14:paraId="5EA1AB2E">
      <w:pPr>
        <w:pStyle w:val="2"/>
        <w:keepNext w:val="0"/>
        <w:keepLines w:val="0"/>
        <w:widowControl/>
        <w:suppressLineNumbers w:val="0"/>
        <w:spacing w:line="555" w:lineRule="atLeast"/>
        <w:ind w:left="0" w:firstLine="645"/>
      </w:pPr>
      <w:r>
        <w:rPr>
          <w:rStyle w:val="5"/>
          <w:rFonts w:hint="eastAsia" w:ascii="黑体" w:hAnsi="宋体" w:eastAsia="黑体" w:cs="黑体"/>
          <w:sz w:val="31"/>
          <w:szCs w:val="31"/>
        </w:rPr>
        <w:t>四、工作要求</w:t>
      </w:r>
    </w:p>
    <w:p w14:paraId="5B6E204E">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一）加强组织领导。成立县维修行业环保治理专项行动办公室，由县交通运输部门牵头，从县市场监管、综合行政执法、生态环境等部门抽调专人，负责维修行业环保治理专项行动调度督导、问题交办整改。各镇政府、各街道办事处、开发区管委会对辖区内机动车维修行业环保治理负总责，主要负责人要亲自指挥调度，分管负责人要具体主抓。各有关部门要按照工作职责，严格落实危险废物治理责任，确保各项治理要求落实到位。</w:t>
      </w:r>
    </w:p>
    <w:p w14:paraId="2C81CAC7">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（二）严格执法查处。</w:t>
      </w:r>
      <w:r>
        <w:rPr>
          <w:rStyle w:val="5"/>
          <w:rFonts w:hint="eastAsia" w:ascii="仿宋" w:hAnsi="仿宋" w:eastAsia="仿宋" w:cs="仿宋"/>
          <w:sz w:val="31"/>
          <w:szCs w:val="31"/>
        </w:rPr>
        <w:t>各有关部门要加强对机动车维修行业的监督检查，采取专项检查和日常巡查相结合、明察和暗访相结合的方式，对全县机动车维修行业环保治理工作进行全面排查，查漏补缺，不留空白。联合执法要落细落实，对各类违法违规行为进行严厉查处，坚决有力地开展好治理工作。</w:t>
      </w:r>
    </w:p>
    <w:p w14:paraId="6913245C">
      <w:pPr>
        <w:pStyle w:val="2"/>
        <w:keepNext w:val="0"/>
        <w:keepLines w:val="0"/>
        <w:widowControl/>
        <w:suppressLineNumbers w:val="0"/>
        <w:spacing w:line="555" w:lineRule="atLeast"/>
        <w:ind w:left="0" w:firstLine="645"/>
      </w:pPr>
      <w:r>
        <w:rPr>
          <w:rStyle w:val="5"/>
          <w:rFonts w:hint="eastAsia" w:ascii="楷体_GB2312" w:eastAsia="楷体_GB2312" w:cs="楷体_GB2312"/>
          <w:sz w:val="31"/>
          <w:szCs w:val="31"/>
        </w:rPr>
        <w:t>（三）建立长效机制。</w:t>
      </w:r>
      <w:r>
        <w:rPr>
          <w:rStyle w:val="5"/>
          <w:rFonts w:hint="eastAsia" w:ascii="仿宋" w:hAnsi="仿宋" w:eastAsia="仿宋" w:cs="仿宋"/>
          <w:sz w:val="31"/>
          <w:szCs w:val="31"/>
        </w:rPr>
        <w:t>要采取多种形式广泛动员机动车维修业主主动参与配合治理工作，同时发挥社会和公众的监督力量，畅通投诉举报渠道，引导机动车维修业主守法经营、规范服务，推动行业守法自律、和谐发展。各镇政府、各街道办事处、开发区管委会、各有关部门要加强信息互通，强化工作配合，抓长抓常，防止反弹，逐步建立长效机制。</w:t>
      </w:r>
    </w:p>
    <w:p w14:paraId="584C8BAE">
      <w:pPr>
        <w:pStyle w:val="2"/>
        <w:keepNext w:val="0"/>
        <w:keepLines w:val="0"/>
        <w:widowControl/>
        <w:suppressLineNumbers w:val="0"/>
        <w:spacing w:line="555" w:lineRule="atLeast"/>
      </w:pPr>
      <w:r>
        <w:rPr>
          <w:rStyle w:val="5"/>
          <w:sz w:val="31"/>
          <w:szCs w:val="31"/>
        </w:rPr>
        <w:t> </w:t>
      </w:r>
    </w:p>
    <w:p w14:paraId="1CFC90F9">
      <w:pPr>
        <w:pStyle w:val="2"/>
        <w:keepNext w:val="0"/>
        <w:keepLines w:val="0"/>
        <w:widowControl/>
        <w:suppressLineNumbers w:val="0"/>
        <w:spacing w:line="555" w:lineRule="atLeast"/>
        <w:ind w:left="0" w:firstLine="735"/>
      </w:pPr>
      <w:r>
        <w:rPr>
          <w:rStyle w:val="5"/>
          <w:rFonts w:hint="eastAsia" w:ascii="仿宋" w:hAnsi="仿宋" w:eastAsia="仿宋" w:cs="仿宋"/>
          <w:sz w:val="31"/>
          <w:szCs w:val="31"/>
        </w:rPr>
        <w:t>附件：沂源县机动车维修行业环保管理指南   </w:t>
      </w:r>
    </w:p>
    <w:p w14:paraId="19A3401B">
      <w:pPr>
        <w:pStyle w:val="2"/>
        <w:keepNext w:val="0"/>
        <w:keepLines w:val="0"/>
        <w:widowControl/>
        <w:suppressLineNumbers w:val="0"/>
        <w:spacing w:line="555" w:lineRule="atLeast"/>
        <w:ind w:left="0" w:firstLine="570"/>
      </w:pPr>
      <w:r>
        <w:rPr>
          <w:rStyle w:val="5"/>
          <w:rFonts w:hint="eastAsia" w:ascii="仿宋_GB2312" w:eastAsia="仿宋_GB2312" w:cs="仿宋_GB2312"/>
          <w:sz w:val="31"/>
          <w:szCs w:val="31"/>
        </w:rPr>
        <w:t> </w:t>
      </w:r>
    </w:p>
    <w:p w14:paraId="7A0983CD">
      <w:pPr>
        <w:pStyle w:val="2"/>
        <w:keepNext w:val="0"/>
        <w:keepLines w:val="0"/>
        <w:widowControl/>
        <w:suppressLineNumbers w:val="0"/>
        <w:spacing w:line="555" w:lineRule="atLeast"/>
        <w:ind w:left="0" w:firstLine="570"/>
      </w:pPr>
      <w:r>
        <w:rPr>
          <w:rStyle w:val="5"/>
          <w:rFonts w:hint="eastAsia" w:ascii="仿宋_GB2312" w:eastAsia="仿宋_GB2312" w:cs="仿宋_GB2312"/>
          <w:sz w:val="31"/>
          <w:szCs w:val="31"/>
        </w:rPr>
        <w:t> </w:t>
      </w:r>
    </w:p>
    <w:p w14:paraId="5CE10402">
      <w:pPr>
        <w:pStyle w:val="2"/>
        <w:keepNext w:val="0"/>
        <w:keepLines w:val="0"/>
        <w:widowControl/>
        <w:suppressLineNumbers w:val="0"/>
        <w:spacing w:line="555" w:lineRule="atLeast"/>
        <w:ind w:left="0" w:firstLine="570"/>
      </w:pPr>
      <w:r>
        <w:rPr>
          <w:rStyle w:val="5"/>
          <w:rFonts w:hint="eastAsia" w:ascii="仿宋_GB2312" w:eastAsia="仿宋_GB2312" w:cs="仿宋_GB2312"/>
          <w:sz w:val="31"/>
          <w:szCs w:val="31"/>
        </w:rPr>
        <w:t> </w:t>
      </w:r>
      <w:r>
        <w:rPr>
          <w:rStyle w:val="5"/>
          <w:rFonts w:hint="eastAsia" w:ascii="黑体" w:hAnsi="宋体" w:eastAsia="黑体" w:cs="黑体"/>
          <w:sz w:val="31"/>
          <w:szCs w:val="31"/>
        </w:rPr>
        <w:t>附件</w:t>
      </w:r>
    </w:p>
    <w:p w14:paraId="18E437BE">
      <w:pPr>
        <w:pStyle w:val="2"/>
        <w:keepNext w:val="0"/>
        <w:keepLines w:val="0"/>
        <w:widowControl/>
        <w:suppressLineNumbers w:val="0"/>
        <w:spacing w:line="555" w:lineRule="atLeast"/>
      </w:pPr>
      <w:r>
        <w:rPr>
          <w:rFonts w:hint="eastAsia" w:ascii="黑体" w:hAnsi="宋体" w:eastAsia="黑体" w:cs="黑体"/>
          <w:sz w:val="31"/>
          <w:szCs w:val="31"/>
        </w:rPr>
        <w:t> </w:t>
      </w:r>
    </w:p>
    <w:p w14:paraId="2C44A020">
      <w:pPr>
        <w:pStyle w:val="2"/>
        <w:keepNext w:val="0"/>
        <w:keepLines w:val="0"/>
        <w:widowControl/>
        <w:suppressLineNumbers w:val="0"/>
        <w:spacing w:line="555" w:lineRule="atLeast"/>
        <w:jc w:val="center"/>
      </w:pPr>
      <w:r>
        <w:rPr>
          <w:rStyle w:val="5"/>
          <w:sz w:val="43"/>
          <w:szCs w:val="43"/>
        </w:rPr>
        <w:t>沂源县机动车维修行业环保管理指南</w:t>
      </w:r>
    </w:p>
    <w:p w14:paraId="4703E052">
      <w:pPr>
        <w:pStyle w:val="2"/>
        <w:keepNext w:val="0"/>
        <w:keepLines w:val="0"/>
        <w:widowControl/>
        <w:suppressLineNumbers w:val="0"/>
      </w:pPr>
      <w:r>
        <w:t> </w:t>
      </w:r>
    </w:p>
    <w:p w14:paraId="3B5FB343">
      <w:pPr>
        <w:pStyle w:val="2"/>
        <w:keepNext w:val="0"/>
        <w:keepLines w:val="0"/>
        <w:widowControl/>
        <w:suppressLineNumbers w:val="0"/>
        <w:spacing w:line="525" w:lineRule="atLeast"/>
        <w:ind w:left="0" w:firstLine="645"/>
      </w:pPr>
      <w:r>
        <w:rPr>
          <w:rStyle w:val="5"/>
          <w:rFonts w:hint="eastAsia" w:ascii="黑体" w:hAnsi="宋体" w:eastAsia="黑体" w:cs="黑体"/>
          <w:sz w:val="31"/>
          <w:szCs w:val="31"/>
        </w:rPr>
        <w:t>一、店容店貌及环境卫生要求</w:t>
      </w:r>
    </w:p>
    <w:p w14:paraId="4C6D264A">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店面整洁卫生，门前无垃圾、无污水杂物、无乱张贴；无乱堆乱放，无乱停放车辆，无店外经营和占道经营；地面硬化且无油污。</w:t>
      </w:r>
    </w:p>
    <w:p w14:paraId="4DAB7498">
      <w:pPr>
        <w:pStyle w:val="2"/>
        <w:keepNext w:val="0"/>
        <w:keepLines w:val="0"/>
        <w:widowControl/>
        <w:suppressLineNumbers w:val="0"/>
        <w:spacing w:line="525" w:lineRule="atLeast"/>
        <w:ind w:left="0" w:firstLine="645"/>
      </w:pPr>
      <w:r>
        <w:rPr>
          <w:rStyle w:val="5"/>
          <w:rFonts w:hint="eastAsia" w:ascii="黑体" w:hAnsi="宋体" w:eastAsia="黑体" w:cs="黑体"/>
          <w:sz w:val="31"/>
          <w:szCs w:val="31"/>
        </w:rPr>
        <w:t>二、危险废物规范化管理要求</w:t>
      </w:r>
    </w:p>
    <w:p w14:paraId="6A73CF87">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1.根据《建设项目环境影响评价分类管理名录》（生态环境部令第1号）及《建设项目环境影响登记表备案管理办法》的要求，办理环境影响评价文件。</w:t>
      </w:r>
    </w:p>
    <w:p w14:paraId="6C55B9F7">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2.危险废物识别</w:t>
      </w:r>
    </w:p>
    <w:p w14:paraId="10D1DD80">
      <w:pPr>
        <w:pStyle w:val="2"/>
        <w:keepNext w:val="0"/>
        <w:keepLines w:val="0"/>
        <w:widowControl/>
        <w:suppressLineNumbers w:val="0"/>
        <w:spacing w:after="120" w:afterAutospacing="0" w:line="525" w:lineRule="atLeast"/>
        <w:ind w:left="0" w:firstLine="645"/>
      </w:pPr>
      <w:r>
        <w:rPr>
          <w:rStyle w:val="5"/>
          <w:rFonts w:hint="eastAsia" w:ascii="仿宋" w:hAnsi="仿宋" w:eastAsia="仿宋" w:cs="仿宋"/>
          <w:sz w:val="31"/>
          <w:szCs w:val="31"/>
        </w:rPr>
        <w:t>根据《国家危险废物名录》，汽车维修过程中产生的危险废物主要包括废有机溶剂与含有机溶剂废物，废矿物油与含矿物油废物，染料、涂料废物，其他废物，废催化剂等。</w:t>
      </w:r>
    </w:p>
    <w:p w14:paraId="37FA2E66">
      <w:pPr>
        <w:pStyle w:val="2"/>
        <w:keepNext w:val="0"/>
        <w:keepLines w:val="0"/>
        <w:widowControl/>
        <w:suppressLineNumbers w:val="0"/>
        <w:spacing w:after="120" w:afterAutospacing="0" w:line="525" w:lineRule="atLeast"/>
        <w:ind w:left="0" w:firstLine="645"/>
      </w:pPr>
      <w:r>
        <w:t> </w:t>
      </w:r>
    </w:p>
    <w:p w14:paraId="6603C25C">
      <w:pPr>
        <w:pStyle w:val="2"/>
        <w:keepNext w:val="0"/>
        <w:keepLines w:val="0"/>
        <w:widowControl/>
        <w:suppressLineNumbers w:val="0"/>
        <w:spacing w:after="120" w:afterAutospacing="0" w:line="525" w:lineRule="atLeast"/>
        <w:ind w:left="0" w:firstLine="645"/>
      </w:pPr>
      <w:r>
        <w:t> </w:t>
      </w:r>
    </w:p>
    <w:p w14:paraId="65B9F52B">
      <w:pPr>
        <w:pStyle w:val="2"/>
        <w:keepNext w:val="0"/>
        <w:keepLines w:val="0"/>
        <w:widowControl/>
        <w:suppressLineNumbers w:val="0"/>
        <w:spacing w:line="555" w:lineRule="atLeast"/>
      </w:pPr>
      <w:r>
        <w:rPr>
          <w:rStyle w:val="5"/>
          <w:rFonts w:hint="eastAsia" w:ascii="仿宋" w:hAnsi="仿宋" w:eastAsia="仿宋" w:cs="仿宋"/>
          <w:sz w:val="31"/>
          <w:szCs w:val="31"/>
        </w:rPr>
        <w:t>         汽车维修过程中产生的危险废物分类表</w:t>
      </w:r>
    </w:p>
    <w:tbl>
      <w:tblPr>
        <w:tblW w:w="0" w:type="auto"/>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896"/>
        <w:gridCol w:w="2065"/>
        <w:gridCol w:w="1374"/>
        <w:gridCol w:w="4256"/>
      </w:tblGrid>
      <w:tr w14:paraId="0BB565F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CellMar>
            <w:top w:w="15" w:type="dxa"/>
            <w:left w:w="15" w:type="dxa"/>
            <w:bottom w:w="15" w:type="dxa"/>
            <w:right w:w="15" w:type="dxa"/>
          </w:tblCellMar>
        </w:tblPrEx>
        <w:trPr>
          <w:trHeight w:val="495" w:hRule="atLeast"/>
          <w:tblCellSpacing w:w="15" w:type="dxa"/>
        </w:trPr>
        <w:tc>
          <w:tcPr>
            <w:tcW w:w="900" w:type="dxa"/>
            <w:tcBorders>
              <w:top w:val="single" w:color="000000"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6C4F277">
            <w:pPr>
              <w:pStyle w:val="2"/>
              <w:keepNext w:val="0"/>
              <w:keepLines w:val="0"/>
              <w:widowControl/>
              <w:suppressLineNumbers w:val="0"/>
              <w:spacing w:line="405" w:lineRule="atLeast"/>
              <w:jc w:val="center"/>
            </w:pPr>
            <w:r>
              <w:rPr>
                <w:rStyle w:val="5"/>
                <w:rFonts w:hint="eastAsia" w:ascii="仿宋" w:hAnsi="仿宋" w:eastAsia="仿宋" w:cs="仿宋"/>
                <w:sz w:val="28"/>
                <w:szCs w:val="28"/>
                <w:bdr w:val="none" w:color="auto" w:sz="0" w:space="0"/>
              </w:rPr>
              <w:t>序号</w:t>
            </w:r>
          </w:p>
        </w:tc>
        <w:tc>
          <w:tcPr>
            <w:tcW w:w="2220"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30B8E55">
            <w:pPr>
              <w:pStyle w:val="2"/>
              <w:keepNext w:val="0"/>
              <w:keepLines w:val="0"/>
              <w:widowControl/>
              <w:suppressLineNumbers w:val="0"/>
              <w:spacing w:line="405" w:lineRule="atLeast"/>
              <w:jc w:val="center"/>
            </w:pPr>
            <w:r>
              <w:rPr>
                <w:rStyle w:val="5"/>
                <w:rFonts w:hint="eastAsia" w:ascii="仿宋" w:hAnsi="仿宋" w:eastAsia="仿宋" w:cs="仿宋"/>
                <w:sz w:val="28"/>
                <w:szCs w:val="28"/>
                <w:bdr w:val="none" w:color="auto" w:sz="0" w:space="0"/>
              </w:rPr>
              <w:t>废物类别</w:t>
            </w:r>
          </w:p>
        </w:tc>
        <w:tc>
          <w:tcPr>
            <w:tcW w:w="1425"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6DED3A8">
            <w:pPr>
              <w:pStyle w:val="2"/>
              <w:keepNext w:val="0"/>
              <w:keepLines w:val="0"/>
              <w:widowControl/>
              <w:suppressLineNumbers w:val="0"/>
              <w:spacing w:line="405" w:lineRule="atLeast"/>
              <w:jc w:val="center"/>
            </w:pPr>
            <w:r>
              <w:rPr>
                <w:rStyle w:val="5"/>
                <w:rFonts w:hint="eastAsia" w:ascii="仿宋" w:hAnsi="仿宋" w:eastAsia="仿宋" w:cs="仿宋"/>
                <w:sz w:val="28"/>
                <w:szCs w:val="28"/>
                <w:bdr w:val="none" w:color="auto" w:sz="0" w:space="0"/>
              </w:rPr>
              <w:t>废物代码</w:t>
            </w:r>
          </w:p>
        </w:tc>
        <w:tc>
          <w:tcPr>
            <w:tcW w:w="4680" w:type="dxa"/>
            <w:tcBorders>
              <w:top w:val="single" w:color="000000"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3096A51">
            <w:pPr>
              <w:pStyle w:val="2"/>
              <w:keepNext w:val="0"/>
              <w:keepLines w:val="0"/>
              <w:widowControl/>
              <w:suppressLineNumbers w:val="0"/>
              <w:spacing w:line="405" w:lineRule="atLeast"/>
              <w:ind w:left="0" w:firstLine="555"/>
              <w:jc w:val="center"/>
            </w:pPr>
            <w:r>
              <w:rPr>
                <w:rStyle w:val="5"/>
                <w:rFonts w:hint="eastAsia" w:ascii="仿宋" w:hAnsi="仿宋" w:eastAsia="仿宋" w:cs="仿宋"/>
                <w:sz w:val="28"/>
                <w:szCs w:val="28"/>
                <w:bdr w:val="none" w:color="auto" w:sz="0" w:space="0"/>
              </w:rPr>
              <w:t>名称及来源</w:t>
            </w:r>
          </w:p>
        </w:tc>
      </w:tr>
      <w:tr w14:paraId="0D0DCD0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15" w:type="dxa"/>
        </w:trPr>
        <w:tc>
          <w:tcPr>
            <w:tcW w:w="90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333C48D2">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1</w:t>
            </w:r>
          </w:p>
        </w:tc>
        <w:tc>
          <w:tcPr>
            <w:tcW w:w="22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D6775E5">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废有机溶剂与含有机溶剂废物</w:t>
            </w:r>
          </w:p>
        </w:tc>
        <w:tc>
          <w:tcPr>
            <w:tcW w:w="142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2E7D452">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HW06</w:t>
            </w:r>
          </w:p>
        </w:tc>
        <w:tc>
          <w:tcPr>
            <w:tcW w:w="46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27C730DD">
            <w:pPr>
              <w:pStyle w:val="2"/>
              <w:keepNext w:val="0"/>
              <w:keepLines w:val="0"/>
              <w:widowControl/>
              <w:suppressLineNumbers w:val="0"/>
              <w:spacing w:line="360" w:lineRule="atLeast"/>
            </w:pPr>
            <w:r>
              <w:rPr>
                <w:rStyle w:val="5"/>
                <w:rFonts w:hint="eastAsia" w:ascii="仿宋" w:hAnsi="仿宋" w:eastAsia="仿宋" w:cs="仿宋"/>
                <w:sz w:val="28"/>
                <w:szCs w:val="28"/>
                <w:bdr w:val="none" w:color="auto" w:sz="0" w:space="0"/>
              </w:rPr>
              <w:t>零件清洗过程废弃的有机溶剂、保养更换的防冻液等</w:t>
            </w:r>
          </w:p>
        </w:tc>
      </w:tr>
      <w:tr w14:paraId="7BF31D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15" w:type="dxa"/>
        </w:trPr>
        <w:tc>
          <w:tcPr>
            <w:tcW w:w="90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8FF3B4E">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2</w:t>
            </w:r>
          </w:p>
        </w:tc>
        <w:tc>
          <w:tcPr>
            <w:tcW w:w="22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5B306F0">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废矿物油与含矿物油废物</w:t>
            </w:r>
          </w:p>
        </w:tc>
        <w:tc>
          <w:tcPr>
            <w:tcW w:w="142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FA85966">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HW08</w:t>
            </w:r>
          </w:p>
        </w:tc>
        <w:tc>
          <w:tcPr>
            <w:tcW w:w="46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D59A605">
            <w:pPr>
              <w:pStyle w:val="2"/>
              <w:keepNext w:val="0"/>
              <w:keepLines w:val="0"/>
              <w:widowControl/>
              <w:suppressLineNumbers w:val="0"/>
              <w:spacing w:line="360" w:lineRule="atLeast"/>
            </w:pPr>
            <w:r>
              <w:rPr>
                <w:rStyle w:val="5"/>
                <w:rFonts w:hint="eastAsia" w:ascii="仿宋" w:hAnsi="仿宋" w:eastAsia="仿宋" w:cs="仿宋"/>
                <w:sz w:val="28"/>
                <w:szCs w:val="28"/>
                <w:bdr w:val="none" w:color="auto" w:sz="0" w:space="0"/>
              </w:rPr>
              <w:t>维修保养过程中废弃的柴油、机油、刹车油、液压油、润滑油等</w:t>
            </w:r>
          </w:p>
        </w:tc>
      </w:tr>
      <w:tr w14:paraId="531D68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15" w:type="dxa"/>
        </w:trPr>
        <w:tc>
          <w:tcPr>
            <w:tcW w:w="90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733C9F19">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3</w:t>
            </w:r>
          </w:p>
        </w:tc>
        <w:tc>
          <w:tcPr>
            <w:tcW w:w="22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7D20F1D4">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染料、涂料废物</w:t>
            </w:r>
          </w:p>
        </w:tc>
        <w:tc>
          <w:tcPr>
            <w:tcW w:w="142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E9AEF0D">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HW12</w:t>
            </w:r>
          </w:p>
        </w:tc>
        <w:tc>
          <w:tcPr>
            <w:tcW w:w="46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5ECA88B7">
            <w:pPr>
              <w:pStyle w:val="2"/>
              <w:keepNext w:val="0"/>
              <w:keepLines w:val="0"/>
              <w:widowControl/>
              <w:suppressLineNumbers w:val="0"/>
              <w:spacing w:line="360" w:lineRule="atLeast"/>
            </w:pPr>
            <w:r>
              <w:rPr>
                <w:rStyle w:val="5"/>
                <w:rFonts w:hint="eastAsia" w:ascii="仿宋" w:hAnsi="仿宋" w:eastAsia="仿宋" w:cs="仿宋"/>
                <w:sz w:val="28"/>
                <w:szCs w:val="28"/>
                <w:bdr w:val="none" w:color="auto" w:sz="0" w:space="0"/>
              </w:rPr>
              <w:t>维修过程使用油漆（不包括水性漆）作业产生的废油漆、漆渣、过滤棉等</w:t>
            </w:r>
          </w:p>
        </w:tc>
      </w:tr>
      <w:tr w14:paraId="03B184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15" w:type="dxa"/>
        </w:trPr>
        <w:tc>
          <w:tcPr>
            <w:tcW w:w="90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04EB9909">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4</w:t>
            </w:r>
          </w:p>
        </w:tc>
        <w:tc>
          <w:tcPr>
            <w:tcW w:w="22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ADC0599">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其他废物</w:t>
            </w:r>
          </w:p>
        </w:tc>
        <w:tc>
          <w:tcPr>
            <w:tcW w:w="142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6846E1CD">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HW49</w:t>
            </w:r>
          </w:p>
        </w:tc>
        <w:tc>
          <w:tcPr>
            <w:tcW w:w="46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3BF0AB2B">
            <w:pPr>
              <w:pStyle w:val="2"/>
              <w:keepNext w:val="0"/>
              <w:keepLines w:val="0"/>
              <w:widowControl/>
              <w:suppressLineNumbers w:val="0"/>
              <w:spacing w:line="360" w:lineRule="atLeast"/>
            </w:pPr>
            <w:r>
              <w:rPr>
                <w:rStyle w:val="5"/>
                <w:rFonts w:hint="eastAsia" w:ascii="仿宋" w:hAnsi="仿宋" w:eastAsia="仿宋" w:cs="仿宋"/>
                <w:sz w:val="28"/>
                <w:szCs w:val="28"/>
                <w:bdr w:val="none" w:color="auto" w:sz="0" w:space="0"/>
              </w:rPr>
              <w:t>废活性炭、废机油桶、废机滤、废弃的铅蓄电池、废油漆桶等</w:t>
            </w:r>
          </w:p>
        </w:tc>
      </w:tr>
      <w:tr w14:paraId="20D3C3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35" w:hRule="atLeast"/>
          <w:tblCellSpacing w:w="15" w:type="dxa"/>
        </w:trPr>
        <w:tc>
          <w:tcPr>
            <w:tcW w:w="900" w:type="dxa"/>
            <w:tcBorders>
              <w:top w:val="single" w:color="auto" w:sz="6" w:space="0"/>
              <w:left w:val="single" w:color="000000" w:sz="6" w:space="0"/>
              <w:bottom w:val="single" w:color="000000" w:sz="6" w:space="0"/>
              <w:right w:val="single" w:color="000000" w:sz="6" w:space="0"/>
            </w:tcBorders>
            <w:shd w:val="clear"/>
            <w:tcMar>
              <w:top w:w="0" w:type="dxa"/>
              <w:left w:w="105" w:type="dxa"/>
              <w:bottom w:w="0" w:type="dxa"/>
              <w:right w:w="105" w:type="dxa"/>
            </w:tcMar>
            <w:vAlign w:val="center"/>
          </w:tcPr>
          <w:p w14:paraId="13DEC11C">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5</w:t>
            </w:r>
          </w:p>
        </w:tc>
        <w:tc>
          <w:tcPr>
            <w:tcW w:w="222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187A207F">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废催化剂</w:t>
            </w:r>
          </w:p>
        </w:tc>
        <w:tc>
          <w:tcPr>
            <w:tcW w:w="1425"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4633C27E">
            <w:pPr>
              <w:pStyle w:val="2"/>
              <w:keepNext w:val="0"/>
              <w:keepLines w:val="0"/>
              <w:widowControl/>
              <w:suppressLineNumbers w:val="0"/>
              <w:spacing w:line="360" w:lineRule="atLeast"/>
              <w:jc w:val="center"/>
            </w:pPr>
            <w:r>
              <w:rPr>
                <w:rStyle w:val="5"/>
                <w:rFonts w:hint="eastAsia" w:ascii="仿宋" w:hAnsi="仿宋" w:eastAsia="仿宋" w:cs="仿宋"/>
                <w:sz w:val="28"/>
                <w:szCs w:val="28"/>
                <w:bdr w:val="none" w:color="auto" w:sz="0" w:space="0"/>
              </w:rPr>
              <w:t>HW50</w:t>
            </w:r>
          </w:p>
        </w:tc>
        <w:tc>
          <w:tcPr>
            <w:tcW w:w="4680" w:type="dxa"/>
            <w:tcBorders>
              <w:top w:val="single" w:color="auto" w:sz="6" w:space="0"/>
              <w:left w:val="single" w:color="auto" w:sz="6" w:space="0"/>
              <w:bottom w:val="single" w:color="000000" w:sz="6" w:space="0"/>
              <w:right w:val="single" w:color="000000" w:sz="6" w:space="0"/>
            </w:tcBorders>
            <w:shd w:val="clear"/>
            <w:tcMar>
              <w:top w:w="0" w:type="dxa"/>
              <w:left w:w="105" w:type="dxa"/>
              <w:bottom w:w="0" w:type="dxa"/>
              <w:right w:w="105" w:type="dxa"/>
            </w:tcMar>
            <w:vAlign w:val="center"/>
          </w:tcPr>
          <w:p w14:paraId="0EFD3E24">
            <w:pPr>
              <w:pStyle w:val="2"/>
              <w:keepNext w:val="0"/>
              <w:keepLines w:val="0"/>
              <w:widowControl/>
              <w:suppressLineNumbers w:val="0"/>
              <w:spacing w:line="360" w:lineRule="atLeast"/>
            </w:pPr>
            <w:r>
              <w:rPr>
                <w:rStyle w:val="5"/>
                <w:rFonts w:hint="eastAsia" w:ascii="仿宋" w:hAnsi="仿宋" w:eastAsia="仿宋" w:cs="仿宋"/>
                <w:sz w:val="28"/>
                <w:szCs w:val="28"/>
                <w:bdr w:val="none" w:color="auto" w:sz="0" w:space="0"/>
              </w:rPr>
              <w:t>废汽车尾气净化催化剂</w:t>
            </w:r>
          </w:p>
        </w:tc>
      </w:tr>
    </w:tbl>
    <w:p w14:paraId="46CA3C56">
      <w:pPr>
        <w:pStyle w:val="2"/>
        <w:keepNext w:val="0"/>
        <w:keepLines w:val="0"/>
        <w:widowControl/>
        <w:suppressLineNumbers w:val="0"/>
        <w:spacing w:line="360" w:lineRule="atLeast"/>
        <w:ind w:left="0" w:firstLine="645"/>
      </w:pPr>
      <w:r>
        <w:rPr>
          <w:rStyle w:val="5"/>
          <w:rFonts w:hint="eastAsia" w:ascii="仿宋" w:hAnsi="仿宋" w:eastAsia="仿宋" w:cs="仿宋"/>
          <w:sz w:val="31"/>
          <w:szCs w:val="31"/>
        </w:rPr>
        <w:t>3.危险废物收集、暂存场所建设标准及要求</w:t>
      </w:r>
    </w:p>
    <w:p w14:paraId="6470AD03">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建设符合《危险废物贮存污染控制标准》（GB 18597-2001）的危险废物暂存场所。要求：场地硬化及防渗；有液态或半固态危险废物的，设置托盘或围堰；做好防雨、防晒、防渗等措施。</w:t>
      </w:r>
    </w:p>
    <w:p w14:paraId="089FFAED">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按照《环境保护图形标志-固体废物贮存(处置）场》（GB 15562.2-1995）的规定，在危险废物暂存场所门口显著位置张贴文字标识及警告标志。警告标志样式如下：</w:t>
      </w:r>
    </w:p>
    <w:tbl>
      <w:tblPr>
        <w:tblW w:w="910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041"/>
        <w:gridCol w:w="5064"/>
      </w:tblGrid>
      <w:tr w14:paraId="116A4A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895" w:hRule="atLeast"/>
          <w:tblCellSpacing w:w="15" w:type="dxa"/>
        </w:trPr>
        <w:tc>
          <w:tcPr>
            <w:tcW w:w="400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03220F11">
            <w:pPr>
              <w:pStyle w:val="2"/>
              <w:keepNext w:val="0"/>
              <w:keepLines w:val="0"/>
              <w:widowControl/>
              <w:suppressLineNumbers w:val="0"/>
              <w:spacing w:after="240" w:afterAutospacing="0"/>
              <w:jc w:val="center"/>
            </w:pPr>
            <w:r>
              <w:rPr>
                <w:rFonts w:hint="eastAsia" w:ascii="仿宋_GB2312" w:eastAsia="仿宋_GB2312" w:cs="仿宋_GB2312"/>
                <w:color w:val="auto"/>
                <w:sz w:val="30"/>
                <w:szCs w:val="30"/>
                <w:u w:val="none"/>
                <w:bdr w:val="none" w:color="auto" w:sz="0" w:space="0"/>
              </w:rPr>
              <w:drawing>
                <wp:inline distT="0" distB="0" distL="114300" distR="114300">
                  <wp:extent cx="2114550" cy="1695450"/>
                  <wp:effectExtent l="0" t="0" r="0" b="0"/>
                  <wp:docPr id="5" name="图片 4" descr="1.pn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descr="1.png"/>
                          <pic:cNvPicPr>
                            <a:picLocks noChangeAspect="1"/>
                          </pic:cNvPicPr>
                        </pic:nvPicPr>
                        <pic:blipFill>
                          <a:blip r:embed="rId5"/>
                          <a:stretch>
                            <a:fillRect/>
                          </a:stretch>
                        </pic:blipFill>
                        <pic:spPr>
                          <a:xfrm>
                            <a:off x="0" y="0"/>
                            <a:ext cx="2114550" cy="1695450"/>
                          </a:xfrm>
                          <a:prstGeom prst="rect">
                            <a:avLst/>
                          </a:prstGeom>
                          <a:noFill/>
                          <a:ln w="9525">
                            <a:noFill/>
                          </a:ln>
                        </pic:spPr>
                      </pic:pic>
                    </a:graphicData>
                  </a:graphic>
                </wp:inline>
              </w:drawing>
            </w:r>
          </w:p>
        </w:tc>
        <w:tc>
          <w:tcPr>
            <w:tcW w:w="5100"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19E60282">
            <w:pPr>
              <w:pStyle w:val="2"/>
              <w:keepNext w:val="0"/>
              <w:keepLines w:val="0"/>
              <w:widowControl/>
              <w:suppressLineNumbers w:val="0"/>
              <w:jc w:val="center"/>
            </w:pPr>
            <w:r>
              <w:rPr>
                <w:rStyle w:val="5"/>
                <w:rFonts w:hint="eastAsia" w:ascii="仿宋" w:hAnsi="仿宋" w:eastAsia="仿宋" w:cs="仿宋"/>
                <w:sz w:val="24"/>
                <w:szCs w:val="24"/>
                <w:bdr w:val="none" w:color="auto" w:sz="0" w:space="0"/>
              </w:rPr>
              <w:t>说　　明</w:t>
            </w:r>
          </w:p>
          <w:p w14:paraId="7771BFB3">
            <w:pPr>
              <w:pStyle w:val="2"/>
              <w:keepNext w:val="0"/>
              <w:keepLines w:val="0"/>
              <w:widowControl/>
              <w:suppressLineNumbers w:val="0"/>
              <w:jc w:val="center"/>
            </w:pPr>
            <w:r>
              <w:rPr>
                <w:rStyle w:val="5"/>
                <w:rFonts w:hint="eastAsia" w:ascii="仿宋" w:hAnsi="仿宋" w:eastAsia="仿宋" w:cs="仿宋"/>
                <w:sz w:val="24"/>
                <w:szCs w:val="24"/>
                <w:bdr w:val="none" w:color="auto" w:sz="0" w:space="0"/>
              </w:rPr>
              <w:t> </w:t>
            </w:r>
          </w:p>
          <w:p w14:paraId="69C38A97">
            <w:pPr>
              <w:pStyle w:val="2"/>
              <w:keepNext w:val="0"/>
              <w:keepLines w:val="0"/>
              <w:widowControl/>
              <w:suppressLineNumbers w:val="0"/>
              <w:ind w:left="0" w:firstLine="480"/>
            </w:pPr>
            <w:r>
              <w:rPr>
                <w:rStyle w:val="5"/>
                <w:rFonts w:hint="eastAsia" w:ascii="仿宋" w:hAnsi="仿宋" w:eastAsia="仿宋" w:cs="仿宋"/>
                <w:sz w:val="24"/>
                <w:szCs w:val="24"/>
                <w:bdr w:val="none" w:color="auto" w:sz="0" w:space="0"/>
              </w:rPr>
              <w:t>1.危险废物警告标志规格颜色。形状：等边三角形，边长40厘米。颜色：背景为黄色，图形为黑色。</w:t>
            </w:r>
          </w:p>
          <w:p w14:paraId="1ECE9236">
            <w:pPr>
              <w:pStyle w:val="2"/>
              <w:keepNext w:val="0"/>
              <w:keepLines w:val="0"/>
              <w:widowControl/>
              <w:suppressLineNumbers w:val="0"/>
              <w:ind w:left="0" w:firstLine="480"/>
            </w:pPr>
            <w:r>
              <w:rPr>
                <w:rStyle w:val="5"/>
                <w:rFonts w:hint="eastAsia" w:ascii="仿宋" w:hAnsi="仿宋" w:eastAsia="仿宋" w:cs="仿宋"/>
                <w:sz w:val="24"/>
                <w:szCs w:val="24"/>
                <w:bdr w:val="none" w:color="auto" w:sz="0" w:space="0"/>
              </w:rPr>
              <w:t>2.警告标志外檐2.5厘米。</w:t>
            </w:r>
          </w:p>
          <w:p w14:paraId="21D33DD6">
            <w:pPr>
              <w:pStyle w:val="2"/>
              <w:keepNext w:val="0"/>
              <w:keepLines w:val="0"/>
              <w:widowControl/>
              <w:suppressLineNumbers w:val="0"/>
              <w:ind w:left="0" w:firstLine="480"/>
            </w:pPr>
            <w:r>
              <w:rPr>
                <w:rStyle w:val="5"/>
                <w:rFonts w:hint="eastAsia" w:ascii="仿宋" w:hAnsi="仿宋" w:eastAsia="仿宋" w:cs="仿宋"/>
                <w:sz w:val="24"/>
                <w:szCs w:val="24"/>
                <w:bdr w:val="none" w:color="auto" w:sz="0" w:space="0"/>
              </w:rPr>
              <w:t>3.使用场所：危险废物贮存设施为房屋的，建有围墙或防护栅栏，且高度高于100厘米时；部分危险废物利用、处置场所。</w:t>
            </w:r>
          </w:p>
        </w:tc>
      </w:tr>
    </w:tbl>
    <w:p w14:paraId="05FC9AEE">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在危险废物暂存场所内悬挂管理制度标牌，盛装危险废物的容器按照《危险废物贮存污染控制标准》（GB 18597-2001）要求粘贴危险废物标签。样式如下：</w:t>
      </w:r>
    </w:p>
    <w:tbl>
      <w:tblPr>
        <w:tblW w:w="9075" w:type="dxa"/>
        <w:tblCellSpacing w:w="15" w:type="dxa"/>
        <w:tblInd w:w="15"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tblLayout w:type="autofit"/>
        <w:tblCellMar>
          <w:top w:w="15" w:type="dxa"/>
          <w:left w:w="15" w:type="dxa"/>
          <w:bottom w:w="15" w:type="dxa"/>
          <w:right w:w="15" w:type="dxa"/>
        </w:tblCellMar>
      </w:tblPr>
      <w:tblGrid>
        <w:gridCol w:w="4964"/>
        <w:gridCol w:w="4111"/>
      </w:tblGrid>
      <w:tr w14:paraId="13E85B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255" w:hRule="atLeast"/>
          <w:tblCellSpacing w:w="15" w:type="dxa"/>
        </w:trPr>
        <w:tc>
          <w:tcPr>
            <w:tcW w:w="493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center"/>
          </w:tcPr>
          <w:p w14:paraId="7A34782B">
            <w:pPr>
              <w:pStyle w:val="2"/>
              <w:keepNext w:val="0"/>
              <w:keepLines w:val="0"/>
              <w:widowControl/>
              <w:suppressLineNumbers w:val="0"/>
              <w:jc w:val="center"/>
            </w:pPr>
            <w:r>
              <w:rPr>
                <w:color w:val="auto"/>
                <w:u w:val="none"/>
                <w:bdr w:val="none" w:color="auto" w:sz="0" w:space="0"/>
              </w:rPr>
              <w:drawing>
                <wp:inline distT="0" distB="0" distL="114300" distR="114300">
                  <wp:extent cx="2609850" cy="1962150"/>
                  <wp:effectExtent l="0" t="0" r="0" b="0"/>
                  <wp:docPr id="6" name="图片 5" descr="2.png">
                    <a:hlinkClick xmlns:a="http://schemas.openxmlformats.org/drawingml/2006/main" r:id="rId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5" descr="2.png"/>
                          <pic:cNvPicPr>
                            <a:picLocks noChangeAspect="1"/>
                          </pic:cNvPicPr>
                        </pic:nvPicPr>
                        <pic:blipFill>
                          <a:blip r:embed="rId7"/>
                          <a:stretch>
                            <a:fillRect/>
                          </a:stretch>
                        </pic:blipFill>
                        <pic:spPr>
                          <a:xfrm>
                            <a:off x="0" y="0"/>
                            <a:ext cx="2609850" cy="1962150"/>
                          </a:xfrm>
                          <a:prstGeom prst="rect">
                            <a:avLst/>
                          </a:prstGeom>
                          <a:noFill/>
                          <a:ln w="9525">
                            <a:noFill/>
                          </a:ln>
                        </pic:spPr>
                      </pic:pic>
                    </a:graphicData>
                  </a:graphic>
                </wp:inline>
              </w:drawing>
            </w:r>
          </w:p>
        </w:tc>
        <w:tc>
          <w:tcPr>
            <w:tcW w:w="4155" w:type="dxa"/>
            <w:tcBorders>
              <w:top w:val="single" w:color="auto" w:sz="6" w:space="0"/>
              <w:left w:val="single" w:color="auto" w:sz="6" w:space="0"/>
              <w:bottom w:val="single" w:color="auto" w:sz="6" w:space="0"/>
              <w:right w:val="single" w:color="auto" w:sz="6" w:space="0"/>
            </w:tcBorders>
            <w:shd w:val="clear"/>
            <w:tcMar>
              <w:top w:w="0" w:type="dxa"/>
              <w:left w:w="105" w:type="dxa"/>
              <w:bottom w:w="0" w:type="dxa"/>
              <w:right w:w="105" w:type="dxa"/>
            </w:tcMar>
            <w:vAlign w:val="top"/>
          </w:tcPr>
          <w:p w14:paraId="0011B8F5">
            <w:pPr>
              <w:pStyle w:val="2"/>
              <w:keepNext w:val="0"/>
              <w:keepLines w:val="0"/>
              <w:widowControl/>
              <w:suppressLineNumbers w:val="0"/>
              <w:jc w:val="center"/>
            </w:pPr>
            <w:r>
              <w:rPr>
                <w:rStyle w:val="5"/>
                <w:rFonts w:hint="eastAsia" w:ascii="仿宋_GB2312" w:eastAsia="仿宋_GB2312" w:cs="仿宋_GB2312"/>
                <w:sz w:val="24"/>
                <w:szCs w:val="24"/>
                <w:bdr w:val="none" w:color="auto" w:sz="0" w:space="0"/>
              </w:rPr>
              <w:t> </w:t>
            </w:r>
          </w:p>
          <w:p w14:paraId="4A8B99F9">
            <w:pPr>
              <w:pStyle w:val="2"/>
              <w:keepNext w:val="0"/>
              <w:keepLines w:val="0"/>
              <w:widowControl/>
              <w:suppressLineNumbers w:val="0"/>
              <w:jc w:val="center"/>
            </w:pPr>
            <w:r>
              <w:rPr>
                <w:rStyle w:val="5"/>
                <w:rFonts w:hint="eastAsia" w:ascii="仿宋" w:hAnsi="仿宋" w:eastAsia="仿宋" w:cs="仿宋"/>
                <w:sz w:val="24"/>
                <w:szCs w:val="24"/>
                <w:bdr w:val="none" w:color="auto" w:sz="0" w:space="0"/>
              </w:rPr>
              <w:t>说　　明</w:t>
            </w:r>
          </w:p>
          <w:p w14:paraId="7E39DC42">
            <w:pPr>
              <w:pStyle w:val="2"/>
              <w:keepNext w:val="0"/>
              <w:keepLines w:val="0"/>
              <w:widowControl/>
              <w:suppressLineNumbers w:val="0"/>
              <w:jc w:val="center"/>
            </w:pPr>
            <w:r>
              <w:rPr>
                <w:rStyle w:val="5"/>
                <w:rFonts w:hint="eastAsia" w:ascii="仿宋" w:hAnsi="仿宋" w:eastAsia="仿宋" w:cs="仿宋"/>
                <w:sz w:val="24"/>
                <w:szCs w:val="24"/>
                <w:bdr w:val="none" w:color="auto" w:sz="0" w:space="0"/>
              </w:rPr>
              <w:t> </w:t>
            </w:r>
          </w:p>
          <w:p w14:paraId="1B1DB054">
            <w:pPr>
              <w:pStyle w:val="2"/>
              <w:keepNext w:val="0"/>
              <w:keepLines w:val="0"/>
              <w:widowControl/>
              <w:suppressLineNumbers w:val="0"/>
              <w:ind w:left="0" w:firstLine="480"/>
            </w:pPr>
            <w:r>
              <w:rPr>
                <w:rStyle w:val="5"/>
                <w:rFonts w:hint="eastAsia" w:ascii="仿宋" w:hAnsi="仿宋" w:eastAsia="仿宋" w:cs="仿宋"/>
                <w:sz w:val="24"/>
                <w:szCs w:val="24"/>
                <w:bdr w:val="none" w:color="auto" w:sz="0" w:space="0"/>
              </w:rPr>
              <w:t>1.危险废物标签尺寸颜色</w:t>
            </w:r>
          </w:p>
          <w:p w14:paraId="7AD6A541">
            <w:pPr>
              <w:pStyle w:val="2"/>
              <w:keepNext w:val="0"/>
              <w:keepLines w:val="0"/>
              <w:widowControl/>
              <w:suppressLineNumbers w:val="0"/>
              <w:ind w:left="0" w:firstLine="480"/>
            </w:pPr>
            <w:r>
              <w:rPr>
                <w:rStyle w:val="5"/>
                <w:rFonts w:hint="eastAsia" w:ascii="仿宋" w:hAnsi="仿宋" w:eastAsia="仿宋" w:cs="仿宋"/>
                <w:sz w:val="24"/>
                <w:szCs w:val="24"/>
                <w:bdr w:val="none" w:color="auto" w:sz="0" w:space="0"/>
              </w:rPr>
              <w:t>尺寸：20×20厘米。底色：醒目的橘黄色。字体：黑体字。字体颜色：黑色。</w:t>
            </w:r>
          </w:p>
          <w:p w14:paraId="5F5B8A7F">
            <w:pPr>
              <w:pStyle w:val="2"/>
              <w:keepNext w:val="0"/>
              <w:keepLines w:val="0"/>
              <w:widowControl/>
              <w:suppressLineNumbers w:val="0"/>
              <w:ind w:left="0" w:firstLine="480"/>
            </w:pPr>
            <w:r>
              <w:rPr>
                <w:rStyle w:val="5"/>
                <w:rFonts w:hint="eastAsia" w:ascii="仿宋" w:hAnsi="仿宋" w:eastAsia="仿宋" w:cs="仿宋"/>
                <w:sz w:val="24"/>
                <w:szCs w:val="24"/>
                <w:bdr w:val="none" w:color="auto" w:sz="0" w:space="0"/>
              </w:rPr>
              <w:t>2.危险类别：按危险废物种类选择。</w:t>
            </w:r>
          </w:p>
          <w:p w14:paraId="3E67BE76">
            <w:pPr>
              <w:pStyle w:val="2"/>
              <w:keepNext w:val="0"/>
              <w:keepLines w:val="0"/>
              <w:widowControl/>
              <w:suppressLineNumbers w:val="0"/>
              <w:ind w:left="0" w:firstLine="480"/>
            </w:pPr>
            <w:r>
              <w:rPr>
                <w:rStyle w:val="5"/>
                <w:rFonts w:hint="eastAsia" w:ascii="仿宋" w:hAnsi="仿宋" w:eastAsia="仿宋" w:cs="仿宋"/>
                <w:sz w:val="24"/>
                <w:szCs w:val="24"/>
                <w:bdr w:val="none" w:color="auto" w:sz="0" w:space="0"/>
              </w:rPr>
              <w:t>3.材料为不干胶印刷品。</w:t>
            </w:r>
          </w:p>
        </w:tc>
      </w:tr>
    </w:tbl>
    <w:p w14:paraId="150EAE6B">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识别出的废机油、废机滤等不同种类危险废物做到分类贮存。</w:t>
      </w:r>
    </w:p>
    <w:p w14:paraId="339A6196">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4.建立危险废物管理台账，分别记录危险废物产生的种类、数量和贮存、利用、处置等情况。</w:t>
      </w:r>
    </w:p>
    <w:p w14:paraId="0161182D">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5.危险废物转移</w:t>
      </w:r>
    </w:p>
    <w:p w14:paraId="761A459A">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各单位在转移危险废物前必须与具有《危险废物经营许可证》的单位签订转移合同，严格执行危险废物转移联单制度，禁止将危险废物私自倾倒、丢弃或交由无资质单位处置。</w:t>
      </w:r>
    </w:p>
    <w:p w14:paraId="6084290A">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6.环境风险防范</w:t>
      </w:r>
    </w:p>
    <w:p w14:paraId="4D699DE0">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应制定危险废物意外事故的防范措施和应急预案（到县生态环境部门备案），并定期开展培训和演练。</w:t>
      </w:r>
    </w:p>
    <w:p w14:paraId="3EF6FC73">
      <w:pPr>
        <w:pStyle w:val="2"/>
        <w:keepNext w:val="0"/>
        <w:keepLines w:val="0"/>
        <w:widowControl/>
        <w:suppressLineNumbers w:val="0"/>
        <w:spacing w:line="525" w:lineRule="atLeast"/>
        <w:ind w:left="0" w:firstLine="645"/>
      </w:pPr>
      <w:r>
        <w:rPr>
          <w:rStyle w:val="5"/>
          <w:rFonts w:hint="eastAsia" w:ascii="黑体" w:hAnsi="宋体" w:eastAsia="黑体" w:cs="黑体"/>
          <w:sz w:val="31"/>
          <w:szCs w:val="31"/>
        </w:rPr>
        <w:t>三、喷漆房环境管理要求</w:t>
      </w:r>
    </w:p>
    <w:p w14:paraId="28DA06EA">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1.根据《建设项目环境影响评价分类管理名录》（生态环境部令第1号）要求，办理环境影响评价文件。</w:t>
      </w:r>
    </w:p>
    <w:p w14:paraId="32319770">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2.所有调漆作业在密闭空间进行，喷漆、烤漆作业应在烤漆房内进行，产生的含挥发性有机物废气应经污染物处理设施处理后达标排放，严禁露天喷漆、烤漆作业。</w:t>
      </w:r>
    </w:p>
    <w:p w14:paraId="6DE238EA">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3.建立喷漆房废气处理设施管理运行及保养维护记录，记录保存期限不得少于3年。</w:t>
      </w:r>
    </w:p>
    <w:p w14:paraId="14B191BC">
      <w:pPr>
        <w:pStyle w:val="2"/>
        <w:keepNext w:val="0"/>
        <w:keepLines w:val="0"/>
        <w:widowControl/>
        <w:suppressLineNumbers w:val="0"/>
        <w:spacing w:line="525" w:lineRule="atLeast"/>
        <w:ind w:left="0" w:firstLine="645"/>
      </w:pPr>
      <w:r>
        <w:rPr>
          <w:rStyle w:val="5"/>
          <w:rFonts w:hint="eastAsia" w:ascii="仿宋" w:hAnsi="仿宋" w:eastAsia="仿宋" w:cs="仿宋"/>
          <w:sz w:val="31"/>
          <w:szCs w:val="31"/>
        </w:rPr>
        <w:t>4.定期更换活性炭及过滤棉，建立更换记录，产生的废活性炭、废过滤棉等按照危险废物进行管理。</w:t>
      </w:r>
    </w:p>
    <w:p w14:paraId="0C91D33B">
      <w:pPr>
        <w:pStyle w:val="2"/>
        <w:keepNext w:val="0"/>
        <w:keepLines w:val="0"/>
        <w:widowControl/>
        <w:suppressLineNumbers w:val="0"/>
      </w:pPr>
      <w:r>
        <w:t> </w:t>
      </w:r>
    </w:p>
    <w:p w14:paraId="1865F34C">
      <w:pPr>
        <w:pStyle w:val="2"/>
        <w:keepNext w:val="0"/>
        <w:keepLines w:val="0"/>
        <w:widowControl/>
        <w:suppressLineNumbers w:val="0"/>
      </w:pPr>
      <w:r>
        <w:t> </w:t>
      </w:r>
    </w:p>
    <w:p w14:paraId="119A589C">
      <w:pPr>
        <w:pStyle w:val="2"/>
        <w:keepNext w:val="0"/>
        <w:keepLines w:val="0"/>
        <w:widowControl/>
        <w:suppressLineNumbers w:val="0"/>
        <w:spacing w:line="555" w:lineRule="atLeast"/>
        <w:ind w:left="0" w:firstLine="645"/>
      </w:pPr>
      <w:r>
        <w:t> </w:t>
      </w:r>
    </w:p>
    <w:p w14:paraId="3E47E68C">
      <w:pPr>
        <w:pStyle w:val="2"/>
        <w:keepNext w:val="0"/>
        <w:keepLines w:val="0"/>
        <w:widowControl/>
        <w:suppressLineNumbers w:val="0"/>
        <w:spacing w:line="555" w:lineRule="atLeast"/>
        <w:ind w:left="0" w:firstLine="645"/>
      </w:pPr>
      <w:r>
        <w:rPr>
          <w:rStyle w:val="5"/>
          <w:rFonts w:hint="eastAsia" w:ascii="仿宋" w:hAnsi="仿宋" w:eastAsia="仿宋" w:cs="仿宋"/>
          <w:sz w:val="28"/>
          <w:szCs w:val="28"/>
        </w:rPr>
        <w:t> </w:t>
      </w:r>
    </w:p>
    <w:p w14:paraId="57F54FD4">
      <w:pPr>
        <w:pStyle w:val="2"/>
        <w:keepNext w:val="0"/>
        <w:keepLines w:val="0"/>
        <w:widowControl/>
        <w:suppressLineNumbers w:val="0"/>
        <w:spacing w:line="555" w:lineRule="atLeast"/>
        <w:ind w:left="0" w:firstLine="645"/>
      </w:pPr>
      <w:r>
        <w:rPr>
          <w:rStyle w:val="5"/>
          <w:rFonts w:hint="eastAsia" w:ascii="仿宋" w:hAnsi="仿宋" w:eastAsia="仿宋" w:cs="仿宋"/>
          <w:sz w:val="28"/>
          <w:szCs w:val="28"/>
        </w:rPr>
        <w:t>抄送：县委各部门，县人大常委会办公室，县政协办公室，县监委，</w:t>
      </w:r>
    </w:p>
    <w:p w14:paraId="7D00B517">
      <w:pPr>
        <w:pStyle w:val="2"/>
        <w:keepNext w:val="0"/>
        <w:keepLines w:val="0"/>
        <w:widowControl/>
        <w:suppressLineNumbers w:val="0"/>
        <w:spacing w:line="480" w:lineRule="atLeast"/>
        <w:ind w:left="1110" w:firstLine="45"/>
      </w:pPr>
      <w:r>
        <w:rPr>
          <w:rStyle w:val="5"/>
          <w:rFonts w:hint="eastAsia" w:ascii="仿宋" w:hAnsi="仿宋" w:eastAsia="仿宋" w:cs="仿宋"/>
          <w:sz w:val="28"/>
          <w:szCs w:val="28"/>
        </w:rPr>
        <w:t>  县法院，县检察院。</w:t>
      </w:r>
    </w:p>
    <w:p w14:paraId="133453D2">
      <w:pPr>
        <w:pStyle w:val="2"/>
        <w:keepNext w:val="0"/>
        <w:keepLines w:val="0"/>
        <w:widowControl/>
        <w:suppressLineNumbers w:val="0"/>
        <w:spacing w:line="480" w:lineRule="atLeast"/>
        <w:ind w:left="1110" w:firstLine="45"/>
      </w:pPr>
      <w:r>
        <w:rPr>
          <w:rStyle w:val="5"/>
          <w:rFonts w:hint="eastAsia" w:ascii="仿宋" w:hAnsi="仿宋" w:eastAsia="仿宋" w:cs="仿宋"/>
          <w:sz w:val="28"/>
          <w:szCs w:val="28"/>
        </w:rPr>
        <w:t>  县工商联。</w:t>
      </w:r>
    </w:p>
    <w:p w14:paraId="344AAC66">
      <w:pPr>
        <w:pStyle w:val="2"/>
        <w:keepNext w:val="0"/>
        <w:keepLines w:val="0"/>
        <w:widowControl/>
        <w:suppressLineNumbers w:val="0"/>
      </w:pPr>
      <w:r>
        <w:drawing>
          <wp:inline distT="0" distB="0" distL="114300" distR="114300">
            <wp:extent cx="5638800" cy="28575"/>
            <wp:effectExtent l="0" t="0" r="0" b="0"/>
            <wp:docPr id="7" name="图片 6" descr="IMG_2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6" descr="IMG_258"/>
                    <pic:cNvPicPr>
                      <a:picLocks noChangeAspect="1"/>
                    </pic:cNvPicPr>
                  </pic:nvPicPr>
                  <pic:blipFill>
                    <a:blip r:embed="rId8"/>
                    <a:stretch>
                      <a:fillRect/>
                    </a:stretch>
                  </pic:blipFill>
                  <pic:spPr>
                    <a:xfrm>
                      <a:off x="0" y="0"/>
                      <a:ext cx="5638800" cy="28575"/>
                    </a:xfrm>
                    <a:prstGeom prst="rect">
                      <a:avLst/>
                    </a:prstGeom>
                    <a:noFill/>
                    <a:ln w="9525">
                      <a:noFill/>
                    </a:ln>
                  </pic:spPr>
                </pic:pic>
              </a:graphicData>
            </a:graphic>
          </wp:inline>
        </w:drawing>
      </w:r>
      <w:r>
        <w:rPr>
          <w:rFonts w:hint="eastAsia" w:ascii="仿宋" w:hAnsi="仿宋" w:eastAsia="仿宋" w:cs="仿宋"/>
        </w:rPr>
        <w:drawing>
          <wp:inline distT="0" distB="0" distL="114300" distR="114300">
            <wp:extent cx="5629275" cy="28575"/>
            <wp:effectExtent l="0" t="0" r="0" b="0"/>
            <wp:docPr id="4" name="图片 7" descr="IMG_2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7" descr="IMG_259"/>
                    <pic:cNvPicPr>
                      <a:picLocks noChangeAspect="1"/>
                    </pic:cNvPicPr>
                  </pic:nvPicPr>
                  <pic:blipFill>
                    <a:blip r:embed="rId8"/>
                    <a:stretch>
                      <a:fillRect/>
                    </a:stretch>
                  </pic:blipFill>
                  <pic:spPr>
                    <a:xfrm>
                      <a:off x="0" y="0"/>
                      <a:ext cx="5629275" cy="28575"/>
                    </a:xfrm>
                    <a:prstGeom prst="rect">
                      <a:avLst/>
                    </a:prstGeom>
                    <a:noFill/>
                    <a:ln w="9525">
                      <a:noFill/>
                    </a:ln>
                  </pic:spPr>
                </pic:pic>
              </a:graphicData>
            </a:graphic>
          </wp:inline>
        </w:drawing>
      </w:r>
      <w:r>
        <w:rPr>
          <w:rStyle w:val="5"/>
          <w:rFonts w:hint="eastAsia" w:ascii="仿宋" w:hAnsi="仿宋" w:eastAsia="仿宋" w:cs="仿宋"/>
          <w:sz w:val="28"/>
          <w:szCs w:val="28"/>
        </w:rPr>
        <w:t>     沂源县人民政府办公室                   2019年 7月12日印发</w:t>
      </w:r>
      <w:r>
        <w:rPr>
          <w:rStyle w:val="5"/>
          <w:rFonts w:hint="eastAsia" w:ascii="仿宋" w:hAnsi="仿宋" w:eastAsia="仿宋" w:cs="仿宋"/>
          <w:sz w:val="31"/>
          <w:szCs w:val="31"/>
        </w:rPr>
        <w:t> </w:t>
      </w:r>
    </w:p>
    <w:p w14:paraId="7D012943">
      <w:pPr>
        <w:keepNext w:val="0"/>
        <w:keepLines w:val="0"/>
        <w:widowControl/>
        <w:suppressLineNumbers w:val="0"/>
        <w:jc w:val="left"/>
      </w:pPr>
      <w:r>
        <w:rPr>
          <w:rStyle w:val="5"/>
          <w:rFonts w:hint="eastAsia" w:ascii="仿宋" w:hAnsi="仿宋" w:eastAsia="仿宋" w:cs="仿宋"/>
          <w:kern w:val="0"/>
          <w:sz w:val="31"/>
          <w:szCs w:val="31"/>
          <w:lang w:val="en-US" w:eastAsia="zh-CN" w:bidi="ar"/>
        </w:rPr>
        <w:t> </w:t>
      </w:r>
    </w:p>
    <w:p w14:paraId="5BEA468A">
      <w:pPr>
        <w:pStyle w:val="2"/>
        <w:keepNext w:val="0"/>
        <w:keepLines w:val="0"/>
        <w:widowControl/>
        <w:suppressLineNumbers w:val="0"/>
        <w:spacing w:line="555" w:lineRule="atLeast"/>
        <w:ind w:left="0" w:firstLine="645"/>
      </w:pPr>
      <w:r>
        <w:rPr>
          <w:rStyle w:val="5"/>
          <w:rFonts w:hint="eastAsia" w:ascii="仿宋" w:hAnsi="仿宋" w:eastAsia="仿宋" w:cs="仿宋"/>
          <w:sz w:val="31"/>
          <w:szCs w:val="31"/>
        </w:rPr>
        <w:t> </w:t>
      </w:r>
    </w:p>
    <w:p w14:paraId="259D6E2D">
      <w:pPr>
        <w:pStyle w:val="2"/>
        <w:keepNext w:val="0"/>
        <w:keepLines w:val="0"/>
        <w:widowControl/>
        <w:suppressLineNumbers w:val="0"/>
        <w:spacing w:line="480" w:lineRule="atLeast"/>
        <w:ind w:left="930"/>
      </w:pPr>
      <w:r>
        <w:t> </w:t>
      </w:r>
    </w:p>
    <w:p w14:paraId="3AD2463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0E937C3"/>
    <w:rsid w:val="50E937C3"/>
    <w:rsid w:val="51D133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Hyperlink"/>
    <w:basedOn w:val="4"/>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image" Target="../NULL"/><Relationship Id="rId7" Type="http://schemas.openxmlformats.org/officeDocument/2006/relationships/image" Target="media/image2.png"/><Relationship Id="rId6" Type="http://schemas.openxmlformats.org/officeDocument/2006/relationships/hyperlink" Target="http://www.yiyuan.gov.cn/picture/-1/191228101351836243.png" TargetMode="External"/><Relationship Id="rId5" Type="http://schemas.openxmlformats.org/officeDocument/2006/relationships/image" Target="media/image1.png"/><Relationship Id="rId4" Type="http://schemas.openxmlformats.org/officeDocument/2006/relationships/hyperlink" Target="http://www.yiyuan.gov.cn/picture/-1/191228101351730622.png" TargetMode="Externa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11</Pages>
  <Words>0</Words>
  <Characters>0</Characters>
  <Lines>0</Lines>
  <Paragraphs>0</Paragraphs>
  <TotalTime>7</TotalTime>
  <ScaleCrop>false</ScaleCrop>
  <LinksUpToDate>false</LinksUpToDate>
  <CharactersWithSpaces>0</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2025-01-09T06:29:00Z</dcterms:created>
  <dc:creator>♚KingLee</dc:creator>
  <cp:lastModifiedBy>♚KingLee</cp:lastModifiedBy>
  <dcterms:modified xsi:type="dcterms:W3CDTF">2025-01-09T06:37:02Z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70F62045A21A476EAC1298FBA6CD3D09_13</vt:lpwstr>
  </property>
  <property fmtid="{D5CDD505-2E9C-101B-9397-08002B2CF9AE}" pid="4" name="KSOTemplateDocerSaveRecord">
    <vt:lpwstr>eyJoZGlkIjoiYzdmZTZlZTA2ODdiNWMwZWQ3NzE1YzM4YzljOTg4ZTMiLCJ1c2VySWQiOiI1MzA1NjE1NDMifQ==</vt:lpwstr>
  </property>
</Properties>
</file>