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240" w:lineRule="exact"/>
        <w:ind w:left="0" w:leftChars="0" w:right="459" w:rightChars="211" w:firstLine="212" w:firstLineChars="19"/>
        <w:jc w:val="center"/>
        <w:textAlignment w:val="auto"/>
        <w:outlineLvl w:val="9"/>
        <w:rPr>
          <w:rFonts w:hint="default" w:ascii="Times New Roman" w:hAnsi="Times New Roman" w:eastAsia="方正小标宋简体" w:cs="Times New Roman"/>
          <w:b/>
          <w:color w:val="FF0000"/>
          <w:spacing w:val="125"/>
          <w:w w:val="60"/>
          <w:kern w:val="2"/>
          <w:sz w:val="144"/>
          <w:szCs w:val="144"/>
        </w:rPr>
      </w:pPr>
    </w:p>
    <w:p>
      <w:pPr>
        <w:keepNext w:val="0"/>
        <w:keepLines w:val="0"/>
        <w:pageBreakBefore w:val="0"/>
        <w:widowControl w:val="0"/>
        <w:kinsoku/>
        <w:wordWrap/>
        <w:overflowPunct/>
        <w:topLinePunct w:val="0"/>
        <w:autoSpaceDE/>
        <w:autoSpaceDN/>
        <w:bidi w:val="0"/>
        <w:adjustRightInd/>
        <w:snapToGrid/>
        <w:spacing w:line="520" w:lineRule="exact"/>
        <w:textAlignment w:val="baseline"/>
        <w:outlineLvl w:val="9"/>
        <w:rPr>
          <w:rFonts w:hint="default" w:ascii="Times New Roman" w:hAnsi="Times New Roman" w:eastAsia="仿宋_GB2312" w:cs="Times New Roman"/>
          <w:b w:val="0"/>
          <w:bCs/>
          <w:color w:val="auto"/>
          <w:sz w:val="32"/>
          <w:szCs w:val="32"/>
        </w:rPr>
      </w:pPr>
    </w:p>
    <w:p>
      <w:pPr>
        <w:spacing w:line="560" w:lineRule="exact"/>
        <w:jc w:val="center"/>
        <w:rPr>
          <w:rFonts w:hint="default" w:ascii="Times New Roman" w:hAnsi="Times New Roman" w:eastAsia="仿宋_GB2312" w:cs="Times New Roman"/>
          <w:spacing w:val="11"/>
          <w:sz w:val="32"/>
          <w:szCs w:val="36"/>
        </w:rPr>
      </w:pPr>
    </w:p>
    <w:p>
      <w:pPr>
        <w:spacing w:line="560" w:lineRule="exact"/>
        <w:jc w:val="center"/>
        <w:rPr>
          <w:rFonts w:ascii="Times New Roman" w:hAnsi="Times New Roman" w:eastAsia="仿宋_GB2312" w:cs="Times New Roman"/>
          <w:sz w:val="44"/>
          <w:szCs w:val="52"/>
        </w:rPr>
      </w:pPr>
      <w:r>
        <w:rPr>
          <w:rFonts w:ascii="Times New Roman" w:hAnsi="Times New Roman" w:eastAsia="仿宋_GB2312" w:cs="Times New Roman"/>
          <w:sz w:val="32"/>
          <w:szCs w:val="52"/>
        </w:rPr>
        <w:t>源政办字〔202</w:t>
      </w:r>
      <w:r>
        <w:rPr>
          <w:rFonts w:hint="eastAsia" w:ascii="Times New Roman" w:hAnsi="Times New Roman" w:eastAsia="仿宋_GB2312" w:cs="Times New Roman"/>
          <w:sz w:val="32"/>
          <w:szCs w:val="52"/>
          <w:lang w:val="en-US" w:eastAsia="zh-CN"/>
        </w:rPr>
        <w:t>4</w:t>
      </w:r>
      <w:r>
        <w:rPr>
          <w:rFonts w:ascii="Times New Roman" w:hAnsi="Times New Roman" w:eastAsia="仿宋_GB2312" w:cs="Times New Roman"/>
          <w:sz w:val="32"/>
          <w:szCs w:val="52"/>
        </w:rPr>
        <w:t>〕</w:t>
      </w:r>
      <w:r>
        <w:rPr>
          <w:rFonts w:hint="eastAsia" w:ascii="Times New Roman" w:hAnsi="Times New Roman" w:eastAsia="仿宋_GB2312" w:cs="Times New Roman"/>
          <w:sz w:val="32"/>
          <w:szCs w:val="52"/>
          <w:lang w:val="en-US" w:eastAsia="zh-CN"/>
        </w:rPr>
        <w:t>3</w:t>
      </w:r>
      <w:r>
        <w:rPr>
          <w:rFonts w:ascii="Times New Roman" w:hAnsi="Times New Roman" w:eastAsia="仿宋_GB2312" w:cs="Times New Roman"/>
          <w:sz w:val="32"/>
          <w:szCs w:val="52"/>
        </w:rPr>
        <w:t>号</w:t>
      </w:r>
    </w:p>
    <w:p>
      <w:pPr>
        <w:spacing w:line="560" w:lineRule="exact"/>
        <w:rPr>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strike w:val="0"/>
          <w:dstrike w:val="0"/>
          <w:color w:val="000000" w:themeColor="text1"/>
          <w:kern w:val="2"/>
          <w:sz w:val="44"/>
          <w:szCs w:val="44"/>
          <w:highlight w:val="none"/>
          <w:u w:val="none"/>
          <w:lang w:val="en-US" w:eastAsia="zh-CN" w:bidi="ar"/>
          <w14:textFill>
            <w14:solidFill>
              <w14:schemeClr w14:val="tx1"/>
            </w14:solidFill>
          </w14:textFill>
        </w:rPr>
      </w:pPr>
      <w:r>
        <w:rPr>
          <w:rFonts w:hint="default" w:ascii="Times New Roman" w:hAnsi="Times New Roman" w:eastAsia="方正小标宋简体" w:cs="Times New Roman"/>
          <w:b w:val="0"/>
          <w:bCs/>
          <w:strike w:val="0"/>
          <w:dstrike w:val="0"/>
          <w:color w:val="000000" w:themeColor="text1"/>
          <w:kern w:val="2"/>
          <w:sz w:val="44"/>
          <w:szCs w:val="44"/>
          <w:highlight w:val="none"/>
          <w:u w:val="none"/>
          <w:lang w:val="en-US" w:eastAsia="zh-CN" w:bidi="ar"/>
          <w14:textFill>
            <w14:solidFill>
              <w14:schemeClr w14:val="tx1"/>
            </w14:solidFill>
          </w14:textFill>
        </w:rPr>
        <w:t>沂源县人民政府办公室</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strike w:val="0"/>
          <w:dstrike w:val="0"/>
          <w:color w:val="000000" w:themeColor="text1"/>
          <w:spacing w:val="-11"/>
          <w:kern w:val="2"/>
          <w:sz w:val="44"/>
          <w:szCs w:val="44"/>
          <w:highlight w:val="none"/>
          <w:u w:val="none"/>
          <w:lang w:val="en-US" w:eastAsia="zh-CN" w:bidi="ar"/>
          <w14:textFill>
            <w14:solidFill>
              <w14:schemeClr w14:val="tx1"/>
            </w14:solidFill>
          </w14:textFill>
        </w:rPr>
      </w:pPr>
      <w:r>
        <w:rPr>
          <w:rFonts w:hint="default" w:ascii="Times New Roman" w:hAnsi="Times New Roman" w:eastAsia="方正小标宋简体" w:cs="Times New Roman"/>
          <w:b w:val="0"/>
          <w:bCs/>
          <w:strike w:val="0"/>
          <w:dstrike w:val="0"/>
          <w:color w:val="000000" w:themeColor="text1"/>
          <w:spacing w:val="-11"/>
          <w:kern w:val="2"/>
          <w:sz w:val="44"/>
          <w:szCs w:val="44"/>
          <w:highlight w:val="none"/>
          <w:u w:val="none"/>
          <w:lang w:val="en-US" w:eastAsia="zh-CN" w:bidi="ar"/>
          <w14:textFill>
            <w14:solidFill>
              <w14:schemeClr w14:val="tx1"/>
            </w14:solidFill>
          </w14:textFill>
        </w:rPr>
        <w:t>关于印发《全面加强和改进新时代</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strike w:val="0"/>
          <w:dstrike w:val="0"/>
          <w:color w:val="000000" w:themeColor="text1"/>
          <w:spacing w:val="-6"/>
          <w:kern w:val="2"/>
          <w:sz w:val="44"/>
          <w:szCs w:val="44"/>
          <w:highlight w:val="none"/>
          <w:u w:val="none"/>
          <w:lang w:val="en-US" w:eastAsia="zh-CN" w:bidi="ar"/>
          <w14:textFill>
            <w14:solidFill>
              <w14:schemeClr w14:val="tx1"/>
            </w14:solidFill>
          </w14:textFill>
        </w:rPr>
      </w:pPr>
      <w:r>
        <w:rPr>
          <w:rFonts w:hint="default" w:ascii="Times New Roman" w:hAnsi="Times New Roman" w:eastAsia="方正小标宋简体" w:cs="Times New Roman"/>
          <w:b w:val="0"/>
          <w:bCs/>
          <w:strike w:val="0"/>
          <w:dstrike w:val="0"/>
          <w:color w:val="000000" w:themeColor="text1"/>
          <w:spacing w:val="-17"/>
          <w:kern w:val="2"/>
          <w:sz w:val="44"/>
          <w:szCs w:val="44"/>
          <w:highlight w:val="none"/>
          <w:u w:val="none"/>
          <w:lang w:val="en-US" w:eastAsia="zh-CN" w:bidi="ar"/>
          <w14:textFill>
            <w14:solidFill>
              <w14:schemeClr w14:val="tx1"/>
            </w14:solidFill>
          </w14:textFill>
        </w:rPr>
        <w:t>学校体育工作重点任务及分工方案》《全面</w:t>
      </w:r>
      <w:r>
        <w:rPr>
          <w:rFonts w:hint="default" w:ascii="Times New Roman" w:hAnsi="Times New Roman" w:eastAsia="方正小标宋简体" w:cs="Times New Roman"/>
          <w:b w:val="0"/>
          <w:bCs/>
          <w:strike w:val="0"/>
          <w:dstrike w:val="0"/>
          <w:color w:val="000000" w:themeColor="text1"/>
          <w:spacing w:val="-6"/>
          <w:kern w:val="2"/>
          <w:sz w:val="44"/>
          <w:szCs w:val="44"/>
          <w:highlight w:val="none"/>
          <w:u w:val="none"/>
          <w:lang w:val="en-US" w:eastAsia="zh-CN" w:bidi="ar"/>
          <w14:textFill>
            <w14:solidFill>
              <w14:schemeClr w14:val="tx1"/>
            </w14:solidFill>
          </w14:textFill>
        </w:rPr>
        <w:t>加强和改进新时代学校美育工作重点任务及</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strike w:val="0"/>
          <w:dstrike w:val="0"/>
          <w:color w:val="000000" w:themeColor="text1"/>
          <w:spacing w:val="0"/>
          <w:kern w:val="2"/>
          <w:sz w:val="44"/>
          <w:szCs w:val="44"/>
          <w:highlight w:val="none"/>
          <w:u w:val="none"/>
          <w:lang w:val="en-US" w:eastAsia="zh-CN" w:bidi="ar"/>
          <w14:textFill>
            <w14:solidFill>
              <w14:schemeClr w14:val="tx1"/>
            </w14:solidFill>
          </w14:textFill>
        </w:rPr>
      </w:pPr>
      <w:r>
        <w:rPr>
          <w:rFonts w:hint="default" w:ascii="Times New Roman" w:hAnsi="Times New Roman" w:eastAsia="方正小标宋简体" w:cs="Times New Roman"/>
          <w:b w:val="0"/>
          <w:bCs/>
          <w:strike w:val="0"/>
          <w:dstrike w:val="0"/>
          <w:color w:val="000000" w:themeColor="text1"/>
          <w:spacing w:val="0"/>
          <w:kern w:val="2"/>
          <w:sz w:val="44"/>
          <w:szCs w:val="44"/>
          <w:highlight w:val="none"/>
          <w:u w:val="none"/>
          <w:lang w:val="en-US" w:eastAsia="zh-CN" w:bidi="ar"/>
          <w14:textFill>
            <w14:solidFill>
              <w14:schemeClr w14:val="tx1"/>
            </w14:solidFill>
          </w14:textFill>
        </w:rPr>
        <w:t>分工方案》的通知</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strike w:val="0"/>
          <w:dstrike w:val="0"/>
          <w:color w:val="000000" w:themeColor="text1"/>
          <w:kern w:val="2"/>
          <w:sz w:val="44"/>
          <w:szCs w:val="44"/>
          <w:highlight w:val="none"/>
          <w:u w:val="none"/>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right="0"/>
        <w:jc w:val="both"/>
        <w:textAlignment w:val="auto"/>
        <w:outlineLvl w:val="9"/>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auto"/>
          <w:kern w:val="2"/>
          <w:sz w:val="32"/>
          <w:szCs w:val="32"/>
          <w:highlight w:val="none"/>
        </w:rPr>
        <w:t>各镇人民政府，各街道办事处，经济开发区管委会，</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val="en-US" w:eastAsia="zh-CN"/>
          <w14:textFill>
            <w14:solidFill>
              <w14:schemeClr w14:val="tx1"/>
            </w14:solidFill>
          </w14:textFill>
        </w:rPr>
        <w:t>县政府各部门，各有关单位：</w:t>
      </w:r>
    </w:p>
    <w:p>
      <w:pPr>
        <w:keepNext w:val="0"/>
        <w:keepLines w:val="0"/>
        <w:pageBreakBefore w:val="0"/>
        <w:widowControl w:val="0"/>
        <w:kinsoku/>
        <w:wordWrap/>
        <w:overflowPunct/>
        <w:topLinePunct w:val="0"/>
        <w:autoSpaceDE/>
        <w:autoSpaceDN/>
        <w:bidi w:val="0"/>
        <w:adjustRightInd/>
        <w:snapToGrid/>
        <w:spacing w:line="520" w:lineRule="exact"/>
        <w:ind w:right="0" w:firstLine="656" w:firstLineChars="200"/>
        <w:jc w:val="both"/>
        <w:textAlignment w:val="auto"/>
        <w:outlineLvl w:val="9"/>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val="en-US" w:eastAsia="zh-CN"/>
          <w14:textFill>
            <w14:solidFill>
              <w14:schemeClr w14:val="tx1"/>
            </w14:solidFill>
          </w14:textFill>
        </w:rPr>
        <w:t>《全面加强和改进新时代学校体育工作重点任务及分工方案》《全面加强和改进新时代学校美育工作重点任务及分工方案》已经县政府同意，现印发给你们，请认真贯彻执行。</w:t>
      </w:r>
    </w:p>
    <w:p>
      <w:pPr>
        <w:keepNext w:val="0"/>
        <w:keepLines w:val="0"/>
        <w:pageBreakBefore w:val="0"/>
        <w:widowControl w:val="0"/>
        <w:kinsoku/>
        <w:wordWrap/>
        <w:overflowPunct/>
        <w:topLinePunct w:val="0"/>
        <w:autoSpaceDE/>
        <w:autoSpaceDN/>
        <w:bidi w:val="0"/>
        <w:adjustRightInd/>
        <w:snapToGrid/>
        <w:spacing w:line="520" w:lineRule="exact"/>
        <w:ind w:right="0" w:firstLine="656" w:firstLineChars="200"/>
        <w:jc w:val="both"/>
        <w:textAlignment w:val="auto"/>
        <w:outlineLvl w:val="9"/>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right="0" w:firstLine="656" w:firstLineChars="200"/>
        <w:jc w:val="center"/>
        <w:textAlignment w:val="auto"/>
        <w:outlineLvl w:val="9"/>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val="en-US" w:eastAsia="zh-CN"/>
          <w14:textFill>
            <w14:solidFill>
              <w14:schemeClr w14:val="tx1"/>
            </w14:solidFill>
          </w14:textFill>
        </w:rPr>
        <w:t xml:space="preserve">                    沂源县人民政府办公室</w:t>
      </w:r>
    </w:p>
    <w:p>
      <w:pPr>
        <w:keepNext w:val="0"/>
        <w:keepLines w:val="0"/>
        <w:pageBreakBefore w:val="0"/>
        <w:widowControl w:val="0"/>
        <w:kinsoku/>
        <w:wordWrap/>
        <w:overflowPunct/>
        <w:topLinePunct w:val="0"/>
        <w:autoSpaceDE/>
        <w:autoSpaceDN/>
        <w:bidi w:val="0"/>
        <w:adjustRightInd/>
        <w:snapToGrid/>
        <w:spacing w:line="520" w:lineRule="exact"/>
        <w:ind w:right="0" w:firstLine="656" w:firstLineChars="200"/>
        <w:jc w:val="center"/>
        <w:textAlignment w:val="auto"/>
        <w:outlineLvl w:val="9"/>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val="en-US" w:eastAsia="zh-CN"/>
          <w14:textFill>
            <w14:solidFill>
              <w14:schemeClr w14:val="tx1"/>
            </w14:solidFill>
          </w14:textFill>
        </w:rPr>
        <w:t xml:space="preserve">                    202</w:t>
      </w:r>
      <w:r>
        <w:rPr>
          <w:rFonts w:hint="eastAsia" w:ascii="Times New Roman" w:hAnsi="Times New Roman" w:eastAsia="仿宋_GB2312" w:cs="Times New Roman"/>
          <w:b w:val="0"/>
          <w:bCs/>
          <w:strike w:val="0"/>
          <w:dstrike w:val="0"/>
          <w:color w:val="000000" w:themeColor="text1"/>
          <w:spacing w:val="0"/>
          <w:kern w:val="0"/>
          <w:sz w:val="32"/>
          <w:szCs w:val="32"/>
          <w:highlight w:val="none"/>
          <w:u w:val="none"/>
          <w:lang w:val="en-US" w:eastAsia="zh-CN"/>
          <w14:textFill>
            <w14:solidFill>
              <w14:schemeClr w14:val="tx1"/>
            </w14:solidFill>
          </w14:textFill>
        </w:rPr>
        <w:t>4</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val="en-US" w:eastAsia="zh-CN"/>
          <w14:textFill>
            <w14:solidFill>
              <w14:schemeClr w14:val="tx1"/>
            </w14:solidFill>
          </w14:textFill>
        </w:rPr>
        <w:t>年</w:t>
      </w:r>
      <w:r>
        <w:rPr>
          <w:rFonts w:hint="eastAsia" w:ascii="Times New Roman" w:hAnsi="Times New Roman" w:eastAsia="仿宋_GB2312" w:cs="Times New Roman"/>
          <w:b w:val="0"/>
          <w:bCs/>
          <w:strike w:val="0"/>
          <w:dstrike w:val="0"/>
          <w:color w:val="000000" w:themeColor="text1"/>
          <w:spacing w:val="0"/>
          <w:kern w:val="0"/>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val="en-US" w:eastAsia="zh-CN"/>
          <w14:textFill>
            <w14:solidFill>
              <w14:schemeClr w14:val="tx1"/>
            </w14:solidFill>
          </w14:textFill>
        </w:rPr>
        <w:t>月</w:t>
      </w:r>
      <w:r>
        <w:rPr>
          <w:rFonts w:hint="eastAsia" w:ascii="Times New Roman" w:hAnsi="Times New Roman" w:eastAsia="仿宋_GB2312" w:cs="Times New Roman"/>
          <w:b w:val="0"/>
          <w:bCs/>
          <w:strike w:val="0"/>
          <w:dstrike w:val="0"/>
          <w:color w:val="000000" w:themeColor="text1"/>
          <w:spacing w:val="0"/>
          <w:kern w:val="0"/>
          <w:sz w:val="32"/>
          <w:szCs w:val="32"/>
          <w:highlight w:val="none"/>
          <w:u w:val="none"/>
          <w:lang w:val="en-US" w:eastAsia="zh-CN"/>
          <w14:textFill>
            <w14:solidFill>
              <w14:schemeClr w14:val="tx1"/>
            </w14:solidFill>
          </w14:textFill>
        </w:rPr>
        <w:t>27</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val="en-US" w:eastAsia="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20" w:lineRule="exact"/>
        <w:ind w:right="0" w:firstLine="656" w:firstLineChars="200"/>
        <w:jc w:val="both"/>
        <w:textAlignment w:val="auto"/>
        <w:outlineLvl w:val="9"/>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val="en-US" w:eastAsia="zh-CN"/>
          <w14:textFill>
            <w14:solidFill>
              <w14:schemeClr w14:val="tx1"/>
            </w14:solidFill>
          </w14:textFill>
        </w:rPr>
        <w:t>（此件公开发布）</w:t>
      </w:r>
    </w:p>
    <w:p>
      <w:pPr>
        <w:keepNext w:val="0"/>
        <w:keepLines w:val="0"/>
        <w:pageBreakBefore w:val="0"/>
        <w:widowControl w:val="0"/>
        <w:kinsoku/>
        <w:wordWrap/>
        <w:overflowPunct/>
        <w:topLinePunct w:val="0"/>
        <w:autoSpaceDE/>
        <w:autoSpaceDN/>
        <w:bidi w:val="0"/>
        <w:adjustRightInd/>
        <w:snapToGrid/>
        <w:spacing w:line="520" w:lineRule="exact"/>
        <w:ind w:right="0" w:firstLine="896" w:firstLineChars="200"/>
        <w:jc w:val="center"/>
        <w:textAlignment w:val="auto"/>
        <w:outlineLvl w:val="9"/>
        <w:rPr>
          <w:rFonts w:hint="default" w:ascii="Times New Roman" w:hAnsi="Times New Roman" w:eastAsia="方正小标宋简体" w:cs="Times New Roman"/>
          <w:b w:val="0"/>
          <w:bCs/>
          <w:strike w:val="0"/>
          <w:dstrike w:val="0"/>
          <w:color w:val="000000" w:themeColor="text1"/>
          <w:kern w:val="2"/>
          <w:sz w:val="44"/>
          <w:szCs w:val="44"/>
          <w:highlight w:val="none"/>
          <w:u w:val="none"/>
          <w:lang w:val="en-US" w:eastAsia="zh-CN" w:bidi="ar"/>
          <w14:textFill>
            <w14:solidFill>
              <w14:schemeClr w14:val="tx1"/>
            </w14:solidFill>
          </w14:textFill>
        </w:rPr>
      </w:pPr>
      <w:r>
        <w:rPr>
          <w:rFonts w:hint="default" w:ascii="Times New Roman" w:hAnsi="Times New Roman" w:eastAsia="方正小标宋简体" w:cs="Times New Roman"/>
          <w:b w:val="0"/>
          <w:bCs/>
          <w:strike w:val="0"/>
          <w:dstrike w:val="0"/>
          <w:color w:val="000000" w:themeColor="text1"/>
          <w:kern w:val="2"/>
          <w:sz w:val="44"/>
          <w:szCs w:val="44"/>
          <w:highlight w:val="none"/>
          <w:u w:val="none"/>
          <w:lang w:val="en-US" w:eastAsia="zh-CN" w:bidi="ar"/>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trike w:val="0"/>
          <w:dstrike w:val="0"/>
          <w:color w:val="000000" w:themeColor="text1"/>
          <w:kern w:val="2"/>
          <w:sz w:val="44"/>
          <w:szCs w:val="44"/>
          <w:highlight w:val="none"/>
          <w:u w:val="none"/>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trike w:val="0"/>
          <w:dstrike w:val="0"/>
          <w:color w:val="000000" w:themeColor="text1"/>
          <w:kern w:val="2"/>
          <w:sz w:val="44"/>
          <w:szCs w:val="44"/>
          <w:highlight w:val="none"/>
          <w:u w:val="none"/>
          <w:lang w:val="en-US" w:eastAsia="zh-CN" w:bidi="ar"/>
          <w14:textFill>
            <w14:solidFill>
              <w14:schemeClr w14:val="tx1"/>
            </w14:solidFill>
          </w14:textFill>
        </w:rPr>
      </w:pPr>
      <w:r>
        <w:rPr>
          <w:rFonts w:hint="default" w:ascii="Times New Roman" w:hAnsi="Times New Roman" w:eastAsia="方正小标宋简体" w:cs="Times New Roman"/>
          <w:b w:val="0"/>
          <w:bCs/>
          <w:strike w:val="0"/>
          <w:dstrike w:val="0"/>
          <w:color w:val="000000" w:themeColor="text1"/>
          <w:kern w:val="2"/>
          <w:sz w:val="44"/>
          <w:szCs w:val="44"/>
          <w:highlight w:val="none"/>
          <w:u w:val="none"/>
          <w:lang w:val="en-US" w:eastAsia="zh-CN" w:bidi="ar"/>
          <w14:textFill>
            <w14:solidFill>
              <w14:schemeClr w14:val="tx1"/>
            </w14:solidFill>
          </w14:textFill>
        </w:rPr>
        <w:t>全面加强和改进新时代学校体育工作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trike w:val="0"/>
          <w:dstrike w:val="0"/>
          <w:color w:val="000000" w:themeColor="text1"/>
          <w:kern w:val="2"/>
          <w:sz w:val="44"/>
          <w:szCs w:val="44"/>
          <w:highlight w:val="none"/>
          <w:u w:val="none"/>
          <w:lang w:val="en-US" w:eastAsia="zh-CN" w:bidi="ar"/>
          <w14:textFill>
            <w14:solidFill>
              <w14:schemeClr w14:val="tx1"/>
            </w14:solidFill>
          </w14:textFill>
        </w:rPr>
      </w:pPr>
      <w:r>
        <w:rPr>
          <w:rFonts w:hint="default" w:ascii="Times New Roman" w:hAnsi="Times New Roman" w:eastAsia="方正小标宋简体" w:cs="Times New Roman"/>
          <w:b w:val="0"/>
          <w:bCs/>
          <w:strike w:val="0"/>
          <w:dstrike w:val="0"/>
          <w:color w:val="000000" w:themeColor="text1"/>
          <w:kern w:val="2"/>
          <w:sz w:val="44"/>
          <w:szCs w:val="44"/>
          <w:highlight w:val="none"/>
          <w:u w:val="none"/>
          <w:lang w:val="en-US" w:eastAsia="zh-CN" w:bidi="ar"/>
          <w14:textFill>
            <w14:solidFill>
              <w14:schemeClr w14:val="tx1"/>
            </w14:solidFill>
          </w14:textFill>
        </w:rPr>
        <w:t>重点任务及分工方案</w:t>
      </w:r>
    </w:p>
    <w:p>
      <w:pPr>
        <w:keepNext w:val="0"/>
        <w:keepLines w:val="0"/>
        <w:pageBreakBefore w:val="0"/>
        <w:widowControl w:val="0"/>
        <w:kinsoku/>
        <w:wordWrap/>
        <w:overflowPunct/>
        <w:topLinePunct w:val="0"/>
        <w:autoSpaceDE/>
        <w:autoSpaceDN/>
        <w:bidi w:val="0"/>
        <w:adjustRightInd/>
        <w:snapToGrid/>
        <w:spacing w:line="540" w:lineRule="exact"/>
        <w:ind w:right="0"/>
        <w:jc w:val="both"/>
        <w:textAlignment w:val="auto"/>
        <w:rPr>
          <w:rFonts w:hint="default" w:ascii="Times New Roman" w:hAnsi="Times New Roman" w:eastAsia="方正黑体_GBK" w:cs="Times New Roman"/>
          <w:b w:val="0"/>
          <w:bCs/>
          <w:strike w:val="0"/>
          <w:dstrike w:val="0"/>
          <w:color w:val="000000" w:themeColor="text1"/>
          <w:spacing w:val="0"/>
          <w:kern w:val="0"/>
          <w:sz w:val="32"/>
          <w:szCs w:val="32"/>
          <w:highlight w:val="none"/>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right="0" w:firstLine="656" w:firstLineChars="200"/>
        <w:jc w:val="both"/>
        <w:textAlignment w:val="auto"/>
        <w:rPr>
          <w:rFonts w:hint="default" w:ascii="Times New Roman" w:hAnsi="Times New Roman" w:eastAsia="黑体" w:cs="Times New Roman"/>
          <w:b w:val="0"/>
          <w:bCs/>
          <w:strike w:val="0"/>
          <w:dstrike w:val="0"/>
          <w:color w:val="000000" w:themeColor="text1"/>
          <w:spacing w:val="0"/>
          <w:kern w:val="0"/>
          <w:sz w:val="32"/>
          <w:szCs w:val="32"/>
          <w:highlight w:val="none"/>
          <w:u w:val="none"/>
          <w14:textFill>
            <w14:solidFill>
              <w14:schemeClr w14:val="tx1"/>
            </w14:solidFill>
          </w14:textFill>
        </w:rPr>
      </w:pPr>
      <w:r>
        <w:rPr>
          <w:rFonts w:hint="default" w:ascii="Times New Roman" w:hAnsi="Times New Roman" w:eastAsia="黑体" w:cs="Times New Roman"/>
          <w:b w:val="0"/>
          <w:bCs/>
          <w:strike w:val="0"/>
          <w:dstrike w:val="0"/>
          <w:color w:val="000000" w:themeColor="text1"/>
          <w:spacing w:val="0"/>
          <w:kern w:val="0"/>
          <w:sz w:val="32"/>
          <w:szCs w:val="32"/>
          <w:highlight w:val="none"/>
          <w:u w:val="none"/>
          <w14:textFill>
            <w14:solidFill>
              <w14:schemeClr w14:val="tx1"/>
            </w14:solidFill>
          </w14:textFill>
        </w:rPr>
        <w:t>一、深化体育教学改革</w:t>
      </w:r>
    </w:p>
    <w:p>
      <w:pPr>
        <w:keepNext w:val="0"/>
        <w:keepLines w:val="0"/>
        <w:pageBreakBefore w:val="0"/>
        <w:widowControl w:val="0"/>
        <w:kinsoku/>
        <w:wordWrap/>
        <w:overflowPunct/>
        <w:topLinePunct w:val="0"/>
        <w:autoSpaceDE/>
        <w:autoSpaceDN/>
        <w:bidi w:val="0"/>
        <w:adjustRightInd/>
        <w:snapToGrid/>
        <w:spacing w:line="540" w:lineRule="exact"/>
        <w:ind w:right="0" w:firstLine="656" w:firstLineChars="200"/>
        <w:jc w:val="both"/>
        <w:textAlignment w:val="auto"/>
        <w:outlineLvl w:val="9"/>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（一）</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增加体育课时</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全面加强</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学校体育课程刚性管理，</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根据学校实际</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逐步增加体育课时</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。原则上</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基础教育阶段学校每天开设1节体育课</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牵头单位：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县教育和体育局；</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完成时限：长期坚持</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firstLine="656" w:firstLineChars="200"/>
        <w:jc w:val="both"/>
        <w:textAlignment w:val="auto"/>
        <w:outlineLvl w:val="9"/>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（二）</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提高教学质量</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持续推进</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“健康知识</w:t>
      </w:r>
      <w:r>
        <w:rPr>
          <w:rFonts w:hint="default" w:ascii="Times New Roman" w:hAnsi="Times New Roman" w:eastAsia="宋体" w:cs="Times New Roman"/>
          <w:b w:val="0"/>
          <w:bCs/>
          <w:strike w:val="0"/>
          <w:dstrike w:val="0"/>
          <w:color w:val="000000" w:themeColor="text1"/>
          <w:spacing w:val="0"/>
          <w:kern w:val="0"/>
          <w:sz w:val="32"/>
          <w:szCs w:val="32"/>
          <w:highlight w:val="none"/>
          <w:u w:val="none"/>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基本运动技能</w:t>
      </w:r>
      <w:r>
        <w:rPr>
          <w:rFonts w:hint="default" w:ascii="Times New Roman" w:hAnsi="Times New Roman" w:eastAsia="宋体" w:cs="Times New Roman"/>
          <w:b w:val="0"/>
          <w:bCs/>
          <w:strike w:val="0"/>
          <w:dstrike w:val="0"/>
          <w:color w:val="000000" w:themeColor="text1"/>
          <w:spacing w:val="0"/>
          <w:kern w:val="0"/>
          <w:sz w:val="32"/>
          <w:szCs w:val="32"/>
          <w:highlight w:val="none"/>
          <w:u w:val="none"/>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专项运动技能”教学模式</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改革</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探索</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小学、初中、高中一体化体育分项教学，帮助学生熟练掌握1</w:t>
      </w:r>
      <w:r>
        <w:rPr>
          <w:rFonts w:hint="eastAsia" w:ascii="Times New Roman" w:hAnsi="Times New Roman" w:eastAsia="黑体"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2项运动技能</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完善</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各级各类学校</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体育课程和项目“超市”，满足学生多样化</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个性化需求</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探索开展新时代学校体育教学改革试点，发挥“以体育智、以体育心”功能</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推动普及游泳教学，</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以城区为切入点，与室内游泳场馆进行合作，开展免费或低收费试课，</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力争到2025年让</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更多</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中小学生掌握游泳技能</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推广武术、棋类等中华传统体育项目</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进校园</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鼓励有条件的学校</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开展传统体育教学、训练、竞赛活动</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探索制定新时代学校体育课堂教学质量评价标准</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牵头单位：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县教育和体育局</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；完成时限：</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2025</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年</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12</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月</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firstLine="656" w:firstLineChars="200"/>
        <w:jc w:val="both"/>
        <w:textAlignment w:val="auto"/>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（三）</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加强体育锻炼</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建立健全学校早操、大课间、体育社团活动</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、课后特色服务</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和体育家庭作业一体化推进机制，推动形成家校社联动、校内外覆盖的学生课外体育锻炼体系</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保证学生每天校内、校外各1个小时体育锻炼时间，</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引导学生树立终身锻炼的好习惯。</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深入实施阳光体育大课间专项提升行动，落实“中小学每天上午统一安排30分钟的大课间”规定</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，将武术项目融入大课间，培养学生爱国尚武精神。鼓励</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社会资源</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入校免费开展国际象棋、乒乓球、跆拳道等体育项目</w:t>
      </w:r>
      <w:r>
        <w:rPr>
          <w:rFonts w:hint="eastAsia"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进一步丰富学校体育社团活动</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。按照课程要求，</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合理安排体育家庭作业，鼓励</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中小学</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通过亲子活动</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、社区运动会等方式</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引导家长帮助孩子进行居家和户外体育锻炼</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把高中阶段学生军事技能和军事基本知识相关内容纳入学校教育教学计划，探索构建高中全学段一体化教学与施训体系，</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杜绝</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val="en-US" w:eastAsia="zh-CN"/>
          <w14:textFill>
            <w14:solidFill>
              <w14:schemeClr w14:val="tx1"/>
            </w14:solidFill>
          </w14:textFill>
        </w:rPr>
        <w:t>学生军训商业化、市场化</w:t>
      </w:r>
      <w:r>
        <w:rPr>
          <w:rFonts w:hint="eastAsia" w:ascii="Times New Roman" w:hAnsi="Times New Roman" w:eastAsia="仿宋_GB2312" w:cs="Times New Roman"/>
          <w:b w:val="0"/>
          <w:bCs/>
          <w:strike w:val="0"/>
          <w:dstrike w:val="0"/>
          <w:color w:val="000000" w:themeColor="text1"/>
          <w:spacing w:val="0"/>
          <w:kern w:val="0"/>
          <w:sz w:val="32"/>
          <w:szCs w:val="32"/>
          <w:highlight w:val="none"/>
          <w:u w:val="none"/>
          <w:lang w:val="en-US" w:eastAsia="zh-CN"/>
          <w14:textFill>
            <w14:solidFill>
              <w14:schemeClr w14:val="tx1"/>
            </w14:solidFill>
          </w14:textFill>
        </w:rPr>
        <w:t>，严格</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落实军训课时，保证军训质量</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牵头单位：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县教育和体育局</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；完成时限：长期坚持</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firstLine="656" w:firstLineChars="200"/>
        <w:jc w:val="both"/>
        <w:textAlignment w:val="auto"/>
        <w:rPr>
          <w:rFonts w:hint="default" w:ascii="Times New Roman" w:hAnsi="Times New Roman" w:eastAsia="黑体" w:cs="Times New Roman"/>
          <w:b w:val="0"/>
          <w:bCs/>
          <w:strike w:val="0"/>
          <w:dstrike w:val="0"/>
          <w:color w:val="000000" w:themeColor="text1"/>
          <w:spacing w:val="0"/>
          <w:kern w:val="0"/>
          <w:sz w:val="32"/>
          <w:szCs w:val="32"/>
          <w:highlight w:val="none"/>
          <w:u w:val="none"/>
          <w14:textFill>
            <w14:solidFill>
              <w14:schemeClr w14:val="tx1"/>
            </w14:solidFill>
          </w14:textFill>
        </w:rPr>
      </w:pPr>
      <w:r>
        <w:rPr>
          <w:rFonts w:hint="default" w:ascii="Times New Roman" w:hAnsi="Times New Roman" w:eastAsia="黑体" w:cs="Times New Roman"/>
          <w:b w:val="0"/>
          <w:bCs/>
          <w:strike w:val="0"/>
          <w:dstrike w:val="0"/>
          <w:color w:val="000000" w:themeColor="text1"/>
          <w:spacing w:val="0"/>
          <w:kern w:val="0"/>
          <w:sz w:val="32"/>
          <w:szCs w:val="32"/>
          <w:highlight w:val="none"/>
          <w:u w:val="none"/>
          <w14:textFill>
            <w14:solidFill>
              <w14:schemeClr w14:val="tx1"/>
            </w14:solidFill>
          </w14:textFill>
        </w:rPr>
        <w:t>二、强化师资队伍建设</w:t>
      </w:r>
    </w:p>
    <w:p>
      <w:pPr>
        <w:keepNext w:val="0"/>
        <w:keepLines w:val="0"/>
        <w:pageBreakBefore w:val="0"/>
        <w:widowControl w:val="0"/>
        <w:kinsoku/>
        <w:wordWrap/>
        <w:overflowPunct/>
        <w:topLinePunct w:val="0"/>
        <w:autoSpaceDE/>
        <w:autoSpaceDN/>
        <w:bidi w:val="0"/>
        <w:adjustRightInd/>
        <w:snapToGrid/>
        <w:spacing w:line="540" w:lineRule="exact"/>
        <w:ind w:right="0" w:firstLine="656" w:firstLineChars="200"/>
        <w:jc w:val="both"/>
        <w:textAlignment w:val="auto"/>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（四）</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配齐配强体育师资</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建立健全“行政</w:t>
      </w:r>
      <w:r>
        <w:rPr>
          <w:rFonts w:hint="default" w:ascii="Times New Roman" w:hAnsi="Times New Roman" w:eastAsia="宋体" w:cs="Times New Roman"/>
          <w:b w:val="0"/>
          <w:bCs/>
          <w:strike w:val="0"/>
          <w:dstrike w:val="0"/>
          <w:color w:val="000000" w:themeColor="text1"/>
          <w:spacing w:val="0"/>
          <w:kern w:val="0"/>
          <w:sz w:val="32"/>
          <w:szCs w:val="32"/>
          <w:highlight w:val="none"/>
          <w:u w:val="none"/>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教研”一体推进学校体育工作管理机制，</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配备</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体育专职教研人员</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通过公开招聘、购买社会服务、与专业机构合作等多种方式，解决体育教师短缺问题</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用好</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省</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专职体育教练员配备和体育教育专业大学生到农村学校支教等相关政策</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，鼓励省退役运动员在学校开展优势项目训练，探索打造星级训练点。</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牵头单位：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县教育和体育局；</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责任单位：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委编办、</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人力资源社会保障局；完成时限：2025年12月</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firstLine="656" w:firstLineChars="200"/>
        <w:jc w:val="both"/>
        <w:textAlignment w:val="auto"/>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（五）</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培育体育名师团队</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加强体育教师全员培训，确保每人每年参与培训活动不少于1次</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积极推荐符合条件的优秀体育教师、教练员参评</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教坛新秀、骨干教师、教学能手、学科带头人</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等</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定期举办体育教师教学基本功比赛、训练课展示等活动</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在</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县级</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教育科研项目中设立体育</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类专项</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研究课题，提升体育教师科研能力</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牵头单位：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县教育和体育局</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；完成时限：长期坚持</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firstLine="656" w:firstLineChars="200"/>
        <w:jc w:val="both"/>
        <w:textAlignment w:val="auto"/>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（六）</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保障体育教师待遇</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将体育教师承担学校安排的体质健康测试、课后训练、课外活动、课后服务、指导参赛等计入工作量；把学生体质健康监测结果、参加</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级以上组织的体育赛事成绩、基本功比赛成绩视同体育教师教学成果，在教学科研工作评定、职务职称晋升评审、绩效工资内部分配等方面</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享受与其他学科教师同等待遇</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为体育教师配备必要的运动服装和体育装备</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牵头单位：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县教育和体育局；</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责任单位：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人力资源社会保障局；完成时限：</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长期坚持</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firstLine="656" w:firstLineChars="200"/>
        <w:jc w:val="both"/>
        <w:textAlignment w:val="auto"/>
        <w:rPr>
          <w:rFonts w:hint="default" w:ascii="Times New Roman" w:hAnsi="Times New Roman" w:eastAsia="黑体" w:cs="Times New Roman"/>
          <w:b w:val="0"/>
          <w:bCs/>
          <w:strike w:val="0"/>
          <w:dstrike w:val="0"/>
          <w:color w:val="000000" w:themeColor="text1"/>
          <w:spacing w:val="0"/>
          <w:kern w:val="0"/>
          <w:sz w:val="32"/>
          <w:szCs w:val="32"/>
          <w:highlight w:val="none"/>
          <w:u w:val="none"/>
          <w14:textFill>
            <w14:solidFill>
              <w14:schemeClr w14:val="tx1"/>
            </w14:solidFill>
          </w14:textFill>
        </w:rPr>
      </w:pPr>
      <w:r>
        <w:rPr>
          <w:rFonts w:hint="default" w:ascii="Times New Roman" w:hAnsi="Times New Roman" w:eastAsia="黑体" w:cs="Times New Roman"/>
          <w:b w:val="0"/>
          <w:bCs/>
          <w:strike w:val="0"/>
          <w:dstrike w:val="0"/>
          <w:color w:val="000000" w:themeColor="text1"/>
          <w:spacing w:val="0"/>
          <w:kern w:val="0"/>
          <w:sz w:val="32"/>
          <w:szCs w:val="32"/>
          <w:highlight w:val="none"/>
          <w:u w:val="none"/>
          <w14:textFill>
            <w14:solidFill>
              <w14:schemeClr w14:val="tx1"/>
            </w14:solidFill>
          </w14:textFill>
        </w:rPr>
        <w:t>三、完善体育评价机制</w:t>
      </w:r>
    </w:p>
    <w:p>
      <w:pPr>
        <w:keepNext w:val="0"/>
        <w:keepLines w:val="0"/>
        <w:pageBreakBefore w:val="0"/>
        <w:widowControl w:val="0"/>
        <w:kinsoku/>
        <w:wordWrap/>
        <w:overflowPunct/>
        <w:topLinePunct w:val="0"/>
        <w:autoSpaceDE/>
        <w:autoSpaceDN/>
        <w:bidi w:val="0"/>
        <w:adjustRightInd/>
        <w:snapToGrid/>
        <w:spacing w:line="540" w:lineRule="exact"/>
        <w:ind w:right="0" w:firstLine="656" w:firstLineChars="200"/>
        <w:jc w:val="both"/>
        <w:textAlignment w:val="auto"/>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（七）落实考试改革要求。</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落实淄博市中考体育科目考试改革要求，</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健全初中、高中体育科目学业水平考试办法，完善“运动参与</w:t>
      </w:r>
      <w:r>
        <w:rPr>
          <w:rFonts w:hint="default" w:ascii="Times New Roman" w:hAnsi="Times New Roman" w:eastAsia="宋体" w:cs="Times New Roman"/>
          <w:b w:val="0"/>
          <w:bCs/>
          <w:strike w:val="0"/>
          <w:dstrike w:val="0"/>
          <w:color w:val="000000" w:themeColor="text1"/>
          <w:spacing w:val="0"/>
          <w:kern w:val="0"/>
          <w:sz w:val="32"/>
          <w:szCs w:val="32"/>
          <w:highlight w:val="none"/>
          <w:u w:val="none"/>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体质健康测试</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drawing>
          <wp:inline distT="0" distB="0" distL="114300" distR="114300">
            <wp:extent cx="0" cy="0"/>
            <wp:effectExtent l="0" t="0" r="0" b="0"/>
            <wp:docPr id="4" name="图片 4" descr="168224391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82243911984"/>
                    <pic:cNvPicPr>
                      <a:picLocks noChangeAspect="1"/>
                    </pic:cNvPicPr>
                  </pic:nvPicPr>
                  <pic:blipFill>
                    <a:blip r:embed="rId5"/>
                    <a:stretch>
                      <a:fillRect/>
                    </a:stretch>
                  </pic:blipFill>
                  <pic:spPr>
                    <a:xfrm>
                      <a:off x="0" y="0"/>
                      <a:ext cx="0" cy="0"/>
                    </a:xfrm>
                    <a:prstGeom prst="rect">
                      <a:avLst/>
                    </a:prstGeom>
                  </pic:spPr>
                </pic:pic>
              </a:graphicData>
            </a:graphic>
          </wp:inline>
        </w:drawing>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drawing>
          <wp:inline distT="0" distB="0" distL="114300" distR="114300">
            <wp:extent cx="0" cy="0"/>
            <wp:effectExtent l="0" t="0" r="0" b="0"/>
            <wp:docPr id="5" name="图片 5" descr="168224391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82243911984"/>
                    <pic:cNvPicPr>
                      <a:picLocks noChangeAspect="1"/>
                    </pic:cNvPicPr>
                  </pic:nvPicPr>
                  <pic:blipFill>
                    <a:blip r:embed="rId5"/>
                    <a:stretch>
                      <a:fillRect/>
                    </a:stretch>
                  </pic:blipFill>
                  <pic:spPr>
                    <a:xfrm>
                      <a:off x="0" y="0"/>
                      <a:ext cx="0" cy="0"/>
                    </a:xfrm>
                    <a:prstGeom prst="rect">
                      <a:avLst/>
                    </a:prstGeom>
                  </pic:spPr>
                </pic:pic>
              </a:graphicData>
            </a:graphic>
          </wp:inline>
        </w:drawing>
      </w:r>
      <w:r>
        <w:rPr>
          <w:rFonts w:hint="default" w:ascii="Times New Roman" w:hAnsi="Times New Roman" w:eastAsia="宋体" w:cs="Times New Roman"/>
          <w:b w:val="0"/>
          <w:bCs/>
          <w:strike w:val="0"/>
          <w:dstrike w:val="0"/>
          <w:color w:val="000000" w:themeColor="text1"/>
          <w:spacing w:val="0"/>
          <w:kern w:val="0"/>
          <w:sz w:val="32"/>
          <w:szCs w:val="32"/>
          <w:highlight w:val="none"/>
          <w:u w:val="none"/>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运动技能测试”考试评价机制</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到202</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val="en-US" w:eastAsia="zh-CN"/>
          <w14:textFill>
            <w14:solidFill>
              <w14:schemeClr w14:val="tx1"/>
            </w14:solidFill>
          </w14:textFill>
        </w:rPr>
        <w:t>4</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年，中考体育科目考试基本实现数字化、智能化</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牵头单位：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县教育和体育局</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；完成时限：长期坚持</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firstLine="656" w:firstLineChars="200"/>
        <w:jc w:val="both"/>
        <w:textAlignment w:val="auto"/>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（八）</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加强学生体质健康监测</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建立县级学生体质健康促进中心，配强体质健康专业队伍</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持之以恒开展《国家学生体质健康标准》“班班达标”</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活动，落实面向全体学生的体质健康测试制度和抽查复核制度，完善“监测</w:t>
      </w:r>
      <w:r>
        <w:rPr>
          <w:rFonts w:hint="eastAsia"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评估</w:t>
      </w:r>
      <w:r>
        <w:rPr>
          <w:rFonts w:hint="eastAsia"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反馈</w:t>
      </w:r>
      <w:r>
        <w:rPr>
          <w:rFonts w:hint="eastAsia"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干预</w:t>
      </w:r>
      <w:r>
        <w:rPr>
          <w:rFonts w:hint="eastAsia"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保障”闭环体系，每年至少开展一次体质健康测试活动。</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牵头单位：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县教育和体育局</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；完成时限：长期坚持</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firstLine="656" w:firstLineChars="200"/>
        <w:jc w:val="both"/>
        <w:textAlignment w:val="auto"/>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（九）</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强化督导问责</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开展学校体育质量监测，将工作情况纳入教育督导评估范围，对不认真履行职责的，按照有关规定追责问责</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将“教会、勤练、常赛”机制建立情况、体质健康成效纳入评价体系，将评价导向从教师“教了多少”转向“教会了多少”，从完成课时数量转向教育教学质量</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提升。</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牵头单位：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政府教育督导委员会办公室；完成时限：长期坚持</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firstLine="656" w:firstLineChars="200"/>
        <w:jc w:val="both"/>
        <w:textAlignment w:val="auto"/>
        <w:rPr>
          <w:rFonts w:hint="default" w:ascii="Times New Roman" w:hAnsi="Times New Roman" w:eastAsia="黑体" w:cs="Times New Roman"/>
          <w:b w:val="0"/>
          <w:bCs/>
          <w:strike w:val="0"/>
          <w:dstrike w:val="0"/>
          <w:color w:val="000000" w:themeColor="text1"/>
          <w:spacing w:val="0"/>
          <w:kern w:val="0"/>
          <w:sz w:val="32"/>
          <w:szCs w:val="32"/>
          <w:highlight w:val="none"/>
          <w:u w:val="none"/>
          <w14:textFill>
            <w14:solidFill>
              <w14:schemeClr w14:val="tx1"/>
            </w14:solidFill>
          </w14:textFill>
        </w:rPr>
      </w:pPr>
      <w:r>
        <w:rPr>
          <w:rFonts w:hint="default" w:ascii="Times New Roman" w:hAnsi="Times New Roman" w:eastAsia="黑体" w:cs="Times New Roman"/>
          <w:b w:val="0"/>
          <w:bCs/>
          <w:strike w:val="0"/>
          <w:dstrike w:val="0"/>
          <w:color w:val="000000" w:themeColor="text1"/>
          <w:spacing w:val="0"/>
          <w:kern w:val="0"/>
          <w:sz w:val="32"/>
          <w:szCs w:val="32"/>
          <w:highlight w:val="none"/>
          <w:u w:val="none"/>
          <w14:textFill>
            <w14:solidFill>
              <w14:schemeClr w14:val="tx1"/>
            </w14:solidFill>
          </w14:textFill>
        </w:rPr>
        <w:t>四、深化教体一体化发展</w:t>
      </w:r>
    </w:p>
    <w:p>
      <w:pPr>
        <w:keepNext w:val="0"/>
        <w:keepLines w:val="0"/>
        <w:pageBreakBefore w:val="0"/>
        <w:widowControl w:val="0"/>
        <w:kinsoku/>
        <w:wordWrap/>
        <w:overflowPunct/>
        <w:topLinePunct w:val="0"/>
        <w:autoSpaceDE/>
        <w:autoSpaceDN/>
        <w:bidi w:val="0"/>
        <w:adjustRightInd/>
        <w:snapToGrid/>
        <w:spacing w:line="540" w:lineRule="exact"/>
        <w:ind w:right="0" w:firstLine="656" w:firstLineChars="200"/>
        <w:jc w:val="both"/>
        <w:textAlignment w:val="auto"/>
        <w:rPr>
          <w:rFonts w:hint="default" w:ascii="Times New Roman" w:hAnsi="Times New Roman" w:cs="Times New Roman"/>
          <w:highlight w:val="none"/>
          <w:lang w:eastAsia="zh-CN"/>
        </w:rPr>
      </w:pP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（十）</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规范课余体育训练</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打造“一校一特色、一生一特长”的体育训练模式。</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鼓励学校与</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县竞技体校</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、体育俱乐部、社团组织等合作开展课余训练</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，指导体育传统特色学校组建学校代表队和集训队，制订</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科学训练计划，不断提高课余训练水平</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义务教育阶段学生原则上不得脱离学校到职业俱乐部长期训练</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牵头单位：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县教育和体育局</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；完成时限：长期坚持</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firstLine="656" w:firstLineChars="200"/>
        <w:jc w:val="both"/>
        <w:textAlignment w:val="auto"/>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（十一）</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健全体育竞赛体系</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整合赛事资源，构建</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学区或局属学校两</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级学校体育竞赛制度和选拔性竞赛制度</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。县级教育</w:t>
      </w:r>
      <w:r>
        <w:rPr>
          <w:rFonts w:hint="eastAsia"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和</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体育部门</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每年</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组织</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举办集普及性赛事、体育比赛、选拔性竞赛等为一体的</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中小学生运动会</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，努力打造</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沂源</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体育赛事特色品牌</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中小学校</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可通过多种方式组织开展</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班级、年级</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、校级</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体育比</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赛。探索有能力的学校申办、承办体育赛事活动，</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支持优秀的学</w:t>
      </w:r>
      <w:r>
        <w:rPr>
          <w:rFonts w:hint="default" w:ascii="Times New Roman" w:hAnsi="Times New Roman" w:eastAsia="仿宋_GB2312" w:cs="Times New Roman"/>
          <w:b w:val="0"/>
          <w:bCs/>
          <w:strike w:val="0"/>
          <w:dstrike w:val="0"/>
          <w:color w:val="000000" w:themeColor="text1"/>
          <w:spacing w:val="-6"/>
          <w:kern w:val="0"/>
          <w:sz w:val="32"/>
          <w:szCs w:val="32"/>
          <w:highlight w:val="none"/>
          <w:u w:val="none"/>
          <w14:textFill>
            <w14:solidFill>
              <w14:schemeClr w14:val="tx1"/>
            </w14:solidFill>
          </w14:textFill>
        </w:rPr>
        <w:t>校体育队伍参加</w:t>
      </w:r>
      <w:r>
        <w:rPr>
          <w:rFonts w:hint="default" w:ascii="Times New Roman" w:hAnsi="Times New Roman" w:eastAsia="仿宋_GB2312" w:cs="Times New Roman"/>
          <w:b w:val="0"/>
          <w:bCs/>
          <w:strike w:val="0"/>
          <w:dstrike w:val="0"/>
          <w:color w:val="000000" w:themeColor="text1"/>
          <w:spacing w:val="-6"/>
          <w:kern w:val="0"/>
          <w:sz w:val="32"/>
          <w:szCs w:val="32"/>
          <w:highlight w:val="none"/>
          <w:u w:val="none"/>
          <w:lang w:eastAsia="zh-CN"/>
          <w14:textFill>
            <w14:solidFill>
              <w14:schemeClr w14:val="tx1"/>
            </w14:solidFill>
          </w14:textFill>
        </w:rPr>
        <w:t>县</w:t>
      </w:r>
      <w:r>
        <w:rPr>
          <w:rFonts w:hint="default" w:ascii="Times New Roman" w:hAnsi="Times New Roman" w:eastAsia="仿宋_GB2312" w:cs="Times New Roman"/>
          <w:b w:val="0"/>
          <w:bCs/>
          <w:strike w:val="0"/>
          <w:dstrike w:val="0"/>
          <w:color w:val="000000" w:themeColor="text1"/>
          <w:spacing w:val="-6"/>
          <w:kern w:val="0"/>
          <w:sz w:val="32"/>
          <w:szCs w:val="32"/>
          <w:highlight w:val="none"/>
          <w:u w:val="none"/>
          <w14:textFill>
            <w14:solidFill>
              <w14:schemeClr w14:val="tx1"/>
            </w14:solidFill>
          </w14:textFill>
        </w:rPr>
        <w:t>级以上体育比赛</w:t>
      </w:r>
      <w:r>
        <w:rPr>
          <w:rFonts w:hint="default" w:ascii="Times New Roman" w:hAnsi="Times New Roman" w:eastAsia="仿宋_GB2312" w:cs="Times New Roman"/>
          <w:b w:val="0"/>
          <w:bCs/>
          <w:strike w:val="0"/>
          <w:dstrike w:val="0"/>
          <w:color w:val="000000" w:themeColor="text1"/>
          <w:spacing w:val="-6"/>
          <w:kern w:val="0"/>
          <w:sz w:val="32"/>
          <w:szCs w:val="32"/>
          <w:highlight w:val="none"/>
          <w:u w:val="none"/>
          <w:lang w:eastAsia="zh-CN"/>
          <w14:textFill>
            <w14:solidFill>
              <w14:schemeClr w14:val="tx1"/>
            </w14:solidFill>
          </w14:textFill>
        </w:rPr>
        <w:t>。</w:t>
      </w:r>
      <w:r>
        <w:rPr>
          <w:rFonts w:hint="eastAsia" w:ascii="Times New Roman" w:hAnsi="Times New Roman" w:eastAsia="楷体_GB2312" w:cs="Times New Roman"/>
          <w:b w:val="0"/>
          <w:bCs/>
          <w:strike w:val="0"/>
          <w:dstrike w:val="0"/>
          <w:color w:val="000000" w:themeColor="text1"/>
          <w:spacing w:val="-6"/>
          <w:kern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6"/>
          <w:kern w:val="0"/>
          <w:sz w:val="32"/>
          <w:szCs w:val="32"/>
          <w:highlight w:val="none"/>
          <w:u w:val="none"/>
          <w14:textFill>
            <w14:solidFill>
              <w14:schemeClr w14:val="tx1"/>
            </w14:solidFill>
          </w14:textFill>
        </w:rPr>
        <w:t>牵头单位：</w:t>
      </w:r>
      <w:r>
        <w:rPr>
          <w:rFonts w:hint="default" w:ascii="Times New Roman" w:hAnsi="Times New Roman" w:eastAsia="楷体_GB2312" w:cs="Times New Roman"/>
          <w:b w:val="0"/>
          <w:bCs/>
          <w:strike w:val="0"/>
          <w:dstrike w:val="0"/>
          <w:color w:val="000000" w:themeColor="text1"/>
          <w:spacing w:val="-6"/>
          <w:kern w:val="0"/>
          <w:sz w:val="32"/>
          <w:szCs w:val="32"/>
          <w:highlight w:val="none"/>
          <w:u w:val="none"/>
          <w:lang w:eastAsia="zh-CN"/>
          <w14:textFill>
            <w14:solidFill>
              <w14:schemeClr w14:val="tx1"/>
            </w14:solidFill>
          </w14:textFill>
        </w:rPr>
        <w:t>县教育和体育局</w:t>
      </w:r>
      <w:r>
        <w:rPr>
          <w:rFonts w:hint="default" w:ascii="Times New Roman" w:hAnsi="Times New Roman" w:eastAsia="楷体_GB2312" w:cs="Times New Roman"/>
          <w:b w:val="0"/>
          <w:bCs/>
          <w:strike w:val="0"/>
          <w:dstrike w:val="0"/>
          <w:color w:val="000000" w:themeColor="text1"/>
          <w:spacing w:val="-6"/>
          <w:kern w:val="0"/>
          <w:sz w:val="32"/>
          <w:szCs w:val="32"/>
          <w:highlight w:val="none"/>
          <w:u w:val="none"/>
          <w14:textFill>
            <w14:solidFill>
              <w14:schemeClr w14:val="tx1"/>
            </w14:solidFill>
          </w14:textFill>
        </w:rPr>
        <w:t>；完成时限：长期坚持</w:t>
      </w:r>
      <w:r>
        <w:rPr>
          <w:rFonts w:hint="eastAsia" w:ascii="Times New Roman" w:hAnsi="Times New Roman" w:eastAsia="楷体_GB2312" w:cs="Times New Roman"/>
          <w:b w:val="0"/>
          <w:bCs/>
          <w:strike w:val="0"/>
          <w:dstrike w:val="0"/>
          <w:color w:val="000000" w:themeColor="text1"/>
          <w:spacing w:val="-6"/>
          <w:kern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firstLine="656" w:firstLineChars="200"/>
        <w:jc w:val="both"/>
        <w:textAlignment w:val="auto"/>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（十二）</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建设体育传统特色学校</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深入实施体育传统特色学校提升行动，</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加强学校“星级训练点”建设，</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在“一校一品”“一校多品”体育特色项目基础上，科学规划、整体布局</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域内体育传统特色学校，</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不断</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提</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升</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建设质量</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到2025年，</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打造县</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级以上校园足球、篮球、排球、</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田径</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等体育传统特色学校</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val="en-US" w:eastAsia="zh-CN"/>
          <w14:textFill>
            <w14:solidFill>
              <w14:schemeClr w14:val="tx1"/>
            </w14:solidFill>
          </w14:textFill>
        </w:rPr>
        <w:t>30</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所</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，积极争创省市级</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体育传统特色学校</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牵头单位：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县教育和体育局</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；完成时限：</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2025</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年</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12</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月</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firstLine="656" w:firstLineChars="200"/>
        <w:jc w:val="both"/>
        <w:textAlignment w:val="auto"/>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（十三）</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培养优秀体育人才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依托县竞技体育运动学校国家高水平</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后备人才基地，重点</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打造</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一批中小学高水平运动队，探索构建小学、初中、高中相互衔接、梯次递进的学校体育后备人才“一条龙”培养体系</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为优秀体育人才成长成才提供专业渠道</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规范社会体育组织、俱乐部进校园，发挥其在人才选拔、培养与保护等方面优势，探索建立多元化的学校体育后备人才培养模式</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。鼓励学校</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通过社会体育组织</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进校园</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的方式，为中小学提供教学与训练服务，作为中小学生课后服</w:t>
      </w:r>
      <w:r>
        <w:rPr>
          <w:rFonts w:hint="eastAsia"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务的</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重要内容</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牵头单位：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县教育和体育局</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；完成时限：长期坚持</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firstLine="656" w:firstLineChars="200"/>
        <w:jc w:val="both"/>
        <w:textAlignment w:val="auto"/>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（十四）</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加强学校体育文化建设</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将体育文化融入校园文化建设</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依托</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学校</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运动会和丰富多彩的学校体育活动，广泛开展体育文化设计、创意、展示比赛，发挥体育赛事文化载体作用，涵养“阳光健康、拼搏向上”的校园体育文化，营造良好氛围</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牵头单位：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县教育和体育局</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；完成时限：长期坚持</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firstLine="656" w:firstLineChars="200"/>
        <w:jc w:val="both"/>
        <w:textAlignment w:val="auto"/>
        <w:rPr>
          <w:rFonts w:hint="default" w:ascii="Times New Roman" w:hAnsi="Times New Roman" w:eastAsia="黑体" w:cs="Times New Roman"/>
          <w:b w:val="0"/>
          <w:bCs/>
          <w:strike w:val="0"/>
          <w:dstrike w:val="0"/>
          <w:color w:val="000000" w:themeColor="text1"/>
          <w:spacing w:val="0"/>
          <w:kern w:val="0"/>
          <w:sz w:val="32"/>
          <w:szCs w:val="32"/>
          <w:highlight w:val="none"/>
          <w:u w:val="none"/>
          <w14:textFill>
            <w14:solidFill>
              <w14:schemeClr w14:val="tx1"/>
            </w14:solidFill>
          </w14:textFill>
        </w:rPr>
      </w:pPr>
      <w:r>
        <w:rPr>
          <w:rFonts w:hint="default" w:ascii="Times New Roman" w:hAnsi="Times New Roman" w:eastAsia="黑体" w:cs="Times New Roman"/>
          <w:b w:val="0"/>
          <w:bCs/>
          <w:strike w:val="0"/>
          <w:dstrike w:val="0"/>
          <w:color w:val="000000" w:themeColor="text1"/>
          <w:spacing w:val="0"/>
          <w:kern w:val="0"/>
          <w:sz w:val="32"/>
          <w:szCs w:val="32"/>
          <w:highlight w:val="none"/>
          <w:u w:val="none"/>
          <w14:textFill>
            <w14:solidFill>
              <w14:schemeClr w14:val="tx1"/>
            </w14:solidFill>
          </w14:textFill>
        </w:rPr>
        <w:t>五、改善体育办学条件</w:t>
      </w:r>
    </w:p>
    <w:p>
      <w:pPr>
        <w:keepNext w:val="0"/>
        <w:keepLines w:val="0"/>
        <w:pageBreakBefore w:val="0"/>
        <w:widowControl w:val="0"/>
        <w:kinsoku/>
        <w:wordWrap/>
        <w:overflowPunct/>
        <w:topLinePunct w:val="0"/>
        <w:autoSpaceDE/>
        <w:autoSpaceDN/>
        <w:bidi w:val="0"/>
        <w:adjustRightInd/>
        <w:snapToGrid/>
        <w:spacing w:line="540" w:lineRule="exact"/>
        <w:ind w:right="0" w:firstLine="656" w:firstLineChars="200"/>
        <w:jc w:val="both"/>
        <w:textAlignment w:val="auto"/>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（十五）</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加大体育经费投入</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不断完善体育经费</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投入机制，吸引社会捐赠，多渠道筹集学校体育工作资金</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鼓励企业、单位、个人及社会公益组织赞助学校体育活动</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重大体育竞赛奖励按照重大体育竞赛奖励有关规定执行</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。各</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学校</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根据需要，依据相关文件规定，安排专门资金</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支持体育工作开展</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牵头单位：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县教育和体育局；</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责任单位：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财政局；完成时限：长期坚持</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firstLine="620"/>
        <w:jc w:val="both"/>
        <w:textAlignment w:val="auto"/>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（十六）</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改善场地器材建设配备</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持续推进符合条件的中小学体育运动场地免费向社会开放。</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建立体育器材补充机制，配齐配好体育教学所需器材设备</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牵头单位：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县教育和体育局</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；完成时限：长期坚持</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firstLine="620"/>
        <w:jc w:val="both"/>
        <w:textAlignment w:val="auto"/>
        <w:rPr>
          <w:rFonts w:hint="default" w:ascii="Times New Roman" w:hAnsi="Times New Roman" w:eastAsia="黑体" w:cs="Times New Roman"/>
          <w:b w:val="0"/>
          <w:bCs/>
          <w:strike w:val="0"/>
          <w:dstrike w:val="0"/>
          <w:color w:val="000000" w:themeColor="text1"/>
          <w:spacing w:val="0"/>
          <w:kern w:val="0"/>
          <w:sz w:val="32"/>
          <w:szCs w:val="32"/>
          <w:highlight w:val="none"/>
          <w:u w:val="none"/>
          <w14:textFill>
            <w14:solidFill>
              <w14:schemeClr w14:val="tx1"/>
            </w14:solidFill>
          </w14:textFill>
        </w:rPr>
      </w:pPr>
      <w:r>
        <w:rPr>
          <w:rFonts w:hint="default" w:ascii="Times New Roman" w:hAnsi="Times New Roman" w:eastAsia="黑体" w:cs="Times New Roman"/>
          <w:b w:val="0"/>
          <w:bCs/>
          <w:strike w:val="0"/>
          <w:dstrike w:val="0"/>
          <w:color w:val="000000" w:themeColor="text1"/>
          <w:spacing w:val="0"/>
          <w:kern w:val="0"/>
          <w:sz w:val="32"/>
          <w:szCs w:val="32"/>
          <w:highlight w:val="none"/>
          <w:u w:val="none"/>
          <w14:textFill>
            <w14:solidFill>
              <w14:schemeClr w14:val="tx1"/>
            </w14:solidFill>
          </w14:textFill>
        </w:rPr>
        <w:t>六、加强组织保障</w:t>
      </w:r>
    </w:p>
    <w:p>
      <w:pPr>
        <w:keepNext w:val="0"/>
        <w:keepLines w:val="0"/>
        <w:pageBreakBefore w:val="0"/>
        <w:widowControl w:val="0"/>
        <w:kinsoku/>
        <w:wordWrap/>
        <w:overflowPunct/>
        <w:topLinePunct w:val="0"/>
        <w:autoSpaceDE/>
        <w:autoSpaceDN/>
        <w:bidi w:val="0"/>
        <w:adjustRightInd/>
        <w:snapToGrid/>
        <w:spacing w:line="540" w:lineRule="exact"/>
        <w:ind w:right="0" w:firstLine="620"/>
        <w:jc w:val="both"/>
        <w:textAlignment w:val="auto"/>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（十七）</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加强组织领导</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坚持把</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学校体育工作纳入重要议事日程，加强总体谋划，做好学校体育工作改革的政策、经费和条件保障</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教育</w:t>
      </w:r>
      <w:r>
        <w:rPr>
          <w:rFonts w:hint="eastAsia"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和体育</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部门要履行主管部门职责，牵头做好学校体育工作</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各相关部门</w:t>
      </w:r>
      <w:r>
        <w:rPr>
          <w:rFonts w:hint="eastAsia"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、单位</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要按照责任分工，研究具体政策举措，加强协同配合，推进学校体育改革发展</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探索成立学校体育协会，发挥其在学校体育竞赛组织、师资培训、学术交流等方面的作用</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。各级各类学校</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要把体育与健康工作列为“一把手”工程，校长是第一责任人，抓好教学、训练、评价等工作</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牵头单位：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县教育和体育局；</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责任单位：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委宣传部、</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委编办、</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发展改革</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局</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民政局、</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财政局、</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人力资源社会保障局、</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行政审批服务局；完成时限：长期坚持</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firstLine="620"/>
        <w:jc w:val="both"/>
        <w:textAlignment w:val="auto"/>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（十八）</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落实安全保障措施</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完善涵盖体育意外伤害的校方责任险保障机制</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。各级各类学校</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要制定体育运动风险防控制度和体育运动伤害事故处理预案，落实安全工作责任</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加强校长、教师及有关管理人员培训，提高学校体育从业人员运动风险管理意识和能力</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对学生进行安全教育，培养学生安全意识和自我保护能力，提高学生的伤害应急处置和救护能力</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规范实施体育教学、活动、训练和比赛</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根据体育器材设施及场地的安全风险进行分类管理，定期开展检查，对可能存在安全风险的应当设立明显警示标志和安全提示</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牵头单位：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县教育和体育局</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人力资源社会保障局</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责任单位：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财政局；完成时限：长期坚持</w:t>
      </w:r>
      <w:r>
        <w:rPr>
          <w:rFonts w:hint="eastAsia"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firstLine="620"/>
        <w:jc w:val="both"/>
        <w:textAlignment w:val="auto"/>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（十九）</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强化宣传引导</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各有关部门、单位</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要加大学校体育工作政策的宣传解读力度，形成正确的舆论导向</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落实家庭教育指导，凝聚各方面共识，形成政府、学校、家庭、社会共同关心青少年身心健康的良好氛围</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14:textFill>
            <w14:solidFill>
              <w14:schemeClr w14:val="tx1"/>
            </w14:solidFill>
          </w14:textFill>
        </w:rPr>
        <w:t>及时总结、宣传学校体育工作的成功经验和典型案例，扩大辐射面，提高影响力</w:t>
      </w:r>
      <w:r>
        <w:rPr>
          <w:rFonts w:hint="default" w:ascii="Times New Roman" w:hAnsi="Times New Roman" w:eastAsia="仿宋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牵头单位：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县教育和体育局；</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责任单位：</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lang w:eastAsia="zh-CN"/>
          <w14:textFill>
            <w14:solidFill>
              <w14:schemeClr w14:val="tx1"/>
            </w14:solidFill>
          </w14:textFill>
        </w:rPr>
        <w:t>县</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委宣传部、</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县互联网服务保障中心</w:t>
      </w:r>
      <w:r>
        <w:rPr>
          <w:rFonts w:hint="default" w:ascii="Times New Roman" w:hAnsi="Times New Roman" w:eastAsia="楷体_GB2312" w:cs="Times New Roman"/>
          <w:b w:val="0"/>
          <w:bCs/>
          <w:strike w:val="0"/>
          <w:dstrike w:val="0"/>
          <w:color w:val="000000" w:themeColor="text1"/>
          <w:spacing w:val="0"/>
          <w:kern w:val="0"/>
          <w:sz w:val="32"/>
          <w:szCs w:val="32"/>
          <w:highlight w:val="none"/>
          <w:u w:val="none"/>
          <w14:textFill>
            <w14:solidFill>
              <w14:schemeClr w14:val="tx1"/>
            </w14:solidFill>
          </w14:textFill>
        </w:rPr>
        <w:t>；完成时限：长期坚持</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firstLine="620"/>
        <w:jc w:val="both"/>
        <w:textAlignment w:val="auto"/>
        <w:rPr>
          <w:rFonts w:hint="default" w:ascii="Times New Roman" w:hAnsi="Times New Roman" w:eastAsia="楷体_GB2312" w:cs="Times New Roman"/>
          <w:b w:val="0"/>
          <w:bCs/>
          <w:strike w:val="0"/>
          <w:dstrike w:val="0"/>
          <w:color w:val="auto"/>
          <w:spacing w:val="0"/>
          <w:kern w:val="0"/>
          <w:sz w:val="32"/>
          <w:szCs w:val="32"/>
          <w:highlight w:val="none"/>
          <w:u w:val="none"/>
        </w:rPr>
      </w:pPr>
      <w:r>
        <w:rPr>
          <w:rFonts w:hint="default" w:ascii="Times New Roman" w:hAnsi="Times New Roman" w:eastAsia="楷体_GB2312" w:cs="Times New Roman"/>
          <w:b w:val="0"/>
          <w:bCs/>
          <w:strike w:val="0"/>
          <w:dstrike w:val="0"/>
          <w:color w:val="auto"/>
          <w:spacing w:val="0"/>
          <w:kern w:val="0"/>
          <w:sz w:val="32"/>
          <w:szCs w:val="32"/>
          <w:highlight w:val="none"/>
          <w:u w:val="none"/>
          <w:lang w:eastAsia="zh-CN"/>
        </w:rPr>
        <w:t>（二十）</w:t>
      </w:r>
      <w:r>
        <w:rPr>
          <w:rFonts w:hint="default" w:ascii="Times New Roman" w:hAnsi="Times New Roman" w:eastAsia="楷体_GB2312" w:cs="Times New Roman"/>
          <w:b w:val="0"/>
          <w:bCs/>
          <w:strike w:val="0"/>
          <w:dstrike w:val="0"/>
          <w:color w:val="auto"/>
          <w:spacing w:val="0"/>
          <w:kern w:val="0"/>
          <w:sz w:val="32"/>
          <w:szCs w:val="32"/>
          <w:highlight w:val="none"/>
          <w:u w:val="none"/>
        </w:rPr>
        <w:t>制定落实措施</w:t>
      </w:r>
      <w:r>
        <w:rPr>
          <w:rFonts w:hint="default" w:ascii="Times New Roman" w:hAnsi="Times New Roman" w:eastAsia="楷体_GB2312" w:cs="Times New Roman"/>
          <w:b w:val="0"/>
          <w:bCs/>
          <w:strike w:val="0"/>
          <w:dstrike w:val="0"/>
          <w:color w:val="auto"/>
          <w:spacing w:val="0"/>
          <w:kern w:val="0"/>
          <w:sz w:val="32"/>
          <w:szCs w:val="32"/>
          <w:highlight w:val="none"/>
          <w:u w:val="none"/>
          <w:lang w:eastAsia="zh-CN"/>
        </w:rPr>
        <w:t>。</w:t>
      </w:r>
      <w:r>
        <w:rPr>
          <w:rFonts w:hint="default" w:ascii="Times New Roman" w:hAnsi="Times New Roman" w:eastAsia="仿宋_GB2312" w:cs="Times New Roman"/>
          <w:b w:val="0"/>
          <w:bCs/>
          <w:strike w:val="0"/>
          <w:dstrike w:val="0"/>
          <w:color w:val="auto"/>
          <w:spacing w:val="0"/>
          <w:kern w:val="0"/>
          <w:sz w:val="32"/>
          <w:szCs w:val="32"/>
          <w:highlight w:val="none"/>
          <w:u w:val="none"/>
          <w:lang w:eastAsia="zh-CN"/>
        </w:rPr>
        <w:t>教育</w:t>
      </w:r>
      <w:r>
        <w:rPr>
          <w:rFonts w:hint="eastAsia" w:ascii="Times New Roman" w:hAnsi="Times New Roman" w:eastAsia="仿宋_GB2312" w:cs="Times New Roman"/>
          <w:b w:val="0"/>
          <w:bCs/>
          <w:strike w:val="0"/>
          <w:dstrike w:val="0"/>
          <w:color w:val="auto"/>
          <w:spacing w:val="0"/>
          <w:kern w:val="0"/>
          <w:sz w:val="32"/>
          <w:szCs w:val="32"/>
          <w:highlight w:val="none"/>
          <w:u w:val="none"/>
          <w:lang w:eastAsia="zh-CN"/>
        </w:rPr>
        <w:t>和体育</w:t>
      </w:r>
      <w:r>
        <w:rPr>
          <w:rFonts w:hint="default" w:ascii="Times New Roman" w:hAnsi="Times New Roman" w:eastAsia="仿宋_GB2312" w:cs="Times New Roman"/>
          <w:b w:val="0"/>
          <w:bCs/>
          <w:strike w:val="0"/>
          <w:dstrike w:val="0"/>
          <w:color w:val="auto"/>
          <w:spacing w:val="0"/>
          <w:kern w:val="0"/>
          <w:sz w:val="32"/>
          <w:szCs w:val="32"/>
          <w:highlight w:val="none"/>
          <w:u w:val="none"/>
          <w:lang w:eastAsia="zh-CN"/>
        </w:rPr>
        <w:t>部门</w:t>
      </w:r>
      <w:r>
        <w:rPr>
          <w:rFonts w:hint="eastAsia" w:ascii="Times New Roman" w:hAnsi="Times New Roman" w:eastAsia="仿宋_GB2312" w:cs="Times New Roman"/>
          <w:b w:val="0"/>
          <w:bCs/>
          <w:strike w:val="0"/>
          <w:dstrike w:val="0"/>
          <w:color w:val="auto"/>
          <w:spacing w:val="0"/>
          <w:kern w:val="0"/>
          <w:sz w:val="32"/>
          <w:szCs w:val="32"/>
          <w:highlight w:val="none"/>
          <w:u w:val="none"/>
          <w:lang w:eastAsia="zh-CN"/>
        </w:rPr>
        <w:t>以及</w:t>
      </w:r>
      <w:r>
        <w:rPr>
          <w:rFonts w:hint="default" w:ascii="Times New Roman" w:hAnsi="Times New Roman" w:eastAsia="仿宋_GB2312" w:cs="Times New Roman"/>
          <w:b w:val="0"/>
          <w:bCs/>
          <w:strike w:val="0"/>
          <w:dstrike w:val="0"/>
          <w:color w:val="auto"/>
          <w:spacing w:val="0"/>
          <w:kern w:val="0"/>
          <w:sz w:val="32"/>
          <w:szCs w:val="32"/>
          <w:highlight w:val="none"/>
          <w:u w:val="none"/>
          <w:lang w:eastAsia="zh-CN"/>
        </w:rPr>
        <w:t>各学区、学校</w:t>
      </w:r>
      <w:r>
        <w:rPr>
          <w:rFonts w:hint="default" w:ascii="Times New Roman" w:hAnsi="Times New Roman" w:eastAsia="仿宋_GB2312" w:cs="Times New Roman"/>
          <w:b w:val="0"/>
          <w:bCs/>
          <w:strike w:val="0"/>
          <w:dstrike w:val="0"/>
          <w:color w:val="auto"/>
          <w:spacing w:val="0"/>
          <w:kern w:val="0"/>
          <w:sz w:val="32"/>
          <w:szCs w:val="32"/>
          <w:highlight w:val="none"/>
          <w:u w:val="none"/>
        </w:rPr>
        <w:t>要研究落实加强和改进新时代学校体育工作的具体措施，构建学校体育教师专业成长梯队培养机制，制定学校运动场地健身器材维修维护计划，整体提升学校体育发展水平。</w:t>
      </w:r>
      <w:r>
        <w:rPr>
          <w:rFonts w:hint="eastAsia" w:ascii="Times New Roman" w:hAnsi="Times New Roman" w:eastAsia="仿宋_GB2312" w:cs="Times New Roman"/>
          <w:b w:val="0"/>
          <w:bCs/>
          <w:strike w:val="0"/>
          <w:dstrike w:val="0"/>
          <w:color w:val="auto"/>
          <w:spacing w:val="0"/>
          <w:sz w:val="32"/>
          <w:szCs w:val="32"/>
          <w:highlight w:val="none"/>
          <w:u w:val="none"/>
          <w:lang w:eastAsia="zh-CN"/>
        </w:rPr>
        <w:t>（</w:t>
      </w:r>
      <w:r>
        <w:rPr>
          <w:rFonts w:hint="default" w:ascii="Times New Roman" w:hAnsi="Times New Roman" w:eastAsia="楷体_GB2312" w:cs="Times New Roman"/>
          <w:b w:val="0"/>
          <w:bCs/>
          <w:strike w:val="0"/>
          <w:dstrike w:val="0"/>
          <w:color w:val="auto"/>
          <w:spacing w:val="0"/>
          <w:kern w:val="0"/>
          <w:sz w:val="32"/>
          <w:szCs w:val="32"/>
          <w:highlight w:val="none"/>
          <w:u w:val="none"/>
        </w:rPr>
        <w:t>牵头单位：</w:t>
      </w:r>
      <w:r>
        <w:rPr>
          <w:rFonts w:hint="default" w:ascii="Times New Roman" w:hAnsi="Times New Roman" w:eastAsia="楷体_GB2312" w:cs="Times New Roman"/>
          <w:b w:val="0"/>
          <w:bCs/>
          <w:strike w:val="0"/>
          <w:dstrike w:val="0"/>
          <w:color w:val="auto"/>
          <w:spacing w:val="0"/>
          <w:kern w:val="0"/>
          <w:sz w:val="32"/>
          <w:szCs w:val="32"/>
          <w:highlight w:val="none"/>
          <w:u w:val="none"/>
          <w:lang w:eastAsia="zh-CN"/>
        </w:rPr>
        <w:t>县教育和体育局</w:t>
      </w:r>
      <w:r>
        <w:rPr>
          <w:rFonts w:hint="default" w:ascii="Times New Roman" w:hAnsi="Times New Roman" w:eastAsia="楷体_GB2312" w:cs="Times New Roman"/>
          <w:b w:val="0"/>
          <w:bCs/>
          <w:strike w:val="0"/>
          <w:dstrike w:val="0"/>
          <w:color w:val="auto"/>
          <w:spacing w:val="0"/>
          <w:kern w:val="0"/>
          <w:sz w:val="32"/>
          <w:szCs w:val="32"/>
          <w:highlight w:val="none"/>
          <w:u w:val="none"/>
        </w:rPr>
        <w:t>；完成时限：202</w:t>
      </w:r>
      <w:r>
        <w:rPr>
          <w:rFonts w:hint="default" w:ascii="Times New Roman" w:hAnsi="Times New Roman" w:eastAsia="楷体_GB2312" w:cs="Times New Roman"/>
          <w:b w:val="0"/>
          <w:bCs/>
          <w:strike w:val="0"/>
          <w:dstrike w:val="0"/>
          <w:color w:val="auto"/>
          <w:spacing w:val="0"/>
          <w:kern w:val="0"/>
          <w:sz w:val="32"/>
          <w:szCs w:val="32"/>
          <w:highlight w:val="none"/>
          <w:u w:val="none"/>
          <w:lang w:val="en-US" w:eastAsia="zh-CN"/>
        </w:rPr>
        <w:t>4</w:t>
      </w:r>
      <w:r>
        <w:rPr>
          <w:rFonts w:hint="default" w:ascii="Times New Roman" w:hAnsi="Times New Roman" w:eastAsia="楷体_GB2312" w:cs="Times New Roman"/>
          <w:b w:val="0"/>
          <w:bCs/>
          <w:strike w:val="0"/>
          <w:dstrike w:val="0"/>
          <w:color w:val="auto"/>
          <w:spacing w:val="0"/>
          <w:kern w:val="0"/>
          <w:sz w:val="32"/>
          <w:szCs w:val="32"/>
          <w:highlight w:val="none"/>
          <w:u w:val="none"/>
        </w:rPr>
        <w:t>年12月</w:t>
      </w:r>
      <w:r>
        <w:rPr>
          <w:rFonts w:hint="eastAsia" w:ascii="Times New Roman" w:hAnsi="Times New Roman" w:eastAsia="仿宋_GB2312" w:cs="Times New Roman"/>
          <w:b w:val="0"/>
          <w:bCs/>
          <w:strike w:val="0"/>
          <w:dstrike w:val="0"/>
          <w:color w:val="auto"/>
          <w:spacing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strike w:val="0"/>
          <w:dstrike w:val="0"/>
          <w:color w:val="000000" w:themeColor="text1"/>
          <w:spacing w:val="0"/>
          <w:sz w:val="44"/>
          <w:szCs w:val="44"/>
          <w:highlight w:val="none"/>
          <w:u w:val="none"/>
          <w:lang w:val="en-US" w:eastAsia="zh-CN"/>
          <w14:textFill>
            <w14:solidFill>
              <w14:schemeClr w14:val="tx1"/>
            </w14:solidFill>
          </w14:textFill>
        </w:rPr>
      </w:pPr>
      <w:r>
        <w:rPr>
          <w:rFonts w:hint="default" w:ascii="Times New Roman" w:hAnsi="Times New Roman" w:eastAsia="方正小标宋简体" w:cs="Times New Roman"/>
          <w:b w:val="0"/>
          <w:bCs/>
          <w:strike w:val="0"/>
          <w:dstrike w:val="0"/>
          <w:color w:val="000000" w:themeColor="text1"/>
          <w:spacing w:val="0"/>
          <w:sz w:val="44"/>
          <w:szCs w:val="44"/>
          <w:highlight w:val="none"/>
          <w:u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strike w:val="0"/>
          <w:dstrike w:val="0"/>
          <w:color w:val="000000" w:themeColor="text1"/>
          <w:spacing w:val="0"/>
          <w:sz w:val="44"/>
          <w:szCs w:val="44"/>
          <w:highlight w:val="none"/>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strike w:val="0"/>
          <w:dstrike w:val="0"/>
          <w:color w:val="000000" w:themeColor="text1"/>
          <w:spacing w:val="0"/>
          <w:sz w:val="44"/>
          <w:szCs w:val="44"/>
          <w:highlight w:val="none"/>
          <w:u w:val="none"/>
          <w:lang w:val="en-US" w:eastAsia="zh-CN"/>
          <w14:textFill>
            <w14:solidFill>
              <w14:schemeClr w14:val="tx1"/>
            </w14:solidFill>
          </w14:textFill>
        </w:rPr>
      </w:pPr>
      <w:r>
        <w:rPr>
          <w:rFonts w:hint="default" w:ascii="Times New Roman" w:hAnsi="Times New Roman" w:eastAsia="方正小标宋简体" w:cs="Times New Roman"/>
          <w:b w:val="0"/>
          <w:bCs/>
          <w:strike w:val="0"/>
          <w:dstrike w:val="0"/>
          <w:color w:val="000000" w:themeColor="text1"/>
          <w:spacing w:val="0"/>
          <w:sz w:val="44"/>
          <w:szCs w:val="44"/>
          <w:highlight w:val="none"/>
          <w:u w:val="none"/>
          <w:lang w:val="en-US" w:eastAsia="zh-CN"/>
          <w14:textFill>
            <w14:solidFill>
              <w14:schemeClr w14:val="tx1"/>
            </w14:solidFill>
          </w14:textFill>
        </w:rPr>
        <w:t>全面加强和改进新时代学校美育工作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strike w:val="0"/>
          <w:dstrike w:val="0"/>
          <w:color w:val="000000" w:themeColor="text1"/>
          <w:spacing w:val="0"/>
          <w:sz w:val="44"/>
          <w:szCs w:val="44"/>
          <w:highlight w:val="none"/>
          <w:u w:val="none"/>
          <w:lang w:val="en-US" w:eastAsia="zh-CN"/>
          <w14:textFill>
            <w14:solidFill>
              <w14:schemeClr w14:val="tx1"/>
            </w14:solidFill>
          </w14:textFill>
        </w:rPr>
      </w:pPr>
      <w:r>
        <w:rPr>
          <w:rFonts w:hint="default" w:ascii="Times New Roman" w:hAnsi="Times New Roman" w:eastAsia="方正小标宋简体" w:cs="Times New Roman"/>
          <w:b w:val="0"/>
          <w:bCs/>
          <w:strike w:val="0"/>
          <w:dstrike w:val="0"/>
          <w:color w:val="000000" w:themeColor="text1"/>
          <w:spacing w:val="0"/>
          <w:sz w:val="44"/>
          <w:szCs w:val="44"/>
          <w:highlight w:val="none"/>
          <w:u w:val="none"/>
          <w:lang w:val="en-US" w:eastAsia="zh-CN"/>
          <w14:textFill>
            <w14:solidFill>
              <w14:schemeClr w14:val="tx1"/>
            </w14:solidFill>
          </w14:textFill>
        </w:rPr>
        <w:t>重点任务及分工方案</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eastAsia="黑体" w:cs="Times New Roman"/>
          <w:b w:val="0"/>
          <w:bCs/>
          <w:strike w:val="0"/>
          <w:dstrike w:val="0"/>
          <w:color w:val="000000" w:themeColor="text1"/>
          <w:spacing w:val="0"/>
          <w:sz w:val="32"/>
          <w:szCs w:val="32"/>
          <w:highlight w:val="none"/>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eastAsia="黑体" w:cs="Times New Roman"/>
          <w:b w:val="0"/>
          <w:bCs/>
          <w:strike w:val="0"/>
          <w:dstrike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b w:val="0"/>
          <w:bCs/>
          <w:strike w:val="0"/>
          <w:dstrike w:val="0"/>
          <w:color w:val="000000" w:themeColor="text1"/>
          <w:spacing w:val="0"/>
          <w:sz w:val="32"/>
          <w:szCs w:val="32"/>
          <w:highlight w:val="none"/>
          <w:u w:val="none"/>
          <w14:textFill>
            <w14:solidFill>
              <w14:schemeClr w14:val="tx1"/>
            </w14:solidFill>
          </w14:textFill>
        </w:rPr>
        <w:t>一</w:t>
      </w:r>
      <w:r>
        <w:rPr>
          <w:rFonts w:hint="default" w:ascii="Times New Roman" w:hAnsi="Times New Roman" w:eastAsia="黑体"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黑体" w:cs="Times New Roman"/>
          <w:b w:val="0"/>
          <w:bCs/>
          <w:strike w:val="0"/>
          <w:dstrike w:val="0"/>
          <w:color w:val="000000" w:themeColor="text1"/>
          <w:spacing w:val="0"/>
          <w:sz w:val="32"/>
          <w:szCs w:val="32"/>
          <w:highlight w:val="none"/>
          <w:u w:val="none"/>
          <w14:textFill>
            <w14:solidFill>
              <w14:schemeClr w14:val="tx1"/>
            </w14:solidFill>
          </w14:textFill>
        </w:rPr>
        <w:t>深化美育教学改革</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eastAsia="楷体_GB2312" w:cs="Times New Roman"/>
          <w:b w:val="0"/>
          <w:bCs/>
          <w:strike w:val="0"/>
          <w:dstrike w:val="0"/>
          <w:color w:val="000000" w:themeColor="text1"/>
          <w:spacing w:val="0"/>
          <w:sz w:val="32"/>
          <w:szCs w:val="32"/>
          <w:highlight w:val="none"/>
          <w:u w:val="none"/>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（一）</w:t>
      </w:r>
      <w:r>
        <w:rPr>
          <w:rFonts w:hint="default" w:ascii="Times New Roman" w:hAnsi="Times New Roman" w:eastAsia="楷体_GB2312" w:cs="Times New Roman"/>
          <w:b w:val="0"/>
          <w:bCs/>
          <w:strike w:val="0"/>
          <w:dstrike w:val="0"/>
          <w:color w:val="000000" w:themeColor="text1"/>
          <w:spacing w:val="0"/>
          <w:sz w:val="32"/>
          <w:szCs w:val="32"/>
          <w:highlight w:val="none"/>
          <w:u w:val="none"/>
          <w14:textFill>
            <w14:solidFill>
              <w14:schemeClr w14:val="tx1"/>
            </w14:solidFill>
          </w14:textFill>
        </w:rPr>
        <w:t>落实美育课时要求。</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严格落实学校美育课程开设刚性要求，严格按照国家课程方案和课程标准开齐开足上好美育课。小学每周不少于</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4</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节，初中每周不少于</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2</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节</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普通高中阶段累计不少于</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108</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节</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中职学校必修课程累计不少于</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72</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节。</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牵头单位：县教育和体育局；</w:t>
      </w:r>
      <w:r>
        <w:rPr>
          <w:rFonts w:hint="default" w:ascii="Times New Roman" w:hAnsi="Times New Roman" w:eastAsia="楷体_GB2312" w:cs="Times New Roman"/>
          <w:b w:val="0"/>
          <w:bCs/>
          <w:strike w:val="0"/>
          <w:dstrike w:val="0"/>
          <w:color w:val="000000" w:themeColor="text1"/>
          <w:spacing w:val="0"/>
          <w:sz w:val="32"/>
          <w:szCs w:val="32"/>
          <w:highlight w:val="none"/>
          <w:u w:val="none"/>
          <w14:textFill>
            <w14:solidFill>
              <w14:schemeClr w14:val="tx1"/>
            </w14:solidFill>
          </w14:textFill>
        </w:rPr>
        <w:t>完成时限</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：长期坚持</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（二）</w:t>
      </w:r>
      <w:r>
        <w:rPr>
          <w:rFonts w:hint="default" w:ascii="Times New Roman" w:hAnsi="Times New Roman" w:eastAsia="楷体_GB2312" w:cs="Times New Roman"/>
          <w:b w:val="0"/>
          <w:bCs/>
          <w:strike w:val="0"/>
          <w:dstrike w:val="0"/>
          <w:color w:val="000000" w:themeColor="text1"/>
          <w:spacing w:val="0"/>
          <w:sz w:val="32"/>
          <w:szCs w:val="32"/>
          <w:highlight w:val="none"/>
          <w:u w:val="none"/>
          <w14:textFill>
            <w14:solidFill>
              <w14:schemeClr w14:val="tx1"/>
            </w14:solidFill>
          </w14:textFill>
        </w:rPr>
        <w:t>丰富美育课程设置。</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不断拓宽课程领域，丰富课程内容</w:t>
      </w:r>
      <w:r>
        <w:rPr>
          <w:rFonts w:hint="default" w:ascii="Times New Roman" w:hAnsi="Times New Roman" w:eastAsia="仿宋_GB2312" w:cs="Times New Roman"/>
          <w:b w:val="0"/>
          <w:bCs/>
          <w:strike w:val="0"/>
          <w:dstrike w:val="0"/>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开全开好</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音乐、美术、书法</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等常规课程，引入</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舞蹈、戏剧、影视等</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特色</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课程，提升学生综合素养，培育学生健康心理、健全人格。鼓励挖掘红色文化</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，合理利用沂蒙精神等优势资源，</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持续推进艺术进校园活动，鼓励开发校本美育特色课程。</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强化美育实践，</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鼓励学校到革命文物保护单位、博物馆、纪念馆等校外美育基地开展现场教学</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牵头单位：县教育和体育局；责任单位：县文化和旅游局；完成时限：长期坚持</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eastAsia="楷体_GB2312" w:cs="Times New Roman"/>
          <w:b w:val="0"/>
          <w:bCs/>
          <w:strike w:val="0"/>
          <w:dstrike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（三）</w:t>
      </w:r>
      <w:r>
        <w:rPr>
          <w:rFonts w:hint="default" w:ascii="Times New Roman" w:hAnsi="Times New Roman" w:eastAsia="楷体_GB2312" w:cs="Times New Roman"/>
          <w:b w:val="0"/>
          <w:bCs/>
          <w:strike w:val="0"/>
          <w:dstrike w:val="0"/>
          <w:color w:val="000000" w:themeColor="text1"/>
          <w:spacing w:val="0"/>
          <w:sz w:val="32"/>
          <w:szCs w:val="32"/>
          <w:highlight w:val="none"/>
          <w:u w:val="none"/>
          <w14:textFill>
            <w14:solidFill>
              <w14:schemeClr w14:val="tx1"/>
            </w14:solidFill>
          </w14:textFill>
        </w:rPr>
        <w:t>推动美育学科融合。</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加强美育与德育、智育、体育、劳动教育相融合，充分挖掘和运用各学科蕴含的体现中华美育精神与民族审美特质的美育资源，推广学科美育指引，深化学科美育建设，开展以美育为主题的跨学科教育教学。</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牵头单位：县教育和体育局</w:t>
      </w:r>
      <w:r>
        <w:rPr>
          <w:rFonts w:hint="default" w:ascii="Times New Roman" w:hAnsi="Times New Roman" w:eastAsia="楷体_GB2312" w:cs="Times New Roman"/>
          <w:b w:val="0"/>
          <w:bCs/>
          <w:strike w:val="0"/>
          <w:dstrike w:val="0"/>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完成时限：长期坚持</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cs="Times New Roman"/>
          <w:b w:val="0"/>
          <w:bCs/>
          <w:i w:val="0"/>
          <w:iCs w:val="0"/>
          <w:caps w:val="0"/>
          <w:strike w:val="0"/>
          <w:dstrike w:val="0"/>
          <w:color w:val="000000" w:themeColor="text1"/>
          <w:spacing w:val="0"/>
          <w:sz w:val="27"/>
          <w:szCs w:val="27"/>
          <w:highlight w:val="none"/>
          <w:u w:val="none"/>
          <w:shd w:val="clear" w:color="auto" w:fill="FFFFFF"/>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（四）</w:t>
      </w:r>
      <w:r>
        <w:rPr>
          <w:rFonts w:hint="default" w:ascii="Times New Roman" w:hAnsi="Times New Roman" w:eastAsia="楷体_GB2312" w:cs="Times New Roman"/>
          <w:b w:val="0"/>
          <w:bCs/>
          <w:strike w:val="0"/>
          <w:dstrike w:val="0"/>
          <w:color w:val="000000" w:themeColor="text1"/>
          <w:spacing w:val="0"/>
          <w:sz w:val="32"/>
          <w:szCs w:val="32"/>
          <w:highlight w:val="none"/>
          <w:u w:val="none"/>
          <w14:textFill>
            <w14:solidFill>
              <w14:schemeClr w14:val="tx1"/>
            </w14:solidFill>
          </w14:textFill>
        </w:rPr>
        <w:t>加强美育教学研究。</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在</w:t>
      </w:r>
      <w:r>
        <w:rPr>
          <w:rFonts w:hint="default" w:ascii="Times New Roman" w:hAnsi="Times New Roman" w:eastAsia="仿宋_GB2312" w:cs="Times New Roman"/>
          <w:b w:val="0"/>
          <w:bCs/>
          <w:strike w:val="0"/>
          <w:dstrike w:val="0"/>
          <w:color w:val="000000" w:themeColor="text1"/>
          <w:spacing w:val="0"/>
          <w:sz w:val="32"/>
          <w:szCs w:val="32"/>
          <w:highlight w:val="none"/>
          <w:u w:val="none"/>
          <w:lang w:val="en-US" w:eastAsia="zh-CN"/>
          <w14:textFill>
            <w14:solidFill>
              <w14:schemeClr w14:val="tx1"/>
            </w14:solidFill>
          </w14:textFill>
        </w:rPr>
        <w:t>县</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规划课题和教育科研项目中</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专门</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设立美育研究课题，</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用课题研究推动美育教师的教科研能力提升。</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建立健全“行政</w:t>
      </w:r>
      <w:r>
        <w:rPr>
          <w:rFonts w:hint="default" w:ascii="Times New Roman" w:hAnsi="Times New Roman" w:eastAsia="宋体" w:cs="Times New Roman"/>
          <w:b w:val="0"/>
          <w:bCs/>
          <w:strike w:val="0"/>
          <w:dstrike w:val="0"/>
          <w:color w:val="000000" w:themeColor="text1"/>
          <w:spacing w:val="0"/>
          <w:sz w:val="32"/>
          <w:szCs w:val="32"/>
          <w:highlight w:val="none"/>
          <w:u w:val="none"/>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教研”一体推进学校美育工作管理机制，配齐配强美育专兼职教研员。加强教研平台建设，强化美育教研活动，</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在</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全</w:t>
      </w:r>
      <w:r>
        <w:rPr>
          <w:rFonts w:hint="default" w:ascii="Times New Roman" w:hAnsi="Times New Roman" w:eastAsia="仿宋_GB2312" w:cs="Times New Roman"/>
          <w:b w:val="0"/>
          <w:bCs/>
          <w:strike w:val="0"/>
          <w:dstrike w:val="0"/>
          <w:color w:val="000000" w:themeColor="text1"/>
          <w:spacing w:val="0"/>
          <w:sz w:val="32"/>
          <w:szCs w:val="32"/>
          <w:highlight w:val="none"/>
          <w:u w:val="none"/>
          <w:lang w:val="en-US" w:eastAsia="zh-CN"/>
          <w14:textFill>
            <w14:solidFill>
              <w14:schemeClr w14:val="tx1"/>
            </w14:solidFill>
          </w14:textFill>
        </w:rPr>
        <w:t>县</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重点建设</w:t>
      </w:r>
      <w:r>
        <w:rPr>
          <w:rFonts w:hint="default" w:ascii="Times New Roman" w:hAnsi="Times New Roman" w:eastAsia="仿宋_GB2312" w:cs="Times New Roman"/>
          <w:b w:val="0"/>
          <w:bCs/>
          <w:strike w:val="0"/>
          <w:dstrike w:val="0"/>
          <w:color w:val="000000" w:themeColor="text1"/>
          <w:spacing w:val="0"/>
          <w:sz w:val="32"/>
          <w:szCs w:val="32"/>
          <w:highlight w:val="none"/>
          <w:u w:val="none"/>
          <w:lang w:val="en-US" w:eastAsia="zh-CN"/>
          <w14:textFill>
            <w14:solidFill>
              <w14:schemeClr w14:val="tx1"/>
            </w14:solidFill>
          </w14:textFill>
        </w:rPr>
        <w:t>3</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个美育研究基地</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提升美育教师教科研能力。推行学校美育教学集体备课，探索建立幼小初高美育教师一体化教研机制。</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牵头单位：县教育和体育局；完成时限：2025年</w:t>
      </w:r>
      <w:r>
        <w:rPr>
          <w:rFonts w:hint="default" w:ascii="Times New Roman" w:hAnsi="Times New Roman" w:eastAsia="楷体_GB2312" w:cs="Times New Roman"/>
          <w:b w:val="0"/>
          <w:bCs/>
          <w:strike w:val="0"/>
          <w:dstrike w:val="0"/>
          <w:color w:val="000000" w:themeColor="text1"/>
          <w:spacing w:val="0"/>
          <w:sz w:val="32"/>
          <w:szCs w:val="32"/>
          <w:highlight w:val="none"/>
          <w:u w:val="none"/>
          <w:lang w:val="en-US" w:eastAsia="zh-CN"/>
          <w14:textFill>
            <w14:solidFill>
              <w14:schemeClr w14:val="tx1"/>
            </w14:solidFill>
          </w14:textFill>
        </w:rPr>
        <w:t>12</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月</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（五）</w:t>
      </w:r>
      <w:r>
        <w:rPr>
          <w:rFonts w:hint="default" w:ascii="Times New Roman" w:hAnsi="Times New Roman" w:eastAsia="楷体_GB2312" w:cs="Times New Roman"/>
          <w:b w:val="0"/>
          <w:bCs/>
          <w:strike w:val="0"/>
          <w:dstrike w:val="0"/>
          <w:color w:val="000000" w:themeColor="text1"/>
          <w:spacing w:val="0"/>
          <w:sz w:val="32"/>
          <w:szCs w:val="32"/>
          <w:highlight w:val="none"/>
          <w:u w:val="none"/>
          <w14:textFill>
            <w14:solidFill>
              <w14:schemeClr w14:val="tx1"/>
            </w14:solidFill>
          </w14:textFill>
        </w:rPr>
        <w:t>提升美育教学质量。</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完善“艺术基础知识基本技能</w:t>
      </w:r>
      <w:r>
        <w:rPr>
          <w:rFonts w:hint="default" w:ascii="Times New Roman" w:hAnsi="Times New Roman" w:eastAsia="宋体" w:cs="Times New Roman"/>
          <w:b w:val="0"/>
          <w:bCs/>
          <w:strike w:val="0"/>
          <w:dstrike w:val="0"/>
          <w:color w:val="000000" w:themeColor="text1"/>
          <w:spacing w:val="0"/>
          <w:sz w:val="32"/>
          <w:szCs w:val="32"/>
          <w:highlight w:val="none"/>
          <w:u w:val="none"/>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艺术审美体验</w:t>
      </w:r>
      <w:r>
        <w:rPr>
          <w:rFonts w:hint="default" w:ascii="Times New Roman" w:hAnsi="Times New Roman" w:eastAsia="宋体" w:cs="Times New Roman"/>
          <w:b w:val="0"/>
          <w:bCs/>
          <w:strike w:val="0"/>
          <w:dstrike w:val="0"/>
          <w:color w:val="000000" w:themeColor="text1"/>
          <w:spacing w:val="0"/>
          <w:sz w:val="32"/>
          <w:szCs w:val="32"/>
          <w:highlight w:val="none"/>
          <w:u w:val="none"/>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艺术专项特长”的艺术课程教学模式，创新课堂教学方式，</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尝试</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数字美育课堂教学，在学生掌握必要基础知识和基本技能的基础上，着力提升文化理解、审美感知、艺术表现、创意实践等核心素养，帮助学生至少熟练掌握</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1</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项艺术特长。定期开展美育优质课评选、展示活动，</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建设高质量美育精品课程库。</w:t>
      </w:r>
      <w:r>
        <w:rPr>
          <w:rFonts w:hint="default" w:ascii="Times New Roman" w:hAnsi="Times New Roman" w:eastAsia="仿宋_GB2312" w:cs="Times New Roman"/>
          <w:b w:val="0"/>
          <w:bCs/>
          <w:strike w:val="0"/>
          <w:dstrike w:val="0"/>
          <w:color w:val="auto"/>
          <w:spacing w:val="0"/>
          <w:kern w:val="0"/>
          <w:sz w:val="32"/>
          <w:szCs w:val="32"/>
          <w:highlight w:val="none"/>
          <w:u w:val="none"/>
          <w:lang w:val="en-US" w:eastAsia="zh-CN"/>
        </w:rPr>
        <w:t>依托城区学校优质教育资源，推广实施“名师课堂”“名校网络课堂”等教学模式，</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实现</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县域内</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优质课程资源共享。</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牵头单位：县教育和体育局；完成时限：长期坚持</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jc w:val="left"/>
        <w:textAlignment w:val="auto"/>
        <w:outlineLvl w:val="9"/>
        <w:rPr>
          <w:rFonts w:hint="default" w:ascii="Times New Roman" w:hAnsi="Times New Roman" w:eastAsia="黑体" w:cs="Times New Roman"/>
          <w:b w:val="0"/>
          <w:bCs/>
          <w:strike w:val="0"/>
          <w:dstrike w:val="0"/>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b w:val="0"/>
          <w:bCs/>
          <w:strike w:val="0"/>
          <w:dstrike w:val="0"/>
          <w:color w:val="000000" w:themeColor="text1"/>
          <w:spacing w:val="0"/>
          <w:sz w:val="32"/>
          <w:szCs w:val="32"/>
          <w:highlight w:val="none"/>
          <w:u w:val="none"/>
          <w14:textFill>
            <w14:solidFill>
              <w14:schemeClr w14:val="tx1"/>
            </w14:solidFill>
          </w14:textFill>
        </w:rPr>
        <w:t>二、构建审美实践活动体系</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eastAsia="楷体_GB2312" w:cs="Times New Roman"/>
          <w:b w:val="0"/>
          <w:bCs/>
          <w:strike w:val="0"/>
          <w:dstrike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（六）</w:t>
      </w:r>
      <w:r>
        <w:rPr>
          <w:rFonts w:hint="default" w:ascii="Times New Roman" w:hAnsi="Times New Roman" w:eastAsia="楷体_GB2312" w:cs="Times New Roman"/>
          <w:b w:val="0"/>
          <w:bCs/>
          <w:strike w:val="0"/>
          <w:dstrike w:val="0"/>
          <w:color w:val="000000" w:themeColor="text1"/>
          <w:spacing w:val="0"/>
          <w:sz w:val="32"/>
          <w:szCs w:val="32"/>
          <w:highlight w:val="none"/>
          <w:u w:val="none"/>
          <w14:textFill>
            <w14:solidFill>
              <w14:schemeClr w14:val="tx1"/>
            </w14:solidFill>
          </w14:textFill>
        </w:rPr>
        <w:t>建设美育特色学校。</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进一步加强校园文化品牌建设，在“一校一品”“一校多品”基础上，</w:t>
      </w:r>
      <w:r>
        <w:rPr>
          <w:rFonts w:hint="default" w:ascii="Times New Roman" w:hAnsi="Times New Roman" w:eastAsia="仿宋_GB2312" w:cs="Times New Roman"/>
          <w:b w:val="0"/>
          <w:bCs/>
          <w:strike w:val="0"/>
          <w:dstrike w:val="0"/>
          <w:color w:val="000000" w:themeColor="text1"/>
          <w:spacing w:val="0"/>
          <w:sz w:val="32"/>
          <w:szCs w:val="32"/>
          <w:highlight w:val="none"/>
          <w:u w:val="none"/>
          <w:lang w:val="en-US" w:eastAsia="zh-CN"/>
          <w14:textFill>
            <w14:solidFill>
              <w14:schemeClr w14:val="tx1"/>
            </w14:solidFill>
          </w14:textFill>
        </w:rPr>
        <w:t>打造10所县级美育特色学校，积极</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争创一批省</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、市</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级美育特色学校。</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牵头单位：县教育和体育局；完成时限：2025年12月</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eastAsia="楷体_GB2312" w:cs="Times New Roman"/>
          <w:b w:val="0"/>
          <w:bCs/>
          <w:strike w:val="0"/>
          <w:dstrike w:val="0"/>
          <w:color w:val="auto"/>
          <w:spacing w:val="0"/>
          <w:sz w:val="32"/>
          <w:szCs w:val="32"/>
          <w:highlight w:val="none"/>
          <w:u w:val="none"/>
          <w:lang w:val="en-US" w:eastAsia="zh-CN"/>
        </w:rPr>
      </w:pP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（七）</w:t>
      </w:r>
      <w:r>
        <w:rPr>
          <w:rFonts w:hint="default" w:ascii="Times New Roman" w:hAnsi="Times New Roman" w:eastAsia="楷体_GB2312" w:cs="Times New Roman"/>
          <w:b w:val="0"/>
          <w:bCs/>
          <w:strike w:val="0"/>
          <w:dstrike w:val="0"/>
          <w:color w:val="000000" w:themeColor="text1"/>
          <w:spacing w:val="0"/>
          <w:sz w:val="32"/>
          <w:szCs w:val="32"/>
          <w:highlight w:val="none"/>
          <w:u w:val="none"/>
          <w14:textFill>
            <w14:solidFill>
              <w14:schemeClr w14:val="tx1"/>
            </w14:solidFill>
          </w14:textFill>
        </w:rPr>
        <w:t>打造美育活动品牌。</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普及面向人人的美育实践活动，建立常态化学生全员艺术展演机制，构建县、校、班</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三</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级展演体系，以市中小学生“百灵”艺术节为依托，为广大学生全面发展提供广阔舞台，不断提升学生艺术素养和审美水平</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持续开展高雅艺术进校园</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，邀请文化艺术名家走进中小学校园传经授业，并有针对性</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地</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向农村学校倾斜。</w:t>
      </w:r>
      <w:r>
        <w:rPr>
          <w:rFonts w:hint="eastAsia" w:ascii="Times New Roman" w:hAnsi="Times New Roman" w:eastAsia="仿宋_GB2312" w:cs="Times New Roman"/>
          <w:b w:val="0"/>
          <w:bCs/>
          <w:strike w:val="0"/>
          <w:dstrike w:val="0"/>
          <w:color w:val="auto"/>
          <w:spacing w:val="0"/>
          <w:sz w:val="32"/>
          <w:szCs w:val="32"/>
          <w:highlight w:val="none"/>
          <w:u w:val="none"/>
          <w:lang w:eastAsia="zh-CN"/>
        </w:rPr>
        <w:t>（</w:t>
      </w:r>
      <w:r>
        <w:rPr>
          <w:rFonts w:hint="default" w:ascii="Times New Roman" w:hAnsi="Times New Roman" w:eastAsia="楷体_GB2312" w:cs="Times New Roman"/>
          <w:b w:val="0"/>
          <w:bCs/>
          <w:strike w:val="0"/>
          <w:dstrike w:val="0"/>
          <w:color w:val="auto"/>
          <w:spacing w:val="0"/>
          <w:sz w:val="32"/>
          <w:szCs w:val="32"/>
          <w:highlight w:val="none"/>
          <w:u w:val="none"/>
          <w:lang w:eastAsia="zh-CN"/>
        </w:rPr>
        <w:t>牵头单位：县教育和体育局；完成时限：长期坚持</w:t>
      </w:r>
      <w:r>
        <w:rPr>
          <w:rFonts w:hint="eastAsia" w:ascii="Times New Roman" w:hAnsi="Times New Roman" w:eastAsia="仿宋_GB2312" w:cs="Times New Roman"/>
          <w:b w:val="0"/>
          <w:bCs/>
          <w:strike w:val="0"/>
          <w:dstrike w:val="0"/>
          <w:color w:val="auto"/>
          <w:spacing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cs="Times New Roman"/>
          <w:b w:val="0"/>
          <w:bCs/>
          <w:i w:val="0"/>
          <w:iCs w:val="0"/>
          <w:caps w:val="0"/>
          <w:strike w:val="0"/>
          <w:dstrike w:val="0"/>
          <w:color w:val="000000" w:themeColor="text1"/>
          <w:spacing w:val="0"/>
          <w:sz w:val="27"/>
          <w:szCs w:val="27"/>
          <w:highlight w:val="none"/>
          <w:u w:val="none"/>
          <w:shd w:val="clear" w:color="auto" w:fill="FFFFFF"/>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（八）</w:t>
      </w:r>
      <w:r>
        <w:rPr>
          <w:rFonts w:hint="default" w:ascii="Times New Roman" w:hAnsi="Times New Roman" w:eastAsia="楷体_GB2312" w:cs="Times New Roman"/>
          <w:b w:val="0"/>
          <w:bCs/>
          <w:strike w:val="0"/>
          <w:dstrike w:val="0"/>
          <w:color w:val="000000" w:themeColor="text1"/>
          <w:spacing w:val="0"/>
          <w:sz w:val="32"/>
          <w:szCs w:val="32"/>
          <w:highlight w:val="none"/>
          <w:u w:val="none"/>
          <w14:textFill>
            <w14:solidFill>
              <w14:schemeClr w14:val="tx1"/>
            </w14:solidFill>
          </w14:textFill>
        </w:rPr>
        <w:t>建设高水平学生艺术团。</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各级各类学校</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要组建合唱团、乐团、戏剧社、艺术实践工作坊等学生艺术团</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配备</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专业</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指导教师和场地，落实活动经费，保障艺术团排练、演出、学习等活动的开展。</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依托</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市</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中小学生</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“百灵”艺术节，每年</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定期开展</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节目</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交流</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验收</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活动，全</w:t>
      </w:r>
      <w:r>
        <w:rPr>
          <w:rFonts w:hint="default" w:ascii="Times New Roman" w:hAnsi="Times New Roman" w:eastAsia="仿宋_GB2312" w:cs="Times New Roman"/>
          <w:b w:val="0"/>
          <w:bCs/>
          <w:strike w:val="0"/>
          <w:dstrike w:val="0"/>
          <w:color w:val="000000" w:themeColor="text1"/>
          <w:spacing w:val="0"/>
          <w:sz w:val="32"/>
          <w:szCs w:val="32"/>
          <w:highlight w:val="none"/>
          <w:u w:val="none"/>
          <w:lang w:val="en-US" w:eastAsia="zh-CN"/>
          <w14:textFill>
            <w14:solidFill>
              <w14:schemeClr w14:val="tx1"/>
            </w14:solidFill>
          </w14:textFill>
        </w:rPr>
        <w:t>县</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重点培育</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打造</w:t>
      </w:r>
      <w:r>
        <w:rPr>
          <w:rFonts w:hint="default" w:ascii="Times New Roman" w:hAnsi="Times New Roman" w:eastAsia="仿宋_GB2312" w:cs="Times New Roman"/>
          <w:b w:val="0"/>
          <w:bCs/>
          <w:strike w:val="0"/>
          <w:dstrike w:val="0"/>
          <w:color w:val="000000" w:themeColor="text1"/>
          <w:spacing w:val="0"/>
          <w:sz w:val="32"/>
          <w:szCs w:val="32"/>
          <w:highlight w:val="none"/>
          <w:u w:val="none"/>
          <w:lang w:val="en-US" w:eastAsia="zh-CN"/>
          <w14:textFill>
            <w14:solidFill>
              <w14:schemeClr w14:val="tx1"/>
            </w14:solidFill>
          </w14:textFill>
        </w:rPr>
        <w:t>10</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个高水平中小学生艺术团。</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牵头单位：县教育和体育局；完成时限：</w:t>
      </w:r>
      <w:r>
        <w:rPr>
          <w:rFonts w:hint="default" w:ascii="Times New Roman" w:hAnsi="Times New Roman" w:eastAsia="仿宋_GB2312" w:cs="Times New Roman"/>
          <w:b w:val="0"/>
          <w:bCs/>
          <w:strike w:val="0"/>
          <w:dstrike w:val="0"/>
          <w:color w:val="000000" w:themeColor="text1"/>
          <w:spacing w:val="0"/>
          <w:sz w:val="32"/>
          <w:szCs w:val="32"/>
          <w:highlight w:val="none"/>
          <w:u w:val="none"/>
          <w:lang w:val="en-US" w:eastAsia="zh-CN"/>
          <w14:textFill>
            <w14:solidFill>
              <w14:schemeClr w14:val="tx1"/>
            </w14:solidFill>
          </w14:textFill>
        </w:rPr>
        <w:t>2025</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年</w:t>
      </w:r>
      <w:r>
        <w:rPr>
          <w:rFonts w:hint="default" w:ascii="Times New Roman" w:hAnsi="Times New Roman" w:eastAsia="仿宋_GB2312" w:cs="Times New Roman"/>
          <w:b w:val="0"/>
          <w:bCs/>
          <w:strike w:val="0"/>
          <w:dstrike w:val="0"/>
          <w:color w:val="000000" w:themeColor="text1"/>
          <w:spacing w:val="0"/>
          <w:sz w:val="32"/>
          <w:szCs w:val="32"/>
          <w:highlight w:val="none"/>
          <w:u w:val="none"/>
          <w:lang w:val="en-US" w:eastAsia="zh-CN"/>
          <w14:textFill>
            <w14:solidFill>
              <w14:schemeClr w14:val="tx1"/>
            </w14:solidFill>
          </w14:textFill>
        </w:rPr>
        <w:t>12</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月</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eastAsia="黑体" w:cs="Times New Roman"/>
          <w:b w:val="0"/>
          <w:bCs/>
          <w:strike w:val="0"/>
          <w:dstrike w:val="0"/>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b w:val="0"/>
          <w:bCs/>
          <w:strike w:val="0"/>
          <w:dstrike w:val="0"/>
          <w:color w:val="000000" w:themeColor="text1"/>
          <w:spacing w:val="0"/>
          <w:sz w:val="32"/>
          <w:szCs w:val="32"/>
          <w:highlight w:val="none"/>
          <w:u w:val="none"/>
          <w:lang w:eastAsia="zh-CN"/>
          <w14:textFill>
            <w14:solidFill>
              <w14:schemeClr w14:val="tx1"/>
            </w14:solidFill>
          </w14:textFill>
        </w:rPr>
        <w:t>三、</w:t>
      </w:r>
      <w:r>
        <w:rPr>
          <w:rFonts w:hint="default" w:ascii="Times New Roman" w:hAnsi="Times New Roman" w:eastAsia="黑体" w:cs="Times New Roman"/>
          <w:b w:val="0"/>
          <w:bCs/>
          <w:strike w:val="0"/>
          <w:dstrike w:val="0"/>
          <w:color w:val="000000" w:themeColor="text1"/>
          <w:spacing w:val="0"/>
          <w:sz w:val="32"/>
          <w:szCs w:val="32"/>
          <w:highlight w:val="none"/>
          <w:u w:val="none"/>
          <w14:textFill>
            <w14:solidFill>
              <w14:schemeClr w14:val="tx1"/>
            </w14:solidFill>
          </w14:textFill>
        </w:rPr>
        <w:t>强化美育师资保障</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（九）</w:t>
      </w:r>
      <w:r>
        <w:rPr>
          <w:rFonts w:hint="default" w:ascii="Times New Roman" w:hAnsi="Times New Roman" w:eastAsia="楷体_GB2312" w:cs="Times New Roman"/>
          <w:b w:val="0"/>
          <w:bCs/>
          <w:strike w:val="0"/>
          <w:dstrike w:val="0"/>
          <w:color w:val="000000" w:themeColor="text1"/>
          <w:spacing w:val="0"/>
          <w:sz w:val="32"/>
          <w:szCs w:val="32"/>
          <w:highlight w:val="none"/>
          <w:u w:val="none"/>
          <w14:textFill>
            <w14:solidFill>
              <w14:schemeClr w14:val="tx1"/>
            </w14:solidFill>
          </w14:textFill>
        </w:rPr>
        <w:t>配齐配强美育教师。</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落实省、市学校美育兼职教师管理实施细则要求，加大中小学美育教师补充力度，通过公开招聘、与专业机构合作等方式，解决美育教师短缺问题。</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借助</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市</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艺术教育专业大学生支教</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沂源县</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计划，加大对美育基础薄弱学校帮扶力度，扎实推进美育浸润行动。</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牵头单位：县教育和体育局；责任单位：县委编办、县人力资源社会保障局；完成时限：2025年12月</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（十）</w:t>
      </w:r>
      <w:r>
        <w:rPr>
          <w:rFonts w:hint="default" w:ascii="Times New Roman" w:hAnsi="Times New Roman" w:eastAsia="楷体_GB2312" w:cs="Times New Roman"/>
          <w:b w:val="0"/>
          <w:bCs/>
          <w:strike w:val="0"/>
          <w:dstrike w:val="0"/>
          <w:color w:val="000000" w:themeColor="text1"/>
          <w:spacing w:val="0"/>
          <w:sz w:val="32"/>
          <w:szCs w:val="32"/>
          <w:highlight w:val="none"/>
          <w:u w:val="none"/>
          <w14:textFill>
            <w14:solidFill>
              <w14:schemeClr w14:val="tx1"/>
            </w14:solidFill>
          </w14:textFill>
        </w:rPr>
        <w:t>提高美育教师综合素质。</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以“山东省美育浸润行动计划”首批对口支持县为契机，</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分级分类轮训美育教师，全面提高美育教师思想政治素质、美育素养、教学素质、育人能力和职业道德水平。积极推荐符合条件的优秀美育教师参评</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教坛新秀、骨干教师、教学能手、学科带头人</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等。每</w:t>
      </w:r>
      <w:r>
        <w:rPr>
          <w:rFonts w:hint="eastAsia" w:ascii="Times New Roman" w:hAnsi="Times New Roman" w:eastAsia="仿宋_GB2312" w:cs="Times New Roman"/>
          <w:b w:val="0"/>
          <w:bCs/>
          <w:strike w:val="0"/>
          <w:dstrike w:val="0"/>
          <w:color w:val="000000" w:themeColor="text1"/>
          <w:spacing w:val="0"/>
          <w:sz w:val="32"/>
          <w:szCs w:val="32"/>
          <w:highlight w:val="none"/>
          <w:u w:val="none"/>
          <w:lang w:val="en-US" w:eastAsia="zh-CN"/>
          <w14:textFill>
            <w14:solidFill>
              <w14:schemeClr w14:val="tx1"/>
            </w14:solidFill>
          </w14:textFill>
        </w:rPr>
        <w:t>3</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年举办一届音乐、美术教师基本功展示。每年组织开展中小学教师合唱展示活动。</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牵头单位：县教育和体育局</w:t>
      </w:r>
      <w:r>
        <w:rPr>
          <w:rFonts w:hint="default" w:ascii="Times New Roman" w:hAnsi="Times New Roman" w:eastAsia="楷体_GB2312" w:cs="Times New Roman"/>
          <w:b w:val="0"/>
          <w:bCs/>
          <w:strike w:val="0"/>
          <w:dstrike w:val="0"/>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完成时限：长期坚持</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（十一）</w:t>
      </w:r>
      <w:r>
        <w:rPr>
          <w:rFonts w:hint="default" w:ascii="Times New Roman" w:hAnsi="Times New Roman" w:eastAsia="楷体_GB2312" w:cs="Times New Roman"/>
          <w:b w:val="0"/>
          <w:bCs/>
          <w:strike w:val="0"/>
          <w:dstrike w:val="0"/>
          <w:color w:val="000000" w:themeColor="text1"/>
          <w:spacing w:val="0"/>
          <w:sz w:val="32"/>
          <w:szCs w:val="32"/>
          <w:highlight w:val="none"/>
          <w:u w:val="none"/>
          <w14:textFill>
            <w14:solidFill>
              <w14:schemeClr w14:val="tx1"/>
            </w14:solidFill>
          </w14:textFill>
        </w:rPr>
        <w:t>保障美育教师待遇。</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将美育教师承担学校安排的艺术社团指导、课外活动、课后服务、指导参展等计入工作量</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把学生艺术素质测评结果、参加</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县</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级以上教育</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和体育</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部门组织的艺术展演成绩、基本功展示成绩视同美育教师教学成果，在参加教学科研工作评定、职务职称晋升评审、绩效工资内部分配等方</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面，享受与其他学科教师同等待遇。保证美育在教学成果评</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定中占有一定比例。</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牵头单位：县教育和体育局；责任单位：县人力资源社会保障局；完成时限：长期坚持</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eastAsia="黑体" w:cs="Times New Roman"/>
          <w:b w:val="0"/>
          <w:bCs/>
          <w:strike w:val="0"/>
          <w:dstrike w:val="0"/>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b w:val="0"/>
          <w:bCs/>
          <w:strike w:val="0"/>
          <w:dstrike w:val="0"/>
          <w:color w:val="000000" w:themeColor="text1"/>
          <w:spacing w:val="0"/>
          <w:sz w:val="32"/>
          <w:szCs w:val="32"/>
          <w:highlight w:val="none"/>
          <w:u w:val="none"/>
          <w14:textFill>
            <w14:solidFill>
              <w14:schemeClr w14:val="tx1"/>
            </w14:solidFill>
          </w14:textFill>
        </w:rPr>
        <w:t>四、推进美育评价改革</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（十二）</w:t>
      </w:r>
      <w:r>
        <w:rPr>
          <w:rFonts w:hint="default" w:ascii="Times New Roman" w:hAnsi="Times New Roman" w:eastAsia="楷体_GB2312" w:cs="Times New Roman"/>
          <w:b w:val="0"/>
          <w:bCs/>
          <w:strike w:val="0"/>
          <w:dstrike w:val="0"/>
          <w:color w:val="000000" w:themeColor="text1"/>
          <w:spacing w:val="0"/>
          <w:sz w:val="32"/>
          <w:szCs w:val="32"/>
          <w:highlight w:val="none"/>
          <w:u w:val="none"/>
          <w14:textFill>
            <w14:solidFill>
              <w14:schemeClr w14:val="tx1"/>
            </w14:solidFill>
          </w14:textFill>
        </w:rPr>
        <w:t>深化艺术科目考试改革。</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落实</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中小学生艺术素质测评制度，将评价结果纳入初、高中学生综合素质评价。依据课程标准设计考试内容，利用现代技术手段促进客观公正评价，采用“过程性评价</w:t>
      </w:r>
      <w:r>
        <w:rPr>
          <w:rFonts w:hint="default" w:ascii="Times New Roman" w:hAnsi="Times New Roman" w:eastAsia="宋体" w:cs="Times New Roman"/>
          <w:b w:val="0"/>
          <w:bCs/>
          <w:strike w:val="0"/>
          <w:dstrike w:val="0"/>
          <w:color w:val="000000" w:themeColor="text1"/>
          <w:spacing w:val="0"/>
          <w:sz w:val="32"/>
          <w:szCs w:val="32"/>
          <w:highlight w:val="none"/>
          <w:u w:val="none"/>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专项测试”确定考试成绩，以分数或等级形式呈现，作为考生录取限制条件使用。</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牵头单位：县教育和体育局；完成时限：长期坚持</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（十三）</w:t>
      </w:r>
      <w:r>
        <w:rPr>
          <w:rFonts w:hint="default" w:ascii="Times New Roman" w:hAnsi="Times New Roman" w:eastAsia="楷体_GB2312" w:cs="Times New Roman"/>
          <w:b w:val="0"/>
          <w:bCs/>
          <w:strike w:val="0"/>
          <w:dstrike w:val="0"/>
          <w:color w:val="000000" w:themeColor="text1"/>
          <w:spacing w:val="0"/>
          <w:sz w:val="32"/>
          <w:szCs w:val="32"/>
          <w:highlight w:val="none"/>
          <w:u w:val="none"/>
          <w14:textFill>
            <w14:solidFill>
              <w14:schemeClr w14:val="tx1"/>
            </w14:solidFill>
          </w14:textFill>
        </w:rPr>
        <w:t>健全教育督导评价制度。</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做好义务教育美育质量监测，把学校美育政策措施落实情况、学生艺术素质测评情况和支持学校开展美育工作情况等纳入教育督导评估范围。对政策落实不到位、学生艺术素质测评合格率持续下降的</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学区、学校负责人及相关责任人</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，按照有关规定予以</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问责</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牵头单位：县政府教育督导委员会办公室；完成时限：长期坚持</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eastAsia="黑体" w:cs="Times New Roman"/>
          <w:b w:val="0"/>
          <w:bCs/>
          <w:strike w:val="0"/>
          <w:dstrike w:val="0"/>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b w:val="0"/>
          <w:bCs/>
          <w:strike w:val="0"/>
          <w:dstrike w:val="0"/>
          <w:color w:val="000000" w:themeColor="text1"/>
          <w:spacing w:val="0"/>
          <w:sz w:val="32"/>
          <w:szCs w:val="32"/>
          <w:highlight w:val="none"/>
          <w:u w:val="none"/>
          <w14:textFill>
            <w14:solidFill>
              <w14:schemeClr w14:val="tx1"/>
            </w14:solidFill>
          </w14:textFill>
        </w:rPr>
        <w:t>五、改善美育办学条件</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（十四）</w:t>
      </w:r>
      <w:r>
        <w:rPr>
          <w:rFonts w:hint="default" w:ascii="Times New Roman" w:hAnsi="Times New Roman" w:eastAsia="楷体_GB2312" w:cs="Times New Roman"/>
          <w:b w:val="0"/>
          <w:bCs/>
          <w:strike w:val="0"/>
          <w:dstrike w:val="0"/>
          <w:color w:val="000000" w:themeColor="text1"/>
          <w:spacing w:val="0"/>
          <w:sz w:val="32"/>
          <w:szCs w:val="32"/>
          <w:highlight w:val="none"/>
          <w:u w:val="none"/>
          <w14:textFill>
            <w14:solidFill>
              <w14:schemeClr w14:val="tx1"/>
            </w14:solidFill>
          </w14:textFill>
        </w:rPr>
        <w:t>加大美育经费投入。</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调整优化教育支出结构，完善</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美育经费</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投入机制</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吸引社会</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捐赠</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，多渠道筹集学校美育工作资金。</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各级各类</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学校要根据需要安排专门资金用于美育工作。</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牵头单位：县教育和体育局；责任单位：县财政局；完成时限：长期坚持</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（十五）</w:t>
      </w:r>
      <w:r>
        <w:rPr>
          <w:rFonts w:hint="default" w:ascii="Times New Roman" w:hAnsi="Times New Roman" w:eastAsia="楷体_GB2312" w:cs="Times New Roman"/>
          <w:b w:val="0"/>
          <w:bCs/>
          <w:strike w:val="0"/>
          <w:dstrike w:val="0"/>
          <w:color w:val="000000" w:themeColor="text1"/>
          <w:spacing w:val="0"/>
          <w:sz w:val="32"/>
          <w:szCs w:val="32"/>
          <w:highlight w:val="none"/>
          <w:u w:val="none"/>
          <w14:textFill>
            <w14:solidFill>
              <w14:schemeClr w14:val="tx1"/>
            </w14:solidFill>
          </w14:textFill>
        </w:rPr>
        <w:t>改善场地器材建设配备。</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把学校美育设施建设</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纳入义务</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教育优质均衡发展规划</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重要内容，</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按标准为学校配建美育场地设施</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小规模学校以保基本、兜底线为原则，配备必要的功能教室和设施设备。通过政府支持、社会共享、校内功能教室改造等多种方式，加强条件薄弱学校美育场地设施建设。建立美育器材补充机制，配齐配好美育教学所需器材设备。</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牵头单位：县教育和体育局；完成时限：长期坚持</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（十六）</w:t>
      </w:r>
      <w:r>
        <w:rPr>
          <w:rFonts w:hint="default" w:ascii="Times New Roman" w:hAnsi="Times New Roman" w:eastAsia="楷体_GB2312" w:cs="Times New Roman"/>
          <w:b w:val="0"/>
          <w:bCs/>
          <w:strike w:val="0"/>
          <w:dstrike w:val="0"/>
          <w:color w:val="000000" w:themeColor="text1"/>
          <w:spacing w:val="0"/>
          <w:sz w:val="32"/>
          <w:szCs w:val="32"/>
          <w:highlight w:val="none"/>
          <w:u w:val="none"/>
          <w14:textFill>
            <w14:solidFill>
              <w14:schemeClr w14:val="tx1"/>
            </w14:solidFill>
          </w14:textFill>
        </w:rPr>
        <w:t>整合社会美育资源。</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将社区新建文化艺术项目优先建在学校及其周边，推进公共文化项目服务学校美育教学，推动社会公共文化艺术场馆免费或优惠向学生开放。鼓励学校每年多形式、多渠道组织学生参观一次文化馆、博物馆并纳入学生艺术素质测评。</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鼓励学校</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通过社会组织</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进校园的方式，</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为学校提供</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优质</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美育课后服务。</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牵头单位：县教育和体育局、县文化和旅游局；完成时限：长期坚持</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eastAsia="黑体" w:cs="Times New Roman"/>
          <w:b w:val="0"/>
          <w:bCs/>
          <w:strike w:val="0"/>
          <w:dstrike w:val="0"/>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b w:val="0"/>
          <w:bCs/>
          <w:strike w:val="0"/>
          <w:dstrike w:val="0"/>
          <w:color w:val="000000" w:themeColor="text1"/>
          <w:spacing w:val="0"/>
          <w:sz w:val="32"/>
          <w:szCs w:val="32"/>
          <w:highlight w:val="none"/>
          <w:u w:val="none"/>
          <w14:textFill>
            <w14:solidFill>
              <w14:schemeClr w14:val="tx1"/>
            </w14:solidFill>
          </w14:textFill>
        </w:rPr>
        <w:t>六、加强组织实施</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（十七）</w:t>
      </w:r>
      <w:r>
        <w:rPr>
          <w:rFonts w:hint="default" w:ascii="Times New Roman" w:hAnsi="Times New Roman" w:eastAsia="楷体_GB2312" w:cs="Times New Roman"/>
          <w:b w:val="0"/>
          <w:bCs/>
          <w:strike w:val="0"/>
          <w:dstrike w:val="0"/>
          <w:color w:val="000000" w:themeColor="text1"/>
          <w:spacing w:val="0"/>
          <w:sz w:val="32"/>
          <w:szCs w:val="32"/>
          <w:highlight w:val="none"/>
          <w:u w:val="none"/>
          <w14:textFill>
            <w14:solidFill>
              <w14:schemeClr w14:val="tx1"/>
            </w14:solidFill>
          </w14:textFill>
        </w:rPr>
        <w:t>加强组织领导。</w:t>
      </w:r>
      <w:r>
        <w:rPr>
          <w:rFonts w:hint="default" w:ascii="Times New Roman" w:hAnsi="Times New Roman" w:eastAsia="仿宋_GB2312" w:cs="Times New Roman"/>
          <w:b w:val="0"/>
          <w:bCs/>
          <w:strike w:val="0"/>
          <w:dstrike w:val="0"/>
          <w:color w:val="000000" w:themeColor="text1"/>
          <w:spacing w:val="0"/>
          <w:sz w:val="32"/>
          <w:szCs w:val="32"/>
          <w:highlight w:val="none"/>
          <w:u w:val="none"/>
          <w:lang w:val="en-US" w:eastAsia="zh-CN"/>
          <w14:textFill>
            <w14:solidFill>
              <w14:schemeClr w14:val="tx1"/>
            </w14:solidFill>
          </w14:textFill>
        </w:rPr>
        <w:t>坚持</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把学校美育工作纳入重要议事日程</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加强总体谋划，做好学校美育改革的政策、经费和条件保障。</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教育</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和体育</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部门</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要履行主管部门职责，牵头做好学校美育工作。</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各相关部门</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、单位</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要按照责任分工，研究具体政策举措，加强协同配合，推进学校美育改革发展。</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牵头单位：县教育和体育局；责任单位：县委宣传部、县委编办、县发展改革局、县财政局、县人力资源社会保障局、县文化和旅游局、县互联网服务保障中心；完成时限：长期坚持</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（十八）</w:t>
      </w:r>
      <w:r>
        <w:rPr>
          <w:rFonts w:hint="default" w:ascii="Times New Roman" w:hAnsi="Times New Roman" w:eastAsia="楷体_GB2312" w:cs="Times New Roman"/>
          <w:b w:val="0"/>
          <w:bCs/>
          <w:strike w:val="0"/>
          <w:dstrike w:val="0"/>
          <w:color w:val="000000" w:themeColor="text1"/>
          <w:spacing w:val="0"/>
          <w:sz w:val="32"/>
          <w:szCs w:val="32"/>
          <w:highlight w:val="none"/>
          <w:u w:val="none"/>
          <w14:textFill>
            <w14:solidFill>
              <w14:schemeClr w14:val="tx1"/>
            </w14:solidFill>
          </w14:textFill>
        </w:rPr>
        <w:t>强化宣传引导。</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教育</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和体育</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部门</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以及</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各</w:t>
      </w:r>
      <w:r>
        <w:rPr>
          <w:rFonts w:hint="default" w:ascii="Times New Roman" w:hAnsi="Times New Roman" w:eastAsia="仿宋_GB2312" w:cs="Times New Roman"/>
          <w:b w:val="0"/>
          <w:bCs/>
          <w:strike w:val="0"/>
          <w:dstrike w:val="0"/>
          <w:color w:val="000000" w:themeColor="text1"/>
          <w:spacing w:val="0"/>
          <w:sz w:val="32"/>
          <w:szCs w:val="32"/>
          <w:highlight w:val="none"/>
          <w:u w:val="none"/>
          <w:lang w:val="en-US" w:eastAsia="zh-CN"/>
          <w14:textFill>
            <w14:solidFill>
              <w14:schemeClr w14:val="tx1"/>
            </w14:solidFill>
          </w14:textFill>
        </w:rPr>
        <w:t>学区、学校</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要加大学校美育工作政策的宣传解读力度，营造全社会共同促进学校美育发展的良好氛围。及时总结、宣传学校美育工作的成功经验和典型案例，扩大辐射面，提高影响力。</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牵头单位：县教育和体育局；责任单位：县委宣传部；完成时限：长期坚持</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9"/>
        <w:rPr>
          <w:rFonts w:hint="default" w:ascii="Times New Roman" w:hAnsi="Times New Roman" w:cs="Times New Roman"/>
          <w:b w:val="0"/>
          <w:bCs/>
          <w:strike w:val="0"/>
          <w:dstrike w:val="0"/>
          <w:color w:val="000000" w:themeColor="text1"/>
          <w:spacing w:val="0"/>
          <w:highlight w:val="none"/>
          <w:u w:val="none"/>
          <w:lang w:val="en-US" w:eastAsia="zh-CN"/>
          <w14:textFill>
            <w14:solidFill>
              <w14:schemeClr w14:val="tx1"/>
            </w14:solidFill>
          </w14:textFill>
        </w:rPr>
      </w:pP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（十九）</w:t>
      </w:r>
      <w:r>
        <w:rPr>
          <w:rFonts w:hint="default" w:ascii="Times New Roman" w:hAnsi="Times New Roman" w:eastAsia="楷体_GB2312" w:cs="Times New Roman"/>
          <w:b w:val="0"/>
          <w:bCs/>
          <w:strike w:val="0"/>
          <w:dstrike w:val="0"/>
          <w:color w:val="000000" w:themeColor="text1"/>
          <w:spacing w:val="0"/>
          <w:sz w:val="32"/>
          <w:szCs w:val="32"/>
          <w:highlight w:val="none"/>
          <w:u w:val="none"/>
          <w14:textFill>
            <w14:solidFill>
              <w14:schemeClr w14:val="tx1"/>
            </w14:solidFill>
          </w14:textFill>
        </w:rPr>
        <w:t>制定落实措施。</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教育</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和体育</w:t>
      </w:r>
      <w:r>
        <w:rPr>
          <w:rFonts w:hint="default"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部门</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以及</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各</w:t>
      </w:r>
      <w:r>
        <w:rPr>
          <w:rFonts w:hint="default" w:ascii="Times New Roman" w:hAnsi="Times New Roman" w:eastAsia="仿宋_GB2312" w:cs="Times New Roman"/>
          <w:b w:val="0"/>
          <w:bCs/>
          <w:strike w:val="0"/>
          <w:dstrike w:val="0"/>
          <w:color w:val="000000" w:themeColor="text1"/>
          <w:spacing w:val="0"/>
          <w:sz w:val="32"/>
          <w:szCs w:val="32"/>
          <w:highlight w:val="none"/>
          <w:u w:val="none"/>
          <w:lang w:val="en-US" w:eastAsia="zh-CN"/>
          <w14:textFill>
            <w14:solidFill>
              <w14:schemeClr w14:val="tx1"/>
            </w14:solidFill>
          </w14:textFill>
        </w:rPr>
        <w:t>学区、学校</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要研究落实加强改进新时代学校美育工作的具体措施，构建学校</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美育</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教师专业成长梯队培养机制，提升学校</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美</w:t>
      </w:r>
      <w:r>
        <w:rPr>
          <w:rFonts w:hint="default" w:ascii="Times New Roman" w:hAnsi="Times New Roman" w:eastAsia="仿宋_GB2312" w:cs="Times New Roman"/>
          <w:b w:val="0"/>
          <w:bCs/>
          <w:strike w:val="0"/>
          <w:dstrike w:val="0"/>
          <w:color w:val="000000" w:themeColor="text1"/>
          <w:spacing w:val="0"/>
          <w:sz w:val="32"/>
          <w:szCs w:val="32"/>
          <w:highlight w:val="none"/>
          <w:u w:val="none"/>
          <w14:textFill>
            <w14:solidFill>
              <w14:schemeClr w14:val="tx1"/>
            </w14:solidFill>
          </w14:textFill>
        </w:rPr>
        <w:t>育发展水平。</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牵头单位：县教育和体育局；完成时限：202</w:t>
      </w:r>
      <w:r>
        <w:rPr>
          <w:rFonts w:hint="default" w:ascii="Times New Roman" w:hAnsi="Times New Roman" w:eastAsia="楷体_GB2312" w:cs="Times New Roman"/>
          <w:b w:val="0"/>
          <w:bCs/>
          <w:strike w:val="0"/>
          <w:dstrike w:val="0"/>
          <w:color w:val="000000" w:themeColor="text1"/>
          <w:spacing w:val="0"/>
          <w:sz w:val="32"/>
          <w:szCs w:val="32"/>
          <w:highlight w:val="none"/>
          <w:u w:val="none"/>
          <w:lang w:val="en-US" w:eastAsia="zh-CN"/>
          <w14:textFill>
            <w14:solidFill>
              <w14:schemeClr w14:val="tx1"/>
            </w14:solidFill>
          </w14:textFill>
        </w:rPr>
        <w:t>4</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年</w:t>
      </w:r>
      <w:r>
        <w:rPr>
          <w:rFonts w:hint="default" w:ascii="Times New Roman" w:hAnsi="Times New Roman" w:eastAsia="楷体_GB2312" w:cs="Times New Roman"/>
          <w:b w:val="0"/>
          <w:bCs/>
          <w:strike w:val="0"/>
          <w:dstrike w:val="0"/>
          <w:color w:val="000000" w:themeColor="text1"/>
          <w:spacing w:val="0"/>
          <w:sz w:val="32"/>
          <w:szCs w:val="32"/>
          <w:highlight w:val="none"/>
          <w:u w:val="none"/>
          <w:lang w:val="en-US" w:eastAsia="zh-CN"/>
          <w14:textFill>
            <w14:solidFill>
              <w14:schemeClr w14:val="tx1"/>
            </w14:solidFill>
          </w14:textFill>
        </w:rPr>
        <w:t>12</w:t>
      </w:r>
      <w:r>
        <w:rPr>
          <w:rFonts w:hint="default" w:ascii="Times New Roman" w:hAnsi="Times New Roman" w:eastAsia="楷体_GB2312" w:cs="Times New Roman"/>
          <w:b w:val="0"/>
          <w:bCs/>
          <w:strike w:val="0"/>
          <w:dstrike w:val="0"/>
          <w:color w:val="000000" w:themeColor="text1"/>
          <w:spacing w:val="0"/>
          <w:sz w:val="32"/>
          <w:szCs w:val="32"/>
          <w:highlight w:val="none"/>
          <w:u w:val="none"/>
          <w:lang w:eastAsia="zh-CN"/>
          <w14:textFill>
            <w14:solidFill>
              <w14:schemeClr w14:val="tx1"/>
            </w14:solidFill>
          </w14:textFill>
        </w:rPr>
        <w:t>月</w:t>
      </w:r>
      <w:r>
        <w:rPr>
          <w:rFonts w:hint="eastAsia" w:ascii="Times New Roman" w:hAnsi="Times New Roman" w:eastAsia="仿宋_GB2312" w:cs="Times New Roman"/>
          <w:b w:val="0"/>
          <w:bCs/>
          <w:strike w:val="0"/>
          <w:dstrike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cs="Times New Roman"/>
          <w:b w:val="0"/>
          <w:bCs/>
          <w:strike w:val="0"/>
          <w:dstrike w:val="0"/>
          <w:color w:val="000000" w:themeColor="text1"/>
          <w:spacing w:val="0"/>
          <w:highlight w:val="none"/>
          <w:u w:val="none"/>
          <w:lang w:val="en-US" w:eastAsia="zh-CN"/>
          <w14:textFill>
            <w14:solidFill>
              <w14:schemeClr w14:val="tx1"/>
            </w14:solidFill>
          </w14:textFill>
        </w:rPr>
        <w:t xml:space="preserve"> </w:t>
      </w:r>
    </w:p>
    <w:p>
      <w:pPr>
        <w:pStyle w:val="6"/>
        <w:keepNext w:val="0"/>
        <w:keepLines w:val="0"/>
        <w:pageBreakBefore w:val="0"/>
        <w:widowControl w:val="0"/>
        <w:pBdr>
          <w:bottom w:val="single" w:color="auto" w:sz="4" w:space="0"/>
        </w:pBdr>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288" w:firstLineChars="1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抄送：县委各部门，县人大常委会办公室，县政协办公室，县监委，</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县法院、县检察院。</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县工商联。</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jc w:val="center"/>
        <w:textAlignment w:val="auto"/>
        <w:rPr>
          <w:rFonts w:hint="default"/>
          <w:lang w:val="en-US" w:eastAsia="zh-CN"/>
        </w:rPr>
      </w:pPr>
      <w:r>
        <w:rPr>
          <w:rFonts w:hint="default" w:ascii="Times New Roman" w:hAnsi="Times New Roman" w:eastAsia="仿宋_GB2312" w:cs="Times New Roman"/>
          <w:sz w:val="28"/>
          <w:szCs w:val="28"/>
          <w:lang w:val="en-US" w:eastAsia="zh-CN"/>
        </w:rPr>
        <w:t xml:space="preserve">沂源县人民政府办公室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202</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年</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27</w:t>
      </w:r>
      <w:r>
        <w:rPr>
          <w:rFonts w:hint="default" w:ascii="Times New Roman" w:hAnsi="Times New Roman" w:eastAsia="仿宋_GB2312" w:cs="Times New Roman"/>
          <w:sz w:val="28"/>
          <w:szCs w:val="28"/>
          <w:lang w:val="en-US" w:eastAsia="zh-CN"/>
        </w:rPr>
        <w:t>日印发</w:t>
      </w:r>
    </w:p>
    <w:sectPr>
      <w:footerReference r:id="rId3" w:type="default"/>
      <w:pgSz w:w="11906" w:h="16838"/>
      <w:pgMar w:top="1984" w:right="1531" w:bottom="1701" w:left="1531" w:header="851" w:footer="1417" w:gutter="0"/>
      <w:pgNumType w:fmt="decimal"/>
      <w:cols w:space="0" w:num="1"/>
      <w:rtlGutter w:val="0"/>
      <w:docGrid w:type="linesAndChars" w:linePitch="312" w:charSpace="16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5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default" w:ascii="Times New Roman" w:hAnsi="Times New Roman" w:cs="Times New Roman" w:eastAsiaTheme="minorEastAsia"/>
                              <w:sz w:val="28"/>
                              <w:szCs w:val="40"/>
                              <w:lang w:val="en-US" w:eastAsia="zh-CN"/>
                            </w:rPr>
                          </w:pPr>
                          <w:r>
                            <w:rPr>
                              <w:rFonts w:hint="eastAsia" w:ascii="Times New Roman" w:hAnsi="Times New Roman" w:cs="Times New Roman"/>
                              <w:sz w:val="28"/>
                              <w:szCs w:val="40"/>
                              <w:lang w:eastAsia="zh-CN"/>
                            </w:rPr>
                            <w:t>—</w:t>
                          </w:r>
                          <w:r>
                            <w:rPr>
                              <w:rFonts w:hint="eastAsia" w:asciiTheme="majorEastAsia" w:hAnsiTheme="majorEastAsia" w:eastAsiaTheme="majorEastAsia" w:cstheme="majorEastAsia"/>
                              <w:sz w:val="28"/>
                              <w:szCs w:val="40"/>
                              <w:lang w:val="en-US" w:eastAsia="zh-CN"/>
                            </w:rPr>
                            <w:t xml:space="preserve"> </w:t>
                          </w:r>
                          <w:r>
                            <w:rPr>
                              <w:rFonts w:hint="eastAsia" w:asciiTheme="majorEastAsia" w:hAnsiTheme="majorEastAsia" w:eastAsiaTheme="majorEastAsia" w:cstheme="majorEastAsia"/>
                              <w:sz w:val="28"/>
                              <w:szCs w:val="40"/>
                              <w:lang w:eastAsia="zh-CN"/>
                            </w:rPr>
                            <w:fldChar w:fldCharType="begin"/>
                          </w:r>
                          <w:r>
                            <w:rPr>
                              <w:rFonts w:hint="eastAsia" w:asciiTheme="majorEastAsia" w:hAnsiTheme="majorEastAsia" w:eastAsiaTheme="majorEastAsia" w:cstheme="majorEastAsia"/>
                              <w:sz w:val="28"/>
                              <w:szCs w:val="40"/>
                              <w:lang w:eastAsia="zh-CN"/>
                            </w:rPr>
                            <w:instrText xml:space="preserve"> PAGE  \* MERGEFORMAT </w:instrText>
                          </w:r>
                          <w:r>
                            <w:rPr>
                              <w:rFonts w:hint="eastAsia" w:asciiTheme="majorEastAsia" w:hAnsiTheme="majorEastAsia" w:eastAsiaTheme="majorEastAsia" w:cstheme="majorEastAsia"/>
                              <w:sz w:val="28"/>
                              <w:szCs w:val="40"/>
                              <w:lang w:eastAsia="zh-CN"/>
                            </w:rPr>
                            <w:fldChar w:fldCharType="separate"/>
                          </w:r>
                          <w:r>
                            <w:rPr>
                              <w:rFonts w:hint="eastAsia" w:asciiTheme="majorEastAsia" w:hAnsiTheme="majorEastAsia" w:eastAsiaTheme="majorEastAsia" w:cstheme="majorEastAsia"/>
                              <w:sz w:val="28"/>
                              <w:szCs w:val="40"/>
                              <w:lang w:eastAsia="zh-CN"/>
                            </w:rPr>
                            <w:t>1</w:t>
                          </w:r>
                          <w:r>
                            <w:rPr>
                              <w:rFonts w:hint="eastAsia" w:asciiTheme="majorEastAsia" w:hAnsiTheme="majorEastAsia" w:eastAsiaTheme="majorEastAsia" w:cstheme="majorEastAsia"/>
                              <w:sz w:val="28"/>
                              <w:szCs w:val="40"/>
                              <w:lang w:eastAsia="zh-CN"/>
                            </w:rPr>
                            <w:fldChar w:fldCharType="end"/>
                          </w:r>
                          <w:r>
                            <w:rPr>
                              <w:rFonts w:hint="eastAsia" w:ascii="Times New Roman" w:hAnsi="Times New Roman" w:cs="Times New Roman"/>
                              <w:sz w:val="28"/>
                              <w:szCs w:val="40"/>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default" w:ascii="Times New Roman" w:hAnsi="Times New Roman" w:cs="Times New Roman" w:eastAsiaTheme="minorEastAsia"/>
                        <w:sz w:val="28"/>
                        <w:szCs w:val="40"/>
                        <w:lang w:val="en-US" w:eastAsia="zh-CN"/>
                      </w:rPr>
                    </w:pPr>
                    <w:r>
                      <w:rPr>
                        <w:rFonts w:hint="eastAsia" w:ascii="Times New Roman" w:hAnsi="Times New Roman" w:cs="Times New Roman"/>
                        <w:sz w:val="28"/>
                        <w:szCs w:val="40"/>
                        <w:lang w:eastAsia="zh-CN"/>
                      </w:rPr>
                      <w:t>—</w:t>
                    </w:r>
                    <w:r>
                      <w:rPr>
                        <w:rFonts w:hint="eastAsia" w:asciiTheme="majorEastAsia" w:hAnsiTheme="majorEastAsia" w:eastAsiaTheme="majorEastAsia" w:cstheme="majorEastAsia"/>
                        <w:sz w:val="28"/>
                        <w:szCs w:val="40"/>
                        <w:lang w:val="en-US" w:eastAsia="zh-CN"/>
                      </w:rPr>
                      <w:t xml:space="preserve"> </w:t>
                    </w:r>
                    <w:r>
                      <w:rPr>
                        <w:rFonts w:hint="eastAsia" w:asciiTheme="majorEastAsia" w:hAnsiTheme="majorEastAsia" w:eastAsiaTheme="majorEastAsia" w:cstheme="majorEastAsia"/>
                        <w:sz w:val="28"/>
                        <w:szCs w:val="40"/>
                        <w:lang w:eastAsia="zh-CN"/>
                      </w:rPr>
                      <w:fldChar w:fldCharType="begin"/>
                    </w:r>
                    <w:r>
                      <w:rPr>
                        <w:rFonts w:hint="eastAsia" w:asciiTheme="majorEastAsia" w:hAnsiTheme="majorEastAsia" w:eastAsiaTheme="majorEastAsia" w:cstheme="majorEastAsia"/>
                        <w:sz w:val="28"/>
                        <w:szCs w:val="40"/>
                        <w:lang w:eastAsia="zh-CN"/>
                      </w:rPr>
                      <w:instrText xml:space="preserve"> PAGE  \* MERGEFORMAT </w:instrText>
                    </w:r>
                    <w:r>
                      <w:rPr>
                        <w:rFonts w:hint="eastAsia" w:asciiTheme="majorEastAsia" w:hAnsiTheme="majorEastAsia" w:eastAsiaTheme="majorEastAsia" w:cstheme="majorEastAsia"/>
                        <w:sz w:val="28"/>
                        <w:szCs w:val="40"/>
                        <w:lang w:eastAsia="zh-CN"/>
                      </w:rPr>
                      <w:fldChar w:fldCharType="separate"/>
                    </w:r>
                    <w:r>
                      <w:rPr>
                        <w:rFonts w:hint="eastAsia" w:asciiTheme="majorEastAsia" w:hAnsiTheme="majorEastAsia" w:eastAsiaTheme="majorEastAsia" w:cstheme="majorEastAsia"/>
                        <w:sz w:val="28"/>
                        <w:szCs w:val="40"/>
                        <w:lang w:eastAsia="zh-CN"/>
                      </w:rPr>
                      <w:t>1</w:t>
                    </w:r>
                    <w:r>
                      <w:rPr>
                        <w:rFonts w:hint="eastAsia" w:asciiTheme="majorEastAsia" w:hAnsiTheme="majorEastAsia" w:eastAsiaTheme="majorEastAsia" w:cstheme="majorEastAsia"/>
                        <w:sz w:val="28"/>
                        <w:szCs w:val="40"/>
                        <w:lang w:eastAsia="zh-CN"/>
                      </w:rPr>
                      <w:fldChar w:fldCharType="end"/>
                    </w:r>
                    <w:r>
                      <w:rPr>
                        <w:rFonts w:hint="eastAsia" w:ascii="Times New Roman" w:hAnsi="Times New Roman" w:cs="Times New Roman"/>
                        <w:sz w:val="28"/>
                        <w:szCs w:val="40"/>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9"/>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38C06B12"/>
    <w:rsid w:val="012901BC"/>
    <w:rsid w:val="018F6CAD"/>
    <w:rsid w:val="01BC75DD"/>
    <w:rsid w:val="02031DFF"/>
    <w:rsid w:val="020C1FC4"/>
    <w:rsid w:val="02946B06"/>
    <w:rsid w:val="03642DBA"/>
    <w:rsid w:val="03855DF9"/>
    <w:rsid w:val="03BE1765"/>
    <w:rsid w:val="044D5F3A"/>
    <w:rsid w:val="04864703"/>
    <w:rsid w:val="04B011F4"/>
    <w:rsid w:val="04E516BE"/>
    <w:rsid w:val="05A52DAC"/>
    <w:rsid w:val="05A64E7E"/>
    <w:rsid w:val="05C21E7F"/>
    <w:rsid w:val="05E50307"/>
    <w:rsid w:val="0639197E"/>
    <w:rsid w:val="06C63DCF"/>
    <w:rsid w:val="075450CC"/>
    <w:rsid w:val="07D0381D"/>
    <w:rsid w:val="089C3DD4"/>
    <w:rsid w:val="08F42135"/>
    <w:rsid w:val="0921378E"/>
    <w:rsid w:val="09560A41"/>
    <w:rsid w:val="09AB20F7"/>
    <w:rsid w:val="09DB220B"/>
    <w:rsid w:val="0AEF746D"/>
    <w:rsid w:val="0BD93B1D"/>
    <w:rsid w:val="0BE302EC"/>
    <w:rsid w:val="0CAA6265"/>
    <w:rsid w:val="0CAA785C"/>
    <w:rsid w:val="0CC97793"/>
    <w:rsid w:val="0D2F4409"/>
    <w:rsid w:val="0D5B6EFF"/>
    <w:rsid w:val="0D5F608B"/>
    <w:rsid w:val="0DB35456"/>
    <w:rsid w:val="0DCF0116"/>
    <w:rsid w:val="0DD400BA"/>
    <w:rsid w:val="0E1E614C"/>
    <w:rsid w:val="0E35041E"/>
    <w:rsid w:val="0E724516"/>
    <w:rsid w:val="0F13261C"/>
    <w:rsid w:val="0F153107"/>
    <w:rsid w:val="0F6A060A"/>
    <w:rsid w:val="0F757FBC"/>
    <w:rsid w:val="0F767341"/>
    <w:rsid w:val="0FDB6A90"/>
    <w:rsid w:val="100A66A2"/>
    <w:rsid w:val="10E7502C"/>
    <w:rsid w:val="114C3FD8"/>
    <w:rsid w:val="118C3744"/>
    <w:rsid w:val="11CF103D"/>
    <w:rsid w:val="12CB4F53"/>
    <w:rsid w:val="131D3C11"/>
    <w:rsid w:val="131E0341"/>
    <w:rsid w:val="134A235B"/>
    <w:rsid w:val="13C47C41"/>
    <w:rsid w:val="140C3BD9"/>
    <w:rsid w:val="143951A5"/>
    <w:rsid w:val="149B2CE7"/>
    <w:rsid w:val="15303A05"/>
    <w:rsid w:val="15A20888"/>
    <w:rsid w:val="15A97F00"/>
    <w:rsid w:val="15F65E18"/>
    <w:rsid w:val="16683FD5"/>
    <w:rsid w:val="16841985"/>
    <w:rsid w:val="176F6980"/>
    <w:rsid w:val="17EF753A"/>
    <w:rsid w:val="18BF4631"/>
    <w:rsid w:val="18CF56C0"/>
    <w:rsid w:val="19310516"/>
    <w:rsid w:val="196F78F2"/>
    <w:rsid w:val="197E2A1E"/>
    <w:rsid w:val="1A5D1977"/>
    <w:rsid w:val="1AE26F5E"/>
    <w:rsid w:val="1AFC7C25"/>
    <w:rsid w:val="1AFE0D69"/>
    <w:rsid w:val="1C0401A9"/>
    <w:rsid w:val="1C224593"/>
    <w:rsid w:val="1C502019"/>
    <w:rsid w:val="1C637FBE"/>
    <w:rsid w:val="1D056E41"/>
    <w:rsid w:val="1DD170AE"/>
    <w:rsid w:val="1E01267E"/>
    <w:rsid w:val="1ECB2A51"/>
    <w:rsid w:val="1F576402"/>
    <w:rsid w:val="1FEA6FAC"/>
    <w:rsid w:val="2030321F"/>
    <w:rsid w:val="225811E0"/>
    <w:rsid w:val="22825DA2"/>
    <w:rsid w:val="236E4B2D"/>
    <w:rsid w:val="23EF394F"/>
    <w:rsid w:val="23F81784"/>
    <w:rsid w:val="24423F22"/>
    <w:rsid w:val="24BE2384"/>
    <w:rsid w:val="25BF258B"/>
    <w:rsid w:val="26383A5E"/>
    <w:rsid w:val="26EB1EFE"/>
    <w:rsid w:val="27067919"/>
    <w:rsid w:val="27233CCE"/>
    <w:rsid w:val="27486340"/>
    <w:rsid w:val="27696509"/>
    <w:rsid w:val="28DC6051"/>
    <w:rsid w:val="2A0B3F86"/>
    <w:rsid w:val="2BB86383"/>
    <w:rsid w:val="2C32031F"/>
    <w:rsid w:val="2C4B13FB"/>
    <w:rsid w:val="2C917DC1"/>
    <w:rsid w:val="2CCD1700"/>
    <w:rsid w:val="2CD022D5"/>
    <w:rsid w:val="2D805C2E"/>
    <w:rsid w:val="2DC02B0D"/>
    <w:rsid w:val="2E6F577D"/>
    <w:rsid w:val="2EE1103D"/>
    <w:rsid w:val="2F0F1BEC"/>
    <w:rsid w:val="2F696DB4"/>
    <w:rsid w:val="2F7549E3"/>
    <w:rsid w:val="2F9018C0"/>
    <w:rsid w:val="2FD97EA9"/>
    <w:rsid w:val="30B91440"/>
    <w:rsid w:val="30C976E3"/>
    <w:rsid w:val="31304BD3"/>
    <w:rsid w:val="31430416"/>
    <w:rsid w:val="315D262F"/>
    <w:rsid w:val="31CA5091"/>
    <w:rsid w:val="329A5579"/>
    <w:rsid w:val="32DF3008"/>
    <w:rsid w:val="32EE15A2"/>
    <w:rsid w:val="33605D76"/>
    <w:rsid w:val="33671E88"/>
    <w:rsid w:val="337C1164"/>
    <w:rsid w:val="34126F44"/>
    <w:rsid w:val="34B0669D"/>
    <w:rsid w:val="3571303B"/>
    <w:rsid w:val="35794AB6"/>
    <w:rsid w:val="357F7EB6"/>
    <w:rsid w:val="3602502C"/>
    <w:rsid w:val="36081A04"/>
    <w:rsid w:val="3642008D"/>
    <w:rsid w:val="36D26D18"/>
    <w:rsid w:val="37C432DF"/>
    <w:rsid w:val="382E4232"/>
    <w:rsid w:val="38300E60"/>
    <w:rsid w:val="385D74EB"/>
    <w:rsid w:val="3897760A"/>
    <w:rsid w:val="38C06B12"/>
    <w:rsid w:val="38D0721E"/>
    <w:rsid w:val="3901696D"/>
    <w:rsid w:val="39823B13"/>
    <w:rsid w:val="39DA5704"/>
    <w:rsid w:val="3AD0610C"/>
    <w:rsid w:val="3AFF4891"/>
    <w:rsid w:val="3BBA7095"/>
    <w:rsid w:val="3BCF4C47"/>
    <w:rsid w:val="3BF3404A"/>
    <w:rsid w:val="3BFE444D"/>
    <w:rsid w:val="3D130490"/>
    <w:rsid w:val="3D337980"/>
    <w:rsid w:val="3D4031D5"/>
    <w:rsid w:val="3E4E502B"/>
    <w:rsid w:val="3E6679E1"/>
    <w:rsid w:val="3F21170D"/>
    <w:rsid w:val="3F4E03EA"/>
    <w:rsid w:val="407404B0"/>
    <w:rsid w:val="40C130A4"/>
    <w:rsid w:val="40DE086C"/>
    <w:rsid w:val="418427BD"/>
    <w:rsid w:val="41B448BC"/>
    <w:rsid w:val="41C712BE"/>
    <w:rsid w:val="41F8516C"/>
    <w:rsid w:val="420D7B7C"/>
    <w:rsid w:val="423579D1"/>
    <w:rsid w:val="42446AA4"/>
    <w:rsid w:val="42493C31"/>
    <w:rsid w:val="42C01344"/>
    <w:rsid w:val="42DC2960"/>
    <w:rsid w:val="43235BA6"/>
    <w:rsid w:val="433E62DA"/>
    <w:rsid w:val="43A317AE"/>
    <w:rsid w:val="4442040A"/>
    <w:rsid w:val="447364C2"/>
    <w:rsid w:val="45286BFD"/>
    <w:rsid w:val="453C10D3"/>
    <w:rsid w:val="4540629A"/>
    <w:rsid w:val="454F38E8"/>
    <w:rsid w:val="456D2D01"/>
    <w:rsid w:val="458A3C22"/>
    <w:rsid w:val="45DC29A3"/>
    <w:rsid w:val="45DD2FF4"/>
    <w:rsid w:val="46C35CC4"/>
    <w:rsid w:val="474F1AB2"/>
    <w:rsid w:val="47674157"/>
    <w:rsid w:val="47A45F9E"/>
    <w:rsid w:val="47B6398F"/>
    <w:rsid w:val="47CE032B"/>
    <w:rsid w:val="47E60E99"/>
    <w:rsid w:val="481B119E"/>
    <w:rsid w:val="485D1EDC"/>
    <w:rsid w:val="48754182"/>
    <w:rsid w:val="4A2C68EE"/>
    <w:rsid w:val="4A6405DF"/>
    <w:rsid w:val="4A78032D"/>
    <w:rsid w:val="4A7D586E"/>
    <w:rsid w:val="4A9A5CFD"/>
    <w:rsid w:val="4C057C66"/>
    <w:rsid w:val="4C511E71"/>
    <w:rsid w:val="4C68596B"/>
    <w:rsid w:val="4C6A2767"/>
    <w:rsid w:val="4D72059B"/>
    <w:rsid w:val="4DC7693F"/>
    <w:rsid w:val="4DFB78CA"/>
    <w:rsid w:val="4E2811D1"/>
    <w:rsid w:val="4FAA3AF7"/>
    <w:rsid w:val="4FE5740C"/>
    <w:rsid w:val="509D2B4B"/>
    <w:rsid w:val="51F80DA5"/>
    <w:rsid w:val="52712CAD"/>
    <w:rsid w:val="52E63718"/>
    <w:rsid w:val="532C0D96"/>
    <w:rsid w:val="53CC0079"/>
    <w:rsid w:val="541D18B3"/>
    <w:rsid w:val="548B4707"/>
    <w:rsid w:val="549D2906"/>
    <w:rsid w:val="54A02FD1"/>
    <w:rsid w:val="54DF69EB"/>
    <w:rsid w:val="554B1057"/>
    <w:rsid w:val="559E699D"/>
    <w:rsid w:val="566943AC"/>
    <w:rsid w:val="56C1680E"/>
    <w:rsid w:val="56C360E3"/>
    <w:rsid w:val="573231B1"/>
    <w:rsid w:val="57BB626C"/>
    <w:rsid w:val="58866D61"/>
    <w:rsid w:val="58C66F15"/>
    <w:rsid w:val="58FB1793"/>
    <w:rsid w:val="59A1523C"/>
    <w:rsid w:val="59B941CE"/>
    <w:rsid w:val="59C2588A"/>
    <w:rsid w:val="5A776787"/>
    <w:rsid w:val="5AB72AAC"/>
    <w:rsid w:val="5B0010C2"/>
    <w:rsid w:val="5B324D15"/>
    <w:rsid w:val="5B6A6061"/>
    <w:rsid w:val="5B6B250D"/>
    <w:rsid w:val="5BED292E"/>
    <w:rsid w:val="5CA51516"/>
    <w:rsid w:val="5CB76F5D"/>
    <w:rsid w:val="5CDA10B5"/>
    <w:rsid w:val="5D92493C"/>
    <w:rsid w:val="5DA90B27"/>
    <w:rsid w:val="5DB466EF"/>
    <w:rsid w:val="5E163AB3"/>
    <w:rsid w:val="5E4733CE"/>
    <w:rsid w:val="5E672C92"/>
    <w:rsid w:val="5EDB1B84"/>
    <w:rsid w:val="5EF663F0"/>
    <w:rsid w:val="5F46265B"/>
    <w:rsid w:val="600A3CDB"/>
    <w:rsid w:val="601608B5"/>
    <w:rsid w:val="605B4567"/>
    <w:rsid w:val="606725B8"/>
    <w:rsid w:val="606F7FCD"/>
    <w:rsid w:val="6106128D"/>
    <w:rsid w:val="61D1674D"/>
    <w:rsid w:val="61E66672"/>
    <w:rsid w:val="61E9245A"/>
    <w:rsid w:val="61F55FD0"/>
    <w:rsid w:val="62BB6808"/>
    <w:rsid w:val="62E57572"/>
    <w:rsid w:val="62FB631A"/>
    <w:rsid w:val="6314416A"/>
    <w:rsid w:val="641E133E"/>
    <w:rsid w:val="64457392"/>
    <w:rsid w:val="65016B01"/>
    <w:rsid w:val="65221EE4"/>
    <w:rsid w:val="656C7F87"/>
    <w:rsid w:val="65FF34F8"/>
    <w:rsid w:val="66CE31F0"/>
    <w:rsid w:val="66E17EDE"/>
    <w:rsid w:val="672E2067"/>
    <w:rsid w:val="67931196"/>
    <w:rsid w:val="67D767A4"/>
    <w:rsid w:val="68906586"/>
    <w:rsid w:val="691B590A"/>
    <w:rsid w:val="69692737"/>
    <w:rsid w:val="69A5201D"/>
    <w:rsid w:val="69AF48C0"/>
    <w:rsid w:val="6A8F626F"/>
    <w:rsid w:val="6AD96730"/>
    <w:rsid w:val="6B4E2E50"/>
    <w:rsid w:val="6B744B33"/>
    <w:rsid w:val="6BB20022"/>
    <w:rsid w:val="6BDB0586"/>
    <w:rsid w:val="6C155B91"/>
    <w:rsid w:val="6C786474"/>
    <w:rsid w:val="6DA01A20"/>
    <w:rsid w:val="6DA44175"/>
    <w:rsid w:val="6DAD0A03"/>
    <w:rsid w:val="6DE1029A"/>
    <w:rsid w:val="6E1247E0"/>
    <w:rsid w:val="6E2C78E5"/>
    <w:rsid w:val="6E7F0F71"/>
    <w:rsid w:val="6EB04523"/>
    <w:rsid w:val="6F1F0B5D"/>
    <w:rsid w:val="712B1F16"/>
    <w:rsid w:val="715E18D7"/>
    <w:rsid w:val="71E73175"/>
    <w:rsid w:val="72160486"/>
    <w:rsid w:val="72C32C04"/>
    <w:rsid w:val="7307094F"/>
    <w:rsid w:val="732B5E4D"/>
    <w:rsid w:val="73C14F16"/>
    <w:rsid w:val="73FE7D52"/>
    <w:rsid w:val="743E0F02"/>
    <w:rsid w:val="74EE3EB1"/>
    <w:rsid w:val="75625102"/>
    <w:rsid w:val="75772B56"/>
    <w:rsid w:val="762B1A7E"/>
    <w:rsid w:val="763E1A1F"/>
    <w:rsid w:val="76763103"/>
    <w:rsid w:val="76C066AC"/>
    <w:rsid w:val="771C397F"/>
    <w:rsid w:val="77324E93"/>
    <w:rsid w:val="77F637B8"/>
    <w:rsid w:val="77F83FEB"/>
    <w:rsid w:val="77F86E57"/>
    <w:rsid w:val="78307D32"/>
    <w:rsid w:val="78596B71"/>
    <w:rsid w:val="78914CBF"/>
    <w:rsid w:val="79DD0FCE"/>
    <w:rsid w:val="7A212F51"/>
    <w:rsid w:val="7A875E15"/>
    <w:rsid w:val="7AB61CC3"/>
    <w:rsid w:val="7AE3295A"/>
    <w:rsid w:val="7B060A4A"/>
    <w:rsid w:val="7B2823D1"/>
    <w:rsid w:val="7B6D3294"/>
    <w:rsid w:val="7BCA4697"/>
    <w:rsid w:val="7D886F94"/>
    <w:rsid w:val="7D98530D"/>
    <w:rsid w:val="7DAE4D81"/>
    <w:rsid w:val="7E07684D"/>
    <w:rsid w:val="7ED17140"/>
    <w:rsid w:val="7F240600"/>
    <w:rsid w:val="7F4570EA"/>
    <w:rsid w:val="7F957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1"/>
    <w:basedOn w:val="1"/>
    <w:next w:val="1"/>
    <w:qFormat/>
    <w:uiPriority w:val="0"/>
    <w:pPr>
      <w:keepNext/>
      <w:keepLines/>
      <w:spacing w:beforeLines="0" w:beforeAutospacing="0" w:afterLines="0" w:afterAutospacing="0" w:line="500" w:lineRule="exact"/>
      <w:outlineLvl w:val="0"/>
    </w:pPr>
    <w:rPr>
      <w:rFonts w:ascii="仿宋_GB2312" w:hAnsi="仿宋_GB2312" w:eastAsia="仿宋_GB2312" w:cs="仿宋_GB2312"/>
      <w:sz w:val="32"/>
      <w:szCs w:val="32"/>
    </w:rPr>
  </w:style>
  <w:style w:type="paragraph" w:styleId="2">
    <w:name w:val="heading 3"/>
    <w:basedOn w:val="1"/>
    <w:next w:val="1"/>
    <w:qFormat/>
    <w:uiPriority w:val="0"/>
    <w:pPr>
      <w:keepNext/>
      <w:keepLines/>
      <w:spacing w:before="260" w:after="260" w:line="416" w:lineRule="auto"/>
      <w:outlineLvl w:val="2"/>
    </w:pPr>
    <w:rPr>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next w:val="1"/>
    <w:qFormat/>
    <w:uiPriority w:val="0"/>
    <w:pPr>
      <w:spacing w:beforeAutospacing="1" w:afterAutospacing="1"/>
    </w:pPr>
    <w:rPr>
      <w:rFonts w:cs="Times New Roman"/>
      <w:sz w:val="24"/>
      <w:lang w:val="en-US" w:bidi="ar-SA"/>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paragraph" w:customStyle="1" w:styleId="10">
    <w:name w:val="BodyText"/>
    <w:basedOn w:val="11"/>
    <w:qFormat/>
    <w:uiPriority w:val="0"/>
    <w:pPr>
      <w:spacing w:after="120" w:afterLines="0"/>
      <w:jc w:val="both"/>
      <w:textAlignment w:val="baseline"/>
    </w:pPr>
  </w:style>
  <w:style w:type="paragraph" w:customStyle="1" w:styleId="11">
    <w:name w:val="正文 New"/>
    <w:next w:val="1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7382</Words>
  <Characters>7437</Characters>
  <Lines>0</Lines>
  <Paragraphs>0</Paragraphs>
  <TotalTime>0</TotalTime>
  <ScaleCrop>false</ScaleCrop>
  <LinksUpToDate>false</LinksUpToDate>
  <CharactersWithSpaces>7467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2021-08-11T02:16:00Z</dcterms:created>
  <dc:creator>南柯一梦</dc:creator>
  <cp:lastModifiedBy>白白白白</cp:lastModifiedBy>
  <cp:lastPrinted>2024-01-09T06:25:00Z</cp:lastPrinted>
  <dcterms:modified xsi:type="dcterms:W3CDTF">2024-02-28T00:51:05Z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58F900749BD5460CBBF495021FB0A7D8_13</vt:lpwstr>
  </property>
</Properties>
</file>