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0" w:afterAutospacing="0" w:line="368" w:lineRule="atLeast"/>
        <w:jc w:val="center"/>
      </w:pPr>
      <w:bookmarkStart w:id="0" w:name="_GoBack"/>
      <w:r>
        <w:rPr>
          <w:rStyle w:val="5"/>
          <w:rFonts w:ascii="微软雅黑" w:hAnsi="微软雅黑" w:eastAsia="微软雅黑" w:cs="微软雅黑"/>
          <w:sz w:val="36"/>
          <w:szCs w:val="36"/>
        </w:rPr>
        <w:t>沂源县人民政府</w:t>
      </w:r>
    </w:p>
    <w:p>
      <w:pPr>
        <w:pStyle w:val="2"/>
        <w:keepNext w:val="0"/>
        <w:keepLines w:val="0"/>
        <w:widowControl/>
        <w:suppressLineNumbers w:val="0"/>
        <w:spacing w:after="0" w:afterAutospacing="0" w:line="368" w:lineRule="atLeast"/>
        <w:jc w:val="center"/>
      </w:pPr>
      <w:r>
        <w:rPr>
          <w:rStyle w:val="5"/>
          <w:rFonts w:hint="eastAsia" w:ascii="微软雅黑" w:hAnsi="微软雅黑" w:eastAsia="微软雅黑" w:cs="微软雅黑"/>
          <w:sz w:val="36"/>
          <w:szCs w:val="36"/>
        </w:rPr>
        <w:t>关于印发沂源县职业教育创新发展实施方案的通知</w:t>
      </w:r>
    </w:p>
    <w:bookmarkEnd w:id="0"/>
    <w:p>
      <w:pPr>
        <w:pStyle w:val="2"/>
        <w:keepNext w:val="0"/>
        <w:keepLines w:val="0"/>
        <w:widowControl/>
        <w:suppressLineNumbers w:val="0"/>
        <w:spacing w:after="0" w:afterAutospacing="0" w:line="368" w:lineRule="atLeast"/>
        <w:jc w:val="center"/>
      </w:pPr>
      <w:r>
        <w:rPr>
          <w:rFonts w:hint="eastAsia" w:ascii="微软雅黑" w:hAnsi="微软雅黑" w:eastAsia="微软雅黑" w:cs="微软雅黑"/>
          <w:sz w:val="24"/>
          <w:szCs w:val="24"/>
        </w:rPr>
        <w:t>源政发〔2020〕7号</w:t>
      </w:r>
    </w:p>
    <w:p>
      <w:pPr>
        <w:pStyle w:val="2"/>
        <w:keepNext w:val="0"/>
        <w:keepLines w:val="0"/>
        <w:widowControl/>
        <w:suppressLineNumbers w:val="0"/>
        <w:spacing w:line="368" w:lineRule="atLeast"/>
        <w:ind w:left="0" w:firstLine="435"/>
      </w:pPr>
      <w:r>
        <w:t> </w:t>
      </w:r>
    </w:p>
    <w:p>
      <w:pPr>
        <w:pStyle w:val="2"/>
        <w:keepNext w:val="0"/>
        <w:keepLines w:val="0"/>
        <w:widowControl/>
        <w:suppressLineNumbers w:val="0"/>
        <w:spacing w:after="0" w:afterAutospacing="0" w:line="368" w:lineRule="atLeast"/>
        <w:jc w:val="both"/>
      </w:pPr>
      <w:r>
        <w:rPr>
          <w:rFonts w:hint="eastAsia" w:ascii="微软雅黑" w:hAnsi="微软雅黑" w:eastAsia="微软雅黑" w:cs="微软雅黑"/>
          <w:sz w:val="24"/>
          <w:szCs w:val="24"/>
        </w:rPr>
        <w:t>各镇人民政府，各街道办事处，开发区管委会，县政府各有关部门，各有关企事业单位：</w:t>
      </w:r>
    </w:p>
    <w:p>
      <w:pPr>
        <w:pStyle w:val="2"/>
        <w:keepNext w:val="0"/>
        <w:keepLines w:val="0"/>
        <w:widowControl/>
        <w:suppressLineNumbers w:val="0"/>
        <w:spacing w:after="0" w:afterAutospacing="0" w:line="368" w:lineRule="atLeast"/>
        <w:ind w:left="0" w:firstLine="645"/>
      </w:pPr>
      <w:r>
        <w:rPr>
          <w:rFonts w:hint="eastAsia" w:ascii="微软雅黑" w:hAnsi="微软雅黑" w:eastAsia="微软雅黑" w:cs="微软雅黑"/>
          <w:sz w:val="24"/>
          <w:szCs w:val="24"/>
        </w:rPr>
        <w:t>现将《沂源县职业教育创新发展实施方案》印发给你们，请结合实际，认真组织实施。</w:t>
      </w:r>
    </w:p>
    <w:p>
      <w:pPr>
        <w:pStyle w:val="2"/>
        <w:keepNext w:val="0"/>
        <w:keepLines w:val="0"/>
        <w:widowControl/>
        <w:suppressLineNumbers w:val="0"/>
        <w:spacing w:after="0" w:afterAutospacing="0" w:line="368" w:lineRule="atLeast"/>
        <w:ind w:left="0" w:firstLine="645"/>
      </w:pPr>
      <w:r>
        <w:t> </w:t>
      </w:r>
    </w:p>
    <w:p>
      <w:pPr>
        <w:pStyle w:val="2"/>
        <w:keepNext w:val="0"/>
        <w:keepLines w:val="0"/>
        <w:widowControl/>
        <w:suppressLineNumbers w:val="0"/>
        <w:spacing w:after="0" w:afterAutospacing="0" w:line="368" w:lineRule="atLeast"/>
        <w:ind w:left="0" w:firstLine="645"/>
        <w:jc w:val="right"/>
      </w:pPr>
      <w:r>
        <w:rPr>
          <w:rFonts w:hint="eastAsia" w:ascii="微软雅黑" w:hAnsi="微软雅黑" w:eastAsia="微软雅黑" w:cs="微软雅黑"/>
          <w:sz w:val="24"/>
          <w:szCs w:val="24"/>
        </w:rPr>
        <w:t>沂源县人民政府</w:t>
      </w:r>
    </w:p>
    <w:p>
      <w:pPr>
        <w:pStyle w:val="2"/>
        <w:keepNext w:val="0"/>
        <w:keepLines w:val="0"/>
        <w:widowControl/>
        <w:suppressLineNumbers w:val="0"/>
        <w:spacing w:after="0" w:afterAutospacing="0" w:line="368" w:lineRule="atLeast"/>
        <w:ind w:left="0" w:firstLine="5100"/>
        <w:jc w:val="right"/>
      </w:pPr>
      <w:r>
        <w:rPr>
          <w:rFonts w:hint="eastAsia" w:ascii="微软雅黑" w:hAnsi="微软雅黑" w:eastAsia="微软雅黑" w:cs="微软雅黑"/>
          <w:sz w:val="24"/>
          <w:szCs w:val="24"/>
        </w:rPr>
        <w:t>2020年6月17日</w:t>
      </w:r>
    </w:p>
    <w:p>
      <w:pPr>
        <w:pStyle w:val="2"/>
        <w:keepNext w:val="0"/>
        <w:keepLines w:val="0"/>
        <w:widowControl/>
        <w:suppressLineNumbers w:val="0"/>
        <w:spacing w:after="0" w:afterAutospacing="0" w:line="368" w:lineRule="atLeast"/>
        <w:ind w:left="0" w:firstLine="645"/>
      </w:pPr>
      <w:r>
        <w:rPr>
          <w:rFonts w:hint="eastAsia" w:ascii="微软雅黑" w:hAnsi="微软雅黑" w:eastAsia="微软雅黑" w:cs="微软雅黑"/>
          <w:sz w:val="24"/>
          <w:szCs w:val="24"/>
        </w:rPr>
        <w:t>（此件公开发布）                     </w:t>
      </w:r>
    </w:p>
    <w:p>
      <w:pPr>
        <w:pStyle w:val="2"/>
        <w:keepNext w:val="0"/>
        <w:keepLines w:val="0"/>
        <w:widowControl/>
        <w:suppressLineNumbers w:val="0"/>
        <w:spacing w:after="0" w:afterAutospacing="0" w:line="368"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after="0" w:afterAutospacing="0" w:line="368" w:lineRule="atLeast"/>
        <w:jc w:val="center"/>
      </w:pPr>
      <w:r>
        <w:rPr>
          <w:rStyle w:val="5"/>
          <w:rFonts w:hint="eastAsia" w:ascii="微软雅黑" w:hAnsi="微软雅黑" w:eastAsia="微软雅黑" w:cs="微软雅黑"/>
          <w:sz w:val="24"/>
          <w:szCs w:val="24"/>
        </w:rPr>
        <w:t>沂源县职业教育创新发展实施方案</w:t>
      </w:r>
    </w:p>
    <w:p>
      <w:pPr>
        <w:pStyle w:val="2"/>
        <w:keepNext w:val="0"/>
        <w:keepLines w:val="0"/>
        <w:widowControl/>
        <w:suppressLineNumbers w:val="0"/>
        <w:spacing w:line="368" w:lineRule="atLeast"/>
        <w:ind w:left="0" w:firstLine="435"/>
      </w:pPr>
      <w:r>
        <w:t> </w:t>
      </w:r>
    </w:p>
    <w:p>
      <w:pPr>
        <w:pStyle w:val="2"/>
        <w:keepNext w:val="0"/>
        <w:keepLines w:val="0"/>
        <w:widowControl/>
        <w:suppressLineNumbers w:val="0"/>
        <w:spacing w:after="0" w:afterAutospacing="0" w:line="368" w:lineRule="atLeast"/>
        <w:ind w:left="0" w:firstLine="645"/>
        <w:jc w:val="both"/>
      </w:pPr>
      <w:r>
        <w:rPr>
          <w:rFonts w:hint="eastAsia" w:ascii="微软雅黑" w:hAnsi="微软雅黑" w:eastAsia="微软雅黑" w:cs="微软雅黑"/>
          <w:sz w:val="24"/>
          <w:szCs w:val="24"/>
        </w:rPr>
        <w:t>为全面推动我县职业教育创新发展，根据教育部、省政府《关于整省推进提质培优建设职业教育创新发展高地的意见》（鲁政发〔2020〕3号）、省教育厅等6部门《关于“一市（校）一案”编制职业教育创新发展实施方案的指导意见》（鲁教职字〔2020〕4号）、市政府《关于印发淄博市职业教育创新发展实施方案的通知》（淄政发〔2020〕6号）等文件精神，结合我县实际，制定本方案。</w:t>
      </w:r>
    </w:p>
    <w:p>
      <w:pPr>
        <w:pStyle w:val="2"/>
        <w:keepNext w:val="0"/>
        <w:keepLines w:val="0"/>
        <w:widowControl/>
        <w:suppressLineNumbers w:val="0"/>
        <w:spacing w:after="0" w:afterAutospacing="0" w:line="368" w:lineRule="atLeast"/>
        <w:ind w:left="0" w:firstLine="645"/>
        <w:jc w:val="both"/>
      </w:pPr>
      <w:r>
        <w:rPr>
          <w:rStyle w:val="5"/>
          <w:rFonts w:hint="eastAsia" w:ascii="微软雅黑" w:hAnsi="微软雅黑" w:eastAsia="微软雅黑" w:cs="微软雅黑"/>
          <w:sz w:val="24"/>
          <w:szCs w:val="24"/>
        </w:rPr>
        <w:t xml:space="preserve">一、指导思想 </w:t>
      </w:r>
    </w:p>
    <w:p>
      <w:pPr>
        <w:pStyle w:val="2"/>
        <w:keepNext w:val="0"/>
        <w:keepLines w:val="0"/>
        <w:widowControl/>
        <w:suppressLineNumbers w:val="0"/>
        <w:spacing w:after="0" w:afterAutospacing="0" w:line="368" w:lineRule="atLeast"/>
        <w:ind w:left="0" w:firstLine="645"/>
        <w:jc w:val="both"/>
      </w:pPr>
      <w:r>
        <w:rPr>
          <w:rFonts w:hint="eastAsia" w:ascii="微软雅黑" w:hAnsi="微软雅黑" w:eastAsia="微软雅黑" w:cs="微软雅黑"/>
          <w:sz w:val="24"/>
          <w:szCs w:val="24"/>
        </w:rPr>
        <w:t>坚持以习近平新时代中国特色社会主义思想为指导，按照部省共建国家职业教育创新发展高地启动大会部署，把发展职业教育摆在更加突出位置，找准突破口和着力点，系统设计县域内职业教育体系框架、结构布局和机制，推动教育制度创新和结构调整，建立产教深度融合、同发展需求密切对接、与加快教育现代化整体契合的县域职业教育发展模式，为推进全县新旧动能转换和经济社会高质量发展提供技术技能人才支撑。</w:t>
      </w:r>
    </w:p>
    <w:p>
      <w:pPr>
        <w:pStyle w:val="2"/>
        <w:keepNext w:val="0"/>
        <w:keepLines w:val="0"/>
        <w:widowControl/>
        <w:suppressLineNumbers w:val="0"/>
        <w:spacing w:after="0" w:afterAutospacing="0" w:line="368" w:lineRule="atLeast"/>
        <w:ind w:left="0" w:firstLine="645"/>
        <w:jc w:val="both"/>
      </w:pPr>
      <w:r>
        <w:rPr>
          <w:rStyle w:val="5"/>
          <w:rFonts w:hint="eastAsia" w:ascii="微软雅黑" w:hAnsi="微软雅黑" w:eastAsia="微软雅黑" w:cs="微软雅黑"/>
          <w:sz w:val="24"/>
          <w:szCs w:val="24"/>
        </w:rPr>
        <w:t xml:space="preserve">二、基本原则 </w:t>
      </w:r>
    </w:p>
    <w:p>
      <w:pPr>
        <w:pStyle w:val="2"/>
        <w:keepNext w:val="0"/>
        <w:keepLines w:val="0"/>
        <w:widowControl/>
        <w:suppressLineNumbers w:val="0"/>
        <w:spacing w:after="0" w:afterAutospacing="0" w:line="368" w:lineRule="atLeast"/>
        <w:ind w:left="0" w:firstLine="645"/>
        <w:jc w:val="both"/>
      </w:pPr>
      <w:r>
        <w:rPr>
          <w:rFonts w:hint="eastAsia" w:ascii="微软雅黑" w:hAnsi="微软雅黑" w:eastAsia="微软雅黑" w:cs="微软雅黑"/>
          <w:sz w:val="24"/>
          <w:szCs w:val="24"/>
        </w:rPr>
        <w:t>——注重全面落实。逐一研究部省共建国家职业教育创新发展高地的45项工作任务，全面细致、不折不扣地把各项工作任务抓紧抓实，推动政策落地生根。</w:t>
      </w:r>
    </w:p>
    <w:p>
      <w:pPr>
        <w:pStyle w:val="2"/>
        <w:keepNext w:val="0"/>
        <w:keepLines w:val="0"/>
        <w:widowControl/>
        <w:suppressLineNumbers w:val="0"/>
        <w:spacing w:after="0" w:afterAutospacing="0" w:line="368" w:lineRule="atLeast"/>
        <w:ind w:left="0" w:firstLine="645"/>
        <w:jc w:val="both"/>
      </w:pPr>
      <w:r>
        <w:rPr>
          <w:rFonts w:hint="eastAsia" w:ascii="微软雅黑" w:hAnsi="微软雅黑" w:eastAsia="微软雅黑" w:cs="微软雅黑"/>
          <w:sz w:val="24"/>
          <w:szCs w:val="24"/>
        </w:rPr>
        <w:t>——注重全面对接。全方位融入经济社会发展大局，与实现职业教育与技术进步和生产方式变革以及社会公共服务相适应，服务高质量发展。</w:t>
      </w:r>
    </w:p>
    <w:p>
      <w:pPr>
        <w:pStyle w:val="2"/>
        <w:keepNext w:val="0"/>
        <w:keepLines w:val="0"/>
        <w:widowControl/>
        <w:suppressLineNumbers w:val="0"/>
        <w:spacing w:after="0" w:afterAutospacing="0" w:line="368" w:lineRule="atLeast"/>
        <w:ind w:left="0" w:firstLine="645"/>
        <w:jc w:val="both"/>
      </w:pPr>
      <w:r>
        <w:rPr>
          <w:rFonts w:hint="eastAsia" w:ascii="微软雅黑" w:hAnsi="微软雅黑" w:eastAsia="微软雅黑" w:cs="微软雅黑"/>
          <w:sz w:val="24"/>
          <w:szCs w:val="24"/>
        </w:rPr>
        <w:t xml:space="preserve">——注重开放共享。树立大职业教育观和“职业教育+”理念，校校、校企、校地协同，推进职业教育资源跨校、跨行业、跨区域共建共享，办出特色、办成一流。 </w:t>
      </w:r>
    </w:p>
    <w:p>
      <w:pPr>
        <w:pStyle w:val="2"/>
        <w:keepNext w:val="0"/>
        <w:keepLines w:val="0"/>
        <w:widowControl/>
        <w:suppressLineNumbers w:val="0"/>
        <w:spacing w:after="0" w:afterAutospacing="0" w:line="368" w:lineRule="atLeast"/>
        <w:ind w:left="0" w:firstLine="645"/>
        <w:jc w:val="both"/>
      </w:pPr>
      <w:r>
        <w:rPr>
          <w:rFonts w:hint="eastAsia" w:ascii="微软雅黑" w:hAnsi="微软雅黑" w:eastAsia="微软雅黑" w:cs="微软雅黑"/>
          <w:sz w:val="24"/>
          <w:szCs w:val="24"/>
        </w:rPr>
        <w:t xml:space="preserve">——注重改革创新。对标职业教育省内顶尖、全国水平，解放思想、大胆探索，先行先试、突破束缚，创造性开展工作，确保政策措施的前瞻性和务实管用。 </w:t>
      </w:r>
    </w:p>
    <w:p>
      <w:pPr>
        <w:pStyle w:val="2"/>
        <w:keepNext w:val="0"/>
        <w:keepLines w:val="0"/>
        <w:widowControl/>
        <w:suppressLineNumbers w:val="0"/>
        <w:spacing w:after="0" w:afterAutospacing="0" w:line="368" w:lineRule="atLeast"/>
        <w:ind w:left="0" w:firstLine="645"/>
        <w:jc w:val="both"/>
      </w:pPr>
      <w:r>
        <w:rPr>
          <w:rStyle w:val="5"/>
          <w:rFonts w:hint="eastAsia" w:ascii="微软雅黑" w:hAnsi="微软雅黑" w:eastAsia="微软雅黑" w:cs="微软雅黑"/>
          <w:sz w:val="24"/>
          <w:szCs w:val="24"/>
        </w:rPr>
        <w:t>三、重点任务</w:t>
      </w:r>
    </w:p>
    <w:p>
      <w:pPr>
        <w:pStyle w:val="2"/>
        <w:keepNext w:val="0"/>
        <w:keepLines w:val="0"/>
        <w:widowControl/>
        <w:suppressLineNumbers w:val="0"/>
        <w:spacing w:after="0" w:afterAutospacing="0" w:line="368" w:lineRule="atLeast"/>
        <w:ind w:left="0" w:firstLine="645"/>
        <w:jc w:val="both"/>
      </w:pPr>
      <w:r>
        <w:rPr>
          <w:rFonts w:hint="eastAsia" w:ascii="微软雅黑" w:hAnsi="微软雅黑" w:eastAsia="微软雅黑" w:cs="微软雅黑"/>
          <w:sz w:val="24"/>
          <w:szCs w:val="24"/>
        </w:rPr>
        <w:t>（一）科学规划职业教育发展布局。根据我县经济发展现状与趋势、产业需求、人力资源规划、学生生源数量，科学规划职业教育发展布局。有计划分期实施淄博电子工程学校异址新建工程项目建设，按期完成山东省示范性中等职业学校创建任务，夯实中等职业教育基础地位，确保职普比大体相当。充分考虑经济社会发展对高层次技术技能人才的需求，统筹发展初中后五年制专科层次职业教育，将淄博电子工程学校建设成为集中职教育、五年制高职教育、技术推广、劳动力转移培训和社会生活教育为一体的山东省高水平中职学校。探索中职学校、普通高中学生学籍互转和职业教育资源跨校共建共享，实施沂源二中综合高中建设试点，到2022年实现初中应届毕业生全部接受中高等阶段教育、城乡新增和现有劳动力更多地接受高等教育的目标。(责任单位：县发展改革局、县自然资源局、县财政局、县住房城乡建设局、县教育和体育局等部门)</w:t>
      </w:r>
    </w:p>
    <w:p>
      <w:pPr>
        <w:pStyle w:val="2"/>
        <w:keepNext w:val="0"/>
        <w:keepLines w:val="0"/>
        <w:widowControl/>
        <w:suppressLineNumbers w:val="0"/>
        <w:spacing w:after="0" w:afterAutospacing="0" w:line="368" w:lineRule="atLeast"/>
        <w:ind w:left="0" w:firstLine="645"/>
        <w:jc w:val="both"/>
      </w:pPr>
      <w:r>
        <w:rPr>
          <w:rFonts w:hint="eastAsia" w:ascii="微软雅黑" w:hAnsi="微软雅黑" w:eastAsia="微软雅黑" w:cs="微软雅黑"/>
          <w:sz w:val="24"/>
          <w:szCs w:val="24"/>
        </w:rPr>
        <w:t>（二）健全专业随产业发展的动态调整机制。围绕全县新旧动能转换“6341”现代产业体系规划，按照专业调整赋能产业发展要求，形成对接产业、布局合理、特色鲜明的专业布局。支持学校增设与地方产业契合度高的专业，重点建设电子信息、智能装备、新材料、新医药等四强产业和现代农业相关专业。扶持现代服务业、新能源与节能环保等新兴产业紧缺专业。到2022年，争取3个专业群入选省高水平中职专业群。（责任单位：县教育和体育局、县发展改革局、县人力资源社会保障局、县工业和信息化局、县财政局等部门）</w:t>
      </w:r>
    </w:p>
    <w:p>
      <w:pPr>
        <w:pStyle w:val="2"/>
        <w:keepNext w:val="0"/>
        <w:keepLines w:val="0"/>
        <w:widowControl/>
        <w:suppressLineNumbers w:val="0"/>
        <w:spacing w:after="0" w:afterAutospacing="0" w:line="368" w:lineRule="atLeast"/>
        <w:ind w:left="0" w:firstLine="645"/>
        <w:jc w:val="both"/>
      </w:pPr>
      <w:r>
        <w:rPr>
          <w:rFonts w:hint="eastAsia" w:ascii="微软雅黑" w:hAnsi="微软雅黑" w:eastAsia="微软雅黑" w:cs="微软雅黑"/>
          <w:sz w:val="24"/>
          <w:szCs w:val="24"/>
        </w:rPr>
        <w:t>（三）强化产教深度融合、校企合作。坚持产教融合与产业集聚发展、园区建设等同谋划、同推进、同落实，同步制定产教融合政策、规划支持要素和项目。发挥企业在校企合作办学中的主体作用,鼓励支持各类企业举办职业教育，通过引企入校、引校入企、“订单班”“冠名班”等多种方式，推动校企合作共建高端产教融合平台或股份制、混合所有制二级学院，促进校企协同育人。创新产教融合育人模式，建设集“产学研创服”五位一体的产教融合示范基地，争创省级“产教融合实训基地”。开展职业教育产教融合试点，积极申报认定产教融合型企业。设立县域职业教育发展专项资金，鼓励职业学校学生在当地企业实习实训，建立接收学生实习实训成本补偿机制，激发企业参与职业教育的积极性。研究制定县域企业就业创业优惠政策，吸引职业学校毕业生、县外高职高专毕业生到我县企业就业。细化校企合作激励措施，落实“金融+财政+土地+信用”组合式激励政策，对纳入产教融合型企业建设培育范围的 试点企业，兴办职业教育符合规定的投资，可按投资额30%的比例，抵免该企业当年应缴教育费附加和地方教育附加。(责任单位：县发展改革局、县工业和信息化局、县财政局、县税务局、县人力资源社会保障局、县自然资源局、县教育和体育局等部门)</w:t>
      </w:r>
    </w:p>
    <w:p>
      <w:pPr>
        <w:pStyle w:val="2"/>
        <w:keepNext w:val="0"/>
        <w:keepLines w:val="0"/>
        <w:widowControl/>
        <w:suppressLineNumbers w:val="0"/>
        <w:spacing w:after="0" w:afterAutospacing="0" w:line="368" w:lineRule="atLeast"/>
        <w:ind w:left="0" w:firstLine="645"/>
        <w:jc w:val="both"/>
      </w:pPr>
      <w:r>
        <w:rPr>
          <w:rFonts w:hint="eastAsia" w:ascii="微软雅黑" w:hAnsi="微软雅黑" w:eastAsia="微软雅黑" w:cs="微软雅黑"/>
          <w:sz w:val="24"/>
          <w:szCs w:val="24"/>
        </w:rPr>
        <w:t>（四）实施大型智能（仿真）实习实训基地建设项目。按照实训基地建设与产业技术进步同步规划、适当超前布局的原则，实施淄博电子工程学校大型智能（仿真）实习实训基地项目建设（同淄博电子工程学校异址新建工程项目同体推进实施），积极争取地方政府专项债券和中央预算内投资资金，建设能够满足中职学生实习实训、企业员工技能再提升、社区继续教育培训等需要的大型共享实习实训平台，打造服务全县“6341”现代产业体系的技术高地和面向中小微企业的技术服务中心。(责任单位：县发展改革局、县财政局、县工业和信息化局、县人力资源社会保障局、县教育和体育局等部门)</w:t>
      </w:r>
    </w:p>
    <w:p>
      <w:pPr>
        <w:pStyle w:val="2"/>
        <w:keepNext w:val="0"/>
        <w:keepLines w:val="0"/>
        <w:widowControl/>
        <w:suppressLineNumbers w:val="0"/>
        <w:spacing w:after="0" w:afterAutospacing="0" w:line="368" w:lineRule="atLeast"/>
        <w:ind w:left="0" w:firstLine="645"/>
        <w:jc w:val="both"/>
      </w:pPr>
      <w:r>
        <w:rPr>
          <w:rFonts w:hint="eastAsia" w:ascii="微软雅黑" w:hAnsi="微软雅黑" w:eastAsia="微软雅黑" w:cs="微软雅黑"/>
          <w:sz w:val="24"/>
          <w:szCs w:val="24"/>
        </w:rPr>
        <w:t>（五）建设高素质“双师型”队伍。制定切实可行的师资队伍建设规划，以培养“双师型”教师队伍为重点，新进专业专任教师原则上应具有3年以上企业工作经历和相关专业技术资格，不断优化师资队伍结构，建设一支教学水平高、实践能力强的专兼结合的师资队伍。建立学校从行业企业招聘教师的制度，采用年度定时招聘与随机招聘相结合的方式，在每年国家、省、市各类技能大赛结束后，每个特色专业群招聘1—2名具有行业企业首席技师、齐鲁工匠、技术能手、高级技师、高级工程师、高级会计师等专业荣誉称号的高层次技术技能人才</w:t>
      </w:r>
      <w:r>
        <w:rPr>
          <w:rFonts w:hint="eastAsia" w:ascii="微软雅黑" w:hAnsi="微软雅黑" w:eastAsia="微软雅黑" w:cs="微软雅黑"/>
          <w:spacing w:val="0"/>
          <w:sz w:val="24"/>
          <w:szCs w:val="24"/>
        </w:rPr>
        <w:t>为学校特聘教师。2020年6月底前，县直有关部门共同制定公</w:t>
      </w:r>
      <w:r>
        <w:rPr>
          <w:rFonts w:hint="eastAsia" w:ascii="微软雅黑" w:hAnsi="微软雅黑" w:eastAsia="微软雅黑" w:cs="微软雅黑"/>
          <w:sz w:val="24"/>
          <w:szCs w:val="24"/>
        </w:rPr>
        <w:t>开招聘行业企业能工巧匠，建设职业教育创新发展高地文件，促进职业学校“双师型”教师队伍素质有质的提高。完善师资培养培训体系，结合国家规定标准及校企实际，联合行业企业建立常态培训机制，把教师职业资格证书获取与教师在职培养结合起来，构建职前职后一体化、校企双主体的中职学校教师培训培养体系，建立教师与企业高技能人才、工程技术人才双向聘用的交流机制和职业发展通道。开展技术技能创新创业示范园和示范项目试点，并在资金、场地、设备、政策等方面给予支持，争创省级职业教育“双师型”教师培训基地。不断提高“双师型”教师比例，到2022年生师比保持14:1—17:1，“双师型”教师比例达到75%以上。(责任单位：县人力资源社会保障局、县工业和信息化局、县财政局、县教育和体育局等部门)</w:t>
      </w:r>
    </w:p>
    <w:p>
      <w:pPr>
        <w:pStyle w:val="2"/>
        <w:keepNext w:val="0"/>
        <w:keepLines w:val="0"/>
        <w:widowControl/>
        <w:suppressLineNumbers w:val="0"/>
        <w:spacing w:after="0" w:afterAutospacing="0" w:line="368" w:lineRule="atLeast"/>
        <w:ind w:left="0" w:firstLine="645"/>
      </w:pPr>
      <w:r>
        <w:rPr>
          <w:rFonts w:hint="eastAsia" w:ascii="微软雅黑" w:hAnsi="微软雅黑" w:eastAsia="微软雅黑" w:cs="微软雅黑"/>
          <w:sz w:val="24"/>
          <w:szCs w:val="24"/>
        </w:rPr>
        <w:t>（六）落实职业学校办学自主权。职业学校根据办学实际和未来发展规划，着眼于可持续和创新性发展，在单位编制限额内，自主设立内设机构并报机构编制部门备案，自主设置岗位，自主确定用人计划，自主确定招考标准、内容和程序，在相应人事考试官方网站公开招聘岗位信息，自主招聘各类人才，实行事后备案。落实职业学校20%编制员额内自主招聘兼职教师政策，参照高级专业技术职务人员平均薪酬水平核拨财政经费。推进学校内部管理体制改革，探索由学校自主聘用内设机构干部，推行校内岗位聘用制，并报教育主管部门备案。2020年6月底前，县直有关部门共同制定落实职业学校办学自主权，推进学校管理体制改革文件，确保职业学校自主办学制度化、规范化。(责任单位：县委编办、县人力资源社会保障局、县财政局、县教育和体育局等部门)</w:t>
      </w:r>
    </w:p>
    <w:p>
      <w:pPr>
        <w:pStyle w:val="2"/>
        <w:keepNext w:val="0"/>
        <w:keepLines w:val="0"/>
        <w:widowControl/>
        <w:suppressLineNumbers w:val="0"/>
        <w:spacing w:after="0" w:afterAutospacing="0" w:line="368" w:lineRule="atLeast"/>
        <w:ind w:left="0" w:firstLine="645"/>
      </w:pPr>
      <w:r>
        <w:rPr>
          <w:rFonts w:hint="eastAsia" w:ascii="微软雅黑" w:hAnsi="微软雅黑" w:eastAsia="微软雅黑" w:cs="微软雅黑"/>
          <w:sz w:val="24"/>
          <w:szCs w:val="24"/>
        </w:rPr>
        <w:t>（七）改革教师绩效工资管理制度。公办职业学校对外开展技术开发、技术转让、技术咨询、技术服务取得的收入结余，可提取50%以上用于教师劳动报酬，不纳入单位绩效工资总量管理。学校教师根据相关规定取得的科技成果转让费，计入当年本单位绩效工资总量，但不受总量控制，不作为调控基数。对学校以年薪制、协议工资、项目工资等方式引进高层次人才，其相关待遇在绩效工资总量中单列。对学校承担的培训任务，与绩效工资总量增长挂钩。专业教师可在校企合作企业兼职取酬，其待遇由校企双方商定。2020年6月底前，县直有关部门共同制定新形势下实施职业学校教师绩效工资制度改革文件，全面拓宽人才成长渠道，激发教师创新创业活力，全面提高职业学校教育教学质量。(责任单位：县人力资源社会保障局、县财政局、县工业和信息化局、县教育和体育局等部门)</w:t>
      </w:r>
    </w:p>
    <w:p>
      <w:pPr>
        <w:pStyle w:val="2"/>
        <w:keepNext w:val="0"/>
        <w:keepLines w:val="0"/>
        <w:widowControl/>
        <w:suppressLineNumbers w:val="0"/>
        <w:spacing w:after="0" w:afterAutospacing="0" w:line="368" w:lineRule="atLeast"/>
        <w:ind w:left="0" w:firstLine="645"/>
      </w:pPr>
      <w:r>
        <w:rPr>
          <w:rFonts w:hint="eastAsia" w:ascii="微软雅黑" w:hAnsi="微软雅黑" w:eastAsia="微软雅黑" w:cs="微软雅黑"/>
          <w:sz w:val="24"/>
          <w:szCs w:val="24"/>
        </w:rPr>
        <w:t>（八）大力开展职业技能培训与职业教育研究。各类职业学校要落实育训并举法定职责，围绕我县现代产业体系建设和产业发展需要，以提升劳动者职业技能水平和就业创业能力为着力点，重点面向高校毕业生、退役军人、农民工、去产能分流职工、建档立卡贫困劳动力、残疾人、失业人员等重点人群开展就业创业培训，面向企业职工开展岗位技术技能、安全技能培训和在职学历教育培训，促进行业企业从业人员文化技能素质全面提高。自2020年起，每年培训不少于1.5万人次，培训收入不低于300万元，培训规模与收入年增长不低于10%。落实各类职业学校开展培训的激励政策，培训量可按一定比例折算成全日制学生培养工作量，在原总量基础上及时核增所需绩效工资总量，在内部分配时向承担培训任务的一线教师倾斜。允许职业学校将一定比例的培训收入纳入学校公用经费。积极参与省教育和产业人才研究院的相关活动，扎实推进职业教育教研工作，鼓励支持聘请一线优秀教师、技术技能人才担任兼职教研员，形成专兼结合、动态管理的教研员队伍，建立完善的职业教育教研体系。安排专项经费支持职业教育创新发展理论实践研究。(责任单位：县人力资源社会保障局、县工业和信息化局、县财政局、县教育和体育局等部门)</w:t>
      </w:r>
    </w:p>
    <w:p>
      <w:pPr>
        <w:pStyle w:val="2"/>
        <w:keepNext w:val="0"/>
        <w:keepLines w:val="0"/>
        <w:widowControl/>
        <w:suppressLineNumbers w:val="0"/>
        <w:spacing w:after="0" w:afterAutospacing="0" w:line="368" w:lineRule="atLeast"/>
        <w:ind w:left="0" w:firstLine="645"/>
      </w:pPr>
      <w:r>
        <w:rPr>
          <w:rFonts w:hint="eastAsia" w:ascii="微软雅黑" w:hAnsi="微软雅黑" w:eastAsia="微软雅黑" w:cs="微软雅黑"/>
          <w:sz w:val="24"/>
          <w:szCs w:val="24"/>
        </w:rPr>
        <w:t>（九）多渠道强化经费投入保障。明确财政性职业教育经费总投入、职业教育专项经费投入、吸引社会力量经费总投入、生均拨款等方面年度增长目标，健全政府、行业、企业、个人、社会共同参与的基础能力建设多元投资机制。调整优化财政教育支出结构，加大对职业教育的投入，建立与办学规模和培养目标相适应的财政投入制度，按照鲁财教〔2013〕58号文件精神，职业学校现有旅游服务类（不含烹饪专业）、财经商贸类、教育类专业，落实每生每年2800元拨付标准；加工制造类、电工电子类、信息技术类专业，落实每生每年3300元拨付标准，确保新增财政性教育经费投入向职业教育倾斜。探索建立“基本保障+发展专项+绩效奖励”的财政拨款制度，逐步增加公办中职学校生均拨款标准。</w:t>
      </w:r>
      <w:r>
        <w:rPr>
          <w:rFonts w:hint="eastAsia" w:ascii="微软雅黑" w:hAnsi="微软雅黑" w:eastAsia="微软雅黑" w:cs="微软雅黑"/>
          <w:spacing w:val="15"/>
          <w:sz w:val="24"/>
          <w:szCs w:val="24"/>
        </w:rPr>
        <w:t>落实教育费附加不低于30%和地方教育附加不低于30%用于职业教育政策</w:t>
      </w:r>
      <w:r>
        <w:rPr>
          <w:rFonts w:hint="eastAsia" w:ascii="微软雅黑" w:hAnsi="微软雅黑" w:eastAsia="微软雅黑" w:cs="微软雅黑"/>
          <w:sz w:val="24"/>
          <w:szCs w:val="24"/>
        </w:rPr>
        <w:t>。支持学校申报地方政府专项债券，加强实习实训及基础设施建设。鼓励社会力量捐资、出资兴办职业教育，拓宽办学筹资渠道，整体谋划提升职业学校基本办学条件水平。(责任单位：县财政局、县发展改革局、县教育和体育局等部门)</w:t>
      </w:r>
    </w:p>
    <w:p>
      <w:pPr>
        <w:pStyle w:val="2"/>
        <w:keepNext w:val="0"/>
        <w:keepLines w:val="0"/>
        <w:widowControl/>
        <w:suppressLineNumbers w:val="0"/>
        <w:spacing w:after="0" w:afterAutospacing="0" w:line="368" w:lineRule="atLeast"/>
        <w:ind w:left="0" w:firstLine="645"/>
      </w:pPr>
      <w:r>
        <w:rPr>
          <w:rStyle w:val="5"/>
          <w:rFonts w:hint="eastAsia" w:ascii="微软雅黑" w:hAnsi="微软雅黑" w:eastAsia="微软雅黑" w:cs="微软雅黑"/>
          <w:sz w:val="24"/>
          <w:szCs w:val="24"/>
        </w:rPr>
        <w:t xml:space="preserve">四、工作要求 </w:t>
      </w:r>
    </w:p>
    <w:p>
      <w:pPr>
        <w:pStyle w:val="2"/>
        <w:keepNext w:val="0"/>
        <w:keepLines w:val="0"/>
        <w:widowControl/>
        <w:suppressLineNumbers w:val="0"/>
        <w:spacing w:after="0" w:afterAutospacing="0" w:line="368" w:lineRule="atLeast"/>
        <w:ind w:left="0" w:firstLine="645"/>
        <w:jc w:val="both"/>
      </w:pPr>
      <w:r>
        <w:rPr>
          <w:rFonts w:hint="eastAsia" w:ascii="微软雅黑" w:hAnsi="微软雅黑" w:eastAsia="微软雅黑" w:cs="微软雅黑"/>
          <w:sz w:val="24"/>
          <w:szCs w:val="24"/>
        </w:rPr>
        <w:t>（一）加强组织领导。建立由县委书记、县长任组长，县委教育工委书记、分管副县长任副组长，县政府有关部门主要负责人为成员的领导小组，统筹协调</w:t>
      </w:r>
      <w:r>
        <w:rPr>
          <w:rFonts w:hint="eastAsia" w:ascii="微软雅黑" w:hAnsi="微软雅黑" w:eastAsia="微软雅黑" w:cs="微软雅黑"/>
          <w:spacing w:val="15"/>
          <w:sz w:val="24"/>
          <w:szCs w:val="24"/>
        </w:rPr>
        <w:t>职业教育改革发展工作。</w:t>
      </w:r>
      <w:r>
        <w:rPr>
          <w:rFonts w:hint="eastAsia" w:ascii="微软雅黑" w:hAnsi="微软雅黑" w:eastAsia="微软雅黑" w:cs="微软雅黑"/>
          <w:sz w:val="24"/>
          <w:szCs w:val="24"/>
        </w:rPr>
        <w:t>领导小组办公室设在县教育和体育局，负责具体工作任务推进落实，县教育和体育局主要负责人兼任办公室主任。根据工作需要，适时成立工作专班。县政府各有关部门要加强沟通协调，做好相关政策配套衔接，形成政策合力，共同推动职业教育创新发展。</w:t>
      </w:r>
    </w:p>
    <w:p>
      <w:pPr>
        <w:pStyle w:val="2"/>
        <w:keepNext w:val="0"/>
        <w:keepLines w:val="0"/>
        <w:widowControl/>
        <w:suppressLineNumbers w:val="0"/>
        <w:spacing w:after="0" w:afterAutospacing="0" w:line="368" w:lineRule="atLeast"/>
        <w:ind w:left="0" w:firstLine="645"/>
      </w:pPr>
      <w:r>
        <w:rPr>
          <w:rFonts w:hint="eastAsia" w:ascii="微软雅黑" w:hAnsi="微软雅黑" w:eastAsia="微软雅黑" w:cs="微软雅黑"/>
          <w:sz w:val="24"/>
          <w:szCs w:val="24"/>
        </w:rPr>
        <w:t>（二）强化督导检查。各级各有关部门和单位要全面落实“职业教育与普通教育是两种不同教育类型，具有同等重要地位”的要求，夯实大力发展职业教育的责任，把职业教育创新发展纳入年度重点工作，专人负责，尽职到位。县政府将职业教育纳入督查督导范围，作为对政府履行教育职责评价重要内容。</w:t>
      </w:r>
      <w:r>
        <w:rPr>
          <w:rFonts w:hint="eastAsia" w:ascii="微软雅黑" w:hAnsi="微软雅黑" w:eastAsia="微软雅黑" w:cs="微软雅黑"/>
          <w:spacing w:val="15"/>
          <w:sz w:val="24"/>
          <w:szCs w:val="24"/>
        </w:rPr>
        <w:t>完善政府、行业、企业、职业院校等共同参与的质量评价机制，积极支持第三方机构开展评价。</w:t>
      </w:r>
      <w:r>
        <w:rPr>
          <w:rFonts w:hint="eastAsia" w:ascii="微软雅黑" w:hAnsi="微软雅黑" w:eastAsia="微软雅黑" w:cs="微软雅黑"/>
          <w:sz w:val="24"/>
          <w:szCs w:val="24"/>
        </w:rPr>
        <w:t>县委督查室每半年督查一次，县政府教育督导室每季度调度一次工作情况。</w:t>
      </w:r>
    </w:p>
    <w:p>
      <w:pPr>
        <w:pStyle w:val="2"/>
        <w:keepNext w:val="0"/>
        <w:keepLines w:val="0"/>
        <w:widowControl/>
        <w:suppressLineNumbers w:val="0"/>
        <w:spacing w:after="0" w:afterAutospacing="0" w:line="368" w:lineRule="atLeast"/>
        <w:ind w:left="0" w:firstLine="645"/>
      </w:pPr>
      <w:r>
        <w:rPr>
          <w:rFonts w:hint="eastAsia" w:ascii="微软雅黑" w:hAnsi="微软雅黑" w:eastAsia="微软雅黑" w:cs="微软雅黑"/>
          <w:sz w:val="24"/>
          <w:szCs w:val="24"/>
        </w:rPr>
        <w:t>（三）营造良好环境。各级各有关部门和单位要大力宣传高素质劳动者和技术技能型人才在经济社会发展中的先进事迹和成果贡献，探索建立有突出贡献的技术技能人才在工会、团委、妇联等群团组织中兼任职务的制度，以及推荐符合条件的技术技能人才作为党代会代表、人大代表、政协委员、团代会代表等的人选的制度。清理对技术技能人才的歧视政策，畅通技术技能人才就业渠道。职业院校毕业生和普通高校毕业生在公务员招录、事业单位和国有企业招聘中享受同等待遇。办好职业教育活动周，讲好职教故事、传播职教声音，弘扬劳动光荣，技能宝贵，创造伟大的时代风尚，营造人人皆可成才、人人尽展其才的良好环境。</w:t>
      </w:r>
    </w:p>
    <w:p>
      <w:pPr>
        <w:pStyle w:val="2"/>
        <w:keepNext w:val="0"/>
        <w:keepLines w:val="0"/>
        <w:widowControl/>
        <w:suppressLineNumbers w:val="0"/>
        <w:spacing w:after="0" w:afterAutospacing="0" w:line="368"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hd w:val="clear" w:fill="FFFFFF"/>
        <w:spacing w:after="0" w:afterAutospacing="0" w:line="368" w:lineRule="atLeast"/>
        <w:ind w:left="0" w:firstLine="645"/>
      </w:pPr>
      <w:r>
        <w:rPr>
          <w:rFonts w:hint="eastAsia" w:ascii="微软雅黑" w:hAnsi="微软雅黑" w:eastAsia="微软雅黑" w:cs="微软雅黑"/>
          <w:sz w:val="24"/>
          <w:szCs w:val="24"/>
          <w:shd w:val="clear" w:fill="FFFFFF"/>
        </w:rPr>
        <w:t>附件：1.沂源县职业教育创新发展重点项目推进落实计划</w:t>
      </w:r>
    </w:p>
    <w:p>
      <w:pPr>
        <w:pStyle w:val="2"/>
        <w:keepNext w:val="0"/>
        <w:keepLines w:val="0"/>
        <w:widowControl/>
        <w:suppressLineNumbers w:val="0"/>
        <w:spacing w:after="0" w:afterAutospacing="0" w:line="368" w:lineRule="atLeast"/>
        <w:ind w:left="0" w:firstLine="420"/>
      </w:pPr>
      <w:r>
        <w:rPr>
          <w:rFonts w:hint="eastAsia" w:ascii="微软雅黑" w:hAnsi="微软雅黑" w:eastAsia="微软雅黑" w:cs="微软雅黑"/>
          <w:sz w:val="24"/>
          <w:szCs w:val="24"/>
        </w:rPr>
        <w:t>            2.沂源县职业教育创新发展工作任务清单</w:t>
      </w:r>
    </w:p>
    <w:p>
      <w:pPr>
        <w:pStyle w:val="2"/>
        <w:keepNext w:val="0"/>
        <w:keepLines w:val="0"/>
        <w:widowControl/>
        <w:suppressLineNumbers w:val="0"/>
        <w:spacing w:after="0" w:afterAutospacing="0" w:line="368" w:lineRule="atLeast"/>
        <w:ind w:left="0" w:firstLine="420"/>
      </w:pPr>
      <w:r>
        <w:rPr>
          <w:rFonts w:hint="eastAsia" w:ascii="微软雅黑" w:hAnsi="微软雅黑" w:eastAsia="微软雅黑" w:cs="微软雅黑"/>
          <w:sz w:val="24"/>
          <w:szCs w:val="24"/>
        </w:rPr>
        <w:t>            3.沂源县职业教育提质培优高质量发展三年行动</w:t>
      </w:r>
      <w:r>
        <w:rPr>
          <w:rFonts w:hint="eastAsia" w:ascii="微软雅黑" w:hAnsi="微软雅黑" w:eastAsia="微软雅黑" w:cs="微软雅黑"/>
          <w:spacing w:val="-15"/>
          <w:sz w:val="24"/>
          <w:szCs w:val="24"/>
        </w:rPr>
        <w:t>计划（2020—2022年）</w:t>
      </w:r>
    </w:p>
    <w:p>
      <w:pPr>
        <w:pStyle w:val="2"/>
        <w:keepNext w:val="0"/>
        <w:keepLines w:val="0"/>
        <w:widowControl/>
        <w:suppressLineNumbers w:val="0"/>
        <w:spacing w:line="368" w:lineRule="atLeast"/>
      </w:pPr>
      <w:r>
        <w:t> </w:t>
      </w:r>
    </w:p>
    <w:p>
      <w:pPr>
        <w:pStyle w:val="2"/>
        <w:keepNext w:val="0"/>
        <w:keepLines w:val="0"/>
        <w:widowControl/>
        <w:suppressLineNumbers w:val="0"/>
        <w:spacing w:after="0" w:afterAutospacing="0" w:line="368" w:lineRule="atLeast"/>
      </w:pPr>
      <w:r>
        <w:rPr>
          <w:rFonts w:hint="eastAsia" w:ascii="微软雅黑" w:hAnsi="微软雅黑" w:eastAsia="微软雅黑" w:cs="微软雅黑"/>
          <w:sz w:val="24"/>
          <w:szCs w:val="24"/>
        </w:rPr>
        <w:t>附件1</w:t>
      </w:r>
    </w:p>
    <w:p>
      <w:pPr>
        <w:pStyle w:val="2"/>
        <w:keepNext w:val="0"/>
        <w:keepLines w:val="0"/>
        <w:widowControl/>
        <w:suppressLineNumbers w:val="0"/>
        <w:spacing w:after="0" w:afterAutospacing="0" w:line="368" w:lineRule="atLeast"/>
      </w:pPr>
      <w:r>
        <w:t> </w:t>
      </w:r>
    </w:p>
    <w:p>
      <w:pPr>
        <w:pStyle w:val="2"/>
        <w:keepNext w:val="0"/>
        <w:keepLines w:val="0"/>
        <w:widowControl/>
        <w:suppressLineNumbers w:val="0"/>
        <w:spacing w:after="0" w:afterAutospacing="0" w:line="368" w:lineRule="atLeast"/>
        <w:jc w:val="center"/>
      </w:pPr>
      <w:r>
        <w:rPr>
          <w:rStyle w:val="5"/>
          <w:rFonts w:hint="eastAsia" w:ascii="微软雅黑" w:hAnsi="微软雅黑" w:eastAsia="微软雅黑" w:cs="微软雅黑"/>
          <w:sz w:val="24"/>
          <w:szCs w:val="24"/>
        </w:rPr>
        <w:t>沂源县职业教育创新发展重点项目推进落实计划</w:t>
      </w:r>
    </w:p>
    <w:p>
      <w:pPr>
        <w:pStyle w:val="2"/>
        <w:keepNext w:val="0"/>
        <w:keepLines w:val="0"/>
        <w:widowControl/>
        <w:suppressLineNumbers w:val="0"/>
        <w:spacing w:after="0" w:afterAutospacing="0" w:line="368" w:lineRule="atLeast"/>
        <w:jc w:val="center"/>
      </w:pPr>
      <w:r>
        <w:t> </w:t>
      </w:r>
    </w:p>
    <w:tbl>
      <w:tblPr>
        <w:tblW w:w="1383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48"/>
        <w:gridCol w:w="2037"/>
        <w:gridCol w:w="4303"/>
        <w:gridCol w:w="3261"/>
        <w:gridCol w:w="1779"/>
        <w:gridCol w:w="1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cantSplit/>
          <w:trHeight w:val="660" w:hRule="atLeast"/>
          <w:tblHeader/>
          <w:tblCellSpacing w:w="15" w:type="dxa"/>
        </w:trPr>
        <w:tc>
          <w:tcPr>
            <w:tcW w:w="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序号</w:t>
            </w:r>
          </w:p>
        </w:tc>
        <w:tc>
          <w:tcPr>
            <w:tcW w:w="20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项目名称</w:t>
            </w:r>
          </w:p>
        </w:tc>
        <w:tc>
          <w:tcPr>
            <w:tcW w:w="435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主要内容</w:t>
            </w:r>
          </w:p>
        </w:tc>
        <w:tc>
          <w:tcPr>
            <w:tcW w:w="32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落实措施</w:t>
            </w:r>
          </w:p>
        </w:tc>
        <w:tc>
          <w:tcPr>
            <w:tcW w:w="17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完成时限</w:t>
            </w:r>
          </w:p>
        </w:tc>
        <w:tc>
          <w:tcPr>
            <w:tcW w:w="15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责任人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681" w:hRule="atLeast"/>
          <w:tblCellSpacing w:w="15" w:type="dxa"/>
        </w:trPr>
        <w:tc>
          <w:tcPr>
            <w:tcW w:w="81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75" w:lineRule="atLeast"/>
              <w:jc w:val="center"/>
            </w:pPr>
            <w:r>
              <w:rPr>
                <w:rFonts w:hint="eastAsia" w:ascii="微软雅黑" w:hAnsi="微软雅黑" w:eastAsia="微软雅黑" w:cs="微软雅黑"/>
                <w:sz w:val="24"/>
                <w:szCs w:val="24"/>
                <w:bdr w:val="none" w:color="auto" w:sz="0" w:space="0"/>
              </w:rPr>
              <w:t>1</w:t>
            </w:r>
          </w:p>
        </w:tc>
        <w:tc>
          <w:tcPr>
            <w:tcW w:w="204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75" w:lineRule="atLeast"/>
              <w:jc w:val="both"/>
            </w:pPr>
            <w:r>
              <w:rPr>
                <w:rFonts w:hint="eastAsia" w:ascii="微软雅黑" w:hAnsi="微软雅黑" w:eastAsia="微软雅黑" w:cs="微软雅黑"/>
                <w:sz w:val="24"/>
                <w:szCs w:val="24"/>
                <w:bdr w:val="none" w:color="auto" w:sz="0" w:space="0"/>
              </w:rPr>
              <w:t>淄博电子工程学校异址新建工程项目</w:t>
            </w:r>
          </w:p>
        </w:tc>
        <w:tc>
          <w:tcPr>
            <w:tcW w:w="43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75" w:lineRule="atLeast"/>
            </w:pPr>
            <w:r>
              <w:rPr>
                <w:rFonts w:hint="eastAsia" w:ascii="微软雅黑" w:hAnsi="微软雅黑" w:eastAsia="微软雅黑" w:cs="微软雅黑"/>
                <w:sz w:val="24"/>
                <w:szCs w:val="24"/>
                <w:bdr w:val="none" w:color="auto" w:sz="0" w:space="0"/>
              </w:rPr>
              <w:t>1. 完成淄博电子工程学校异址新建项目建设，并投入使用。</w:t>
            </w:r>
          </w:p>
        </w:tc>
        <w:tc>
          <w:tcPr>
            <w:tcW w:w="328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75" w:lineRule="atLeast"/>
            </w:pPr>
            <w:r>
              <w:rPr>
                <w:rFonts w:hint="eastAsia" w:ascii="微软雅黑" w:hAnsi="微软雅黑" w:eastAsia="微软雅黑" w:cs="微软雅黑"/>
                <w:sz w:val="24"/>
                <w:szCs w:val="24"/>
                <w:bdr w:val="none" w:color="auto" w:sz="0" w:space="0"/>
              </w:rPr>
              <w:t>1.县政府相关工作部门职能科室会商、协同推进。</w:t>
            </w:r>
          </w:p>
          <w:p>
            <w:pPr>
              <w:pStyle w:val="2"/>
              <w:keepNext w:val="0"/>
              <w:keepLines w:val="0"/>
              <w:widowControl/>
              <w:suppressLineNumbers w:val="0"/>
              <w:spacing w:after="0" w:afterAutospacing="0" w:line="375" w:lineRule="atLeast"/>
            </w:pPr>
            <w:r>
              <w:rPr>
                <w:rFonts w:hint="eastAsia" w:ascii="微软雅黑" w:hAnsi="微软雅黑" w:eastAsia="微软雅黑" w:cs="微软雅黑"/>
                <w:sz w:val="24"/>
                <w:szCs w:val="24"/>
                <w:bdr w:val="none" w:color="auto" w:sz="0" w:space="0"/>
              </w:rPr>
              <w:t>2.落实专项经费。</w:t>
            </w:r>
          </w:p>
        </w:tc>
        <w:tc>
          <w:tcPr>
            <w:tcW w:w="177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75" w:lineRule="atLeast"/>
              <w:jc w:val="center"/>
            </w:pPr>
            <w:r>
              <w:rPr>
                <w:rFonts w:hint="eastAsia" w:ascii="微软雅黑" w:hAnsi="微软雅黑" w:eastAsia="微软雅黑" w:cs="微软雅黑"/>
                <w:sz w:val="24"/>
                <w:szCs w:val="24"/>
                <w:bdr w:val="none" w:color="auto" w:sz="0" w:space="0"/>
              </w:rPr>
              <w:t>2022年12月</w:t>
            </w:r>
          </w:p>
        </w:tc>
        <w:tc>
          <w:tcPr>
            <w:tcW w:w="157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jc w:val="both"/>
            </w:pPr>
            <w:r>
              <w:rPr>
                <w:rFonts w:hint="eastAsia" w:ascii="微软雅黑" w:hAnsi="微软雅黑" w:eastAsia="微软雅黑" w:cs="微软雅黑"/>
                <w:color w:val="000000"/>
                <w:sz w:val="24"/>
                <w:szCs w:val="24"/>
                <w:bdr w:val="none" w:color="auto" w:sz="0" w:space="0"/>
              </w:rPr>
              <w:t>县委教育工委书记、分管副县长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666" w:hRule="atLeast"/>
          <w:tblCellSpacing w:w="15" w:type="dxa"/>
        </w:trPr>
        <w:tc>
          <w:tcPr>
            <w:tcW w:w="81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4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3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75" w:lineRule="atLeast"/>
            </w:pPr>
            <w:r>
              <w:rPr>
                <w:rFonts w:hint="eastAsia" w:ascii="微软雅黑" w:hAnsi="微软雅黑" w:eastAsia="微软雅黑" w:cs="微软雅黑"/>
                <w:sz w:val="24"/>
                <w:szCs w:val="24"/>
                <w:bdr w:val="none" w:color="auto" w:sz="0" w:space="0"/>
              </w:rPr>
              <w:t>2.实施学校“大型智能（仿真）实习实训基地”建设</w:t>
            </w:r>
          </w:p>
        </w:tc>
        <w:tc>
          <w:tcPr>
            <w:tcW w:w="328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7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7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86" w:hRule="atLeast"/>
          <w:tblCellSpacing w:w="15" w:type="dxa"/>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75" w:lineRule="atLeast"/>
              <w:jc w:val="center"/>
            </w:pPr>
            <w:r>
              <w:rPr>
                <w:rFonts w:hint="eastAsia" w:ascii="微软雅黑" w:hAnsi="微软雅黑" w:eastAsia="微软雅黑" w:cs="微软雅黑"/>
                <w:sz w:val="24"/>
                <w:szCs w:val="24"/>
                <w:bdr w:val="none" w:color="auto" w:sz="0" w:space="0"/>
              </w:rPr>
              <w:t>2</w:t>
            </w:r>
          </w:p>
        </w:tc>
        <w:tc>
          <w:tcPr>
            <w:tcW w:w="20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75" w:lineRule="atLeast"/>
              <w:jc w:val="both"/>
              <w:textAlignment w:val="center"/>
            </w:pPr>
            <w:r>
              <w:rPr>
                <w:rFonts w:hint="eastAsia" w:ascii="微软雅黑" w:hAnsi="微软雅黑" w:eastAsia="微软雅黑" w:cs="微软雅黑"/>
                <w:sz w:val="24"/>
                <w:szCs w:val="24"/>
                <w:bdr w:val="none" w:color="auto" w:sz="0" w:space="0"/>
              </w:rPr>
              <w:t>省示范性中职学校建设工程项目</w:t>
            </w:r>
          </w:p>
        </w:tc>
        <w:tc>
          <w:tcPr>
            <w:tcW w:w="43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75" w:lineRule="atLeast"/>
            </w:pPr>
            <w:r>
              <w:rPr>
                <w:rFonts w:hint="eastAsia" w:ascii="微软雅黑" w:hAnsi="微软雅黑" w:eastAsia="微软雅黑" w:cs="微软雅黑"/>
                <w:sz w:val="24"/>
                <w:szCs w:val="24"/>
                <w:bdr w:val="none" w:color="auto" w:sz="0" w:space="0"/>
              </w:rPr>
              <w:t>全面实施项目建设计划，按照《项目建设方案》与《项目任务书》规定的目标与任务，按月制定和落实实施计划，按期顺利通过项目验收。</w:t>
            </w:r>
          </w:p>
        </w:tc>
        <w:tc>
          <w:tcPr>
            <w:tcW w:w="32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75" w:lineRule="atLeast"/>
            </w:pPr>
            <w:r>
              <w:rPr>
                <w:rFonts w:hint="eastAsia" w:ascii="微软雅黑" w:hAnsi="微软雅黑" w:eastAsia="微软雅黑" w:cs="微软雅黑"/>
                <w:sz w:val="24"/>
                <w:szCs w:val="24"/>
                <w:bdr w:val="none" w:color="auto" w:sz="0" w:space="0"/>
              </w:rPr>
              <w:t>1.项目领导小组责任化。</w:t>
            </w:r>
          </w:p>
          <w:p>
            <w:pPr>
              <w:pStyle w:val="2"/>
              <w:keepNext w:val="0"/>
              <w:keepLines w:val="0"/>
              <w:widowControl/>
              <w:suppressLineNumbers w:val="0"/>
              <w:spacing w:after="0" w:afterAutospacing="0" w:line="375" w:lineRule="atLeast"/>
            </w:pPr>
            <w:r>
              <w:rPr>
                <w:rFonts w:hint="eastAsia" w:ascii="微软雅黑" w:hAnsi="微软雅黑" w:eastAsia="微软雅黑" w:cs="微软雅黑"/>
                <w:sz w:val="24"/>
                <w:szCs w:val="24"/>
                <w:bdr w:val="none" w:color="auto" w:sz="0" w:space="0"/>
              </w:rPr>
              <w:t>2.制作任务台账，明确完成时限。</w:t>
            </w:r>
          </w:p>
          <w:p>
            <w:pPr>
              <w:pStyle w:val="2"/>
              <w:keepNext w:val="0"/>
              <w:keepLines w:val="0"/>
              <w:widowControl/>
              <w:suppressLineNumbers w:val="0"/>
              <w:spacing w:after="0" w:afterAutospacing="0" w:line="375" w:lineRule="atLeast"/>
            </w:pPr>
            <w:r>
              <w:rPr>
                <w:rFonts w:hint="eastAsia" w:ascii="微软雅黑" w:hAnsi="微软雅黑" w:eastAsia="微软雅黑" w:cs="微软雅黑"/>
                <w:sz w:val="24"/>
                <w:szCs w:val="24"/>
                <w:bdr w:val="none" w:color="auto" w:sz="0" w:space="0"/>
              </w:rPr>
              <w:t>3.落实阶段督查，确保整体推进。</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75" w:lineRule="atLeast"/>
              <w:jc w:val="center"/>
            </w:pPr>
            <w:r>
              <w:rPr>
                <w:rFonts w:hint="eastAsia" w:ascii="微软雅黑" w:hAnsi="微软雅黑" w:eastAsia="微软雅黑" w:cs="微软雅黑"/>
                <w:sz w:val="24"/>
                <w:szCs w:val="24"/>
                <w:bdr w:val="none" w:color="auto" w:sz="0" w:space="0"/>
              </w:rPr>
              <w:t>2021年12月</w:t>
            </w:r>
          </w:p>
        </w:tc>
        <w:tc>
          <w:tcPr>
            <w:tcW w:w="15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jc w:val="both"/>
            </w:pPr>
            <w:r>
              <w:rPr>
                <w:rFonts w:hint="eastAsia" w:ascii="微软雅黑" w:hAnsi="微软雅黑" w:eastAsia="微软雅黑" w:cs="微软雅黑"/>
                <w:color w:val="000000"/>
                <w:sz w:val="24"/>
                <w:szCs w:val="24"/>
                <w:bdr w:val="none" w:color="auto" w:sz="0" w:space="0"/>
              </w:rPr>
              <w:t>县教育和体育局局长</w:t>
            </w:r>
          </w:p>
        </w:tc>
      </w:tr>
    </w:tbl>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附件2</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沂源县职业教育创新发展工作任务清单</w:t>
      </w:r>
    </w:p>
    <w:p>
      <w:pPr>
        <w:pStyle w:val="2"/>
        <w:keepNext w:val="0"/>
        <w:keepLines w:val="0"/>
        <w:widowControl/>
        <w:suppressLineNumbers w:val="0"/>
        <w:spacing w:before="120" w:beforeAutospacing="0" w:after="120" w:afterAutospacing="0" w:line="368" w:lineRule="atLeast"/>
        <w:ind w:left="0" w:right="0"/>
        <w:jc w:val="center"/>
      </w:pPr>
      <w:r>
        <w:t> </w:t>
      </w:r>
    </w:p>
    <w:tbl>
      <w:tblPr>
        <w:tblW w:w="1384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1"/>
        <w:gridCol w:w="7683"/>
        <w:gridCol w:w="3585"/>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cantSplit/>
          <w:trHeight w:val="645" w:hRule="atLeast"/>
          <w:tblHeader/>
          <w:tblCellSpacing w:w="15" w:type="dxa"/>
        </w:trPr>
        <w:tc>
          <w:tcPr>
            <w:tcW w:w="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jc w:val="center"/>
            </w:pPr>
            <w:r>
              <w:rPr>
                <w:rFonts w:hint="eastAsia" w:ascii="微软雅黑" w:hAnsi="微软雅黑" w:eastAsia="微软雅黑" w:cs="微软雅黑"/>
                <w:spacing w:val="-15"/>
                <w:sz w:val="24"/>
                <w:szCs w:val="24"/>
                <w:bdr w:val="none" w:color="auto" w:sz="0" w:space="0"/>
              </w:rPr>
              <w:t>序号</w:t>
            </w:r>
          </w:p>
        </w:tc>
        <w:tc>
          <w:tcPr>
            <w:tcW w:w="77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jc w:val="center"/>
            </w:pPr>
            <w:r>
              <w:rPr>
                <w:rFonts w:hint="eastAsia" w:ascii="微软雅黑" w:hAnsi="微软雅黑" w:eastAsia="微软雅黑" w:cs="微软雅黑"/>
                <w:sz w:val="24"/>
                <w:szCs w:val="24"/>
                <w:bdr w:val="none" w:color="auto" w:sz="0" w:space="0"/>
              </w:rPr>
              <w:t>重点任务</w:t>
            </w:r>
          </w:p>
        </w:tc>
        <w:tc>
          <w:tcPr>
            <w:tcW w:w="3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jc w:val="center"/>
            </w:pPr>
            <w:r>
              <w:rPr>
                <w:rFonts w:hint="eastAsia" w:ascii="微软雅黑" w:hAnsi="微软雅黑" w:eastAsia="微软雅黑" w:cs="微软雅黑"/>
                <w:sz w:val="24"/>
                <w:szCs w:val="24"/>
                <w:bdr w:val="none" w:color="auto" w:sz="0" w:space="0"/>
              </w:rPr>
              <w:t>责任部门</w:t>
            </w:r>
          </w:p>
        </w:tc>
        <w:tc>
          <w:tcPr>
            <w:tcW w:w="169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jc w:val="center"/>
            </w:pPr>
            <w:r>
              <w:rPr>
                <w:rFonts w:hint="eastAsia" w:ascii="微软雅黑" w:hAnsi="微软雅黑" w:eastAsia="微软雅黑" w:cs="微软雅黑"/>
                <w:sz w:val="24"/>
                <w:szCs w:val="24"/>
                <w:bdr w:val="none" w:color="auto" w:sz="0" w:space="0"/>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575" w:hRule="atLeast"/>
          <w:tblCellSpacing w:w="15" w:type="dxa"/>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jc w:val="center"/>
            </w:pPr>
            <w:r>
              <w:rPr>
                <w:rFonts w:hint="eastAsia" w:ascii="微软雅黑" w:hAnsi="微软雅黑" w:eastAsia="微软雅黑" w:cs="微软雅黑"/>
                <w:sz w:val="24"/>
                <w:szCs w:val="24"/>
                <w:bdr w:val="none" w:color="auto" w:sz="0" w:space="0"/>
              </w:rPr>
              <w:t>1</w:t>
            </w:r>
          </w:p>
        </w:tc>
        <w:tc>
          <w:tcPr>
            <w:tcW w:w="77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淄博电子工程学校异址新建工程项目</w:t>
            </w:r>
          </w:p>
        </w:tc>
        <w:tc>
          <w:tcPr>
            <w:tcW w:w="3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县发展改革局、县教育和体育局、县自然资源局、县财政局、县住房城乡建设局、南麻街道</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110" w:hRule="atLeast"/>
          <w:tblCellSpacing w:w="15" w:type="dxa"/>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jc w:val="center"/>
            </w:pPr>
            <w:r>
              <w:rPr>
                <w:rFonts w:hint="eastAsia" w:ascii="微软雅黑" w:hAnsi="微软雅黑" w:eastAsia="微软雅黑" w:cs="微软雅黑"/>
                <w:sz w:val="24"/>
                <w:szCs w:val="24"/>
                <w:bdr w:val="none" w:color="auto" w:sz="0" w:space="0"/>
              </w:rPr>
              <w:t>2</w:t>
            </w:r>
          </w:p>
        </w:tc>
        <w:tc>
          <w:tcPr>
            <w:tcW w:w="77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省示范性中等职业学校建设工程项目</w:t>
            </w:r>
          </w:p>
        </w:tc>
        <w:tc>
          <w:tcPr>
            <w:tcW w:w="3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县教育和体育局、县委编办、县人力资源社会保障局、县财政局</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2021年12月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125" w:hRule="atLeast"/>
          <w:tblCellSpacing w:w="15" w:type="dxa"/>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jc w:val="center"/>
            </w:pPr>
            <w:r>
              <w:rPr>
                <w:rFonts w:hint="eastAsia" w:ascii="微软雅黑" w:hAnsi="微软雅黑" w:eastAsia="微软雅黑" w:cs="微软雅黑"/>
                <w:sz w:val="24"/>
                <w:szCs w:val="24"/>
                <w:bdr w:val="none" w:color="auto" w:sz="0" w:space="0"/>
              </w:rPr>
              <w:t>3</w:t>
            </w:r>
          </w:p>
        </w:tc>
        <w:tc>
          <w:tcPr>
            <w:tcW w:w="77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依托淄博电子工程学校申办五年一贯制高等教育，增加“三二连读”贯通培养专业。支持淄博电子工程学校建设高水平中职学校。设立综合高中，使职普比例大体相当。</w:t>
            </w:r>
          </w:p>
        </w:tc>
        <w:tc>
          <w:tcPr>
            <w:tcW w:w="3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县教育和体育局、县委编办、县人力资源社会保障局，县发展改革局、县财政局</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245" w:hRule="atLeast"/>
          <w:tblCellSpacing w:w="15" w:type="dxa"/>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jc w:val="center"/>
            </w:pPr>
            <w:r>
              <w:rPr>
                <w:rFonts w:hint="eastAsia" w:ascii="微软雅黑" w:hAnsi="微软雅黑" w:eastAsia="微软雅黑" w:cs="微软雅黑"/>
                <w:sz w:val="24"/>
                <w:szCs w:val="24"/>
                <w:bdr w:val="none" w:color="auto" w:sz="0" w:space="0"/>
              </w:rPr>
              <w:t>4</w:t>
            </w:r>
          </w:p>
        </w:tc>
        <w:tc>
          <w:tcPr>
            <w:tcW w:w="77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ind w:left="0" w:firstLine="0"/>
              <w:jc w:val="both"/>
            </w:pPr>
            <w:r>
              <w:rPr>
                <w:rFonts w:hint="eastAsia" w:ascii="微软雅黑" w:hAnsi="微软雅黑" w:eastAsia="微软雅黑" w:cs="微软雅黑"/>
                <w:spacing w:val="15"/>
                <w:sz w:val="24"/>
                <w:szCs w:val="24"/>
                <w:bdr w:val="none" w:color="auto" w:sz="0" w:space="0"/>
              </w:rPr>
              <w:t>落实教育费附加不低于30%和地方教育附加不低于30%用于</w:t>
            </w:r>
            <w:r>
              <w:rPr>
                <w:rFonts w:hint="eastAsia" w:ascii="微软雅黑" w:hAnsi="微软雅黑" w:eastAsia="微软雅黑" w:cs="微软雅黑"/>
                <w:sz w:val="24"/>
                <w:szCs w:val="24"/>
                <w:bdr w:val="none" w:color="auto" w:sz="0" w:space="0"/>
              </w:rPr>
              <w:t>职业教育政策。逐步提高公办中职学校生均拨款标准，三年内达到省定增加标准。申报地方政府专项债券和各种专项资金、奖补资金，加强实习实训及基础设施建设。</w:t>
            </w:r>
          </w:p>
        </w:tc>
        <w:tc>
          <w:tcPr>
            <w:tcW w:w="3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县财政局、县发展改革局、县教育和体育局</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color w:val="000000"/>
                <w:sz w:val="24"/>
                <w:szCs w:val="24"/>
                <w:bdr w:val="none" w:color="auto" w:sz="0" w:space="0"/>
              </w:rPr>
              <w:t>2021年12月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230" w:hRule="atLeast"/>
          <w:tblCellSpacing w:w="15" w:type="dxa"/>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jc w:val="center"/>
            </w:pPr>
            <w:r>
              <w:rPr>
                <w:rFonts w:hint="eastAsia" w:ascii="微软雅黑" w:hAnsi="微软雅黑" w:eastAsia="微软雅黑" w:cs="微软雅黑"/>
                <w:sz w:val="24"/>
                <w:szCs w:val="24"/>
                <w:bdr w:val="none" w:color="auto" w:sz="0" w:space="0"/>
              </w:rPr>
              <w:t>5</w:t>
            </w:r>
          </w:p>
        </w:tc>
        <w:tc>
          <w:tcPr>
            <w:tcW w:w="77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依托淄博电子工程学校建设共享型的大型智能（仿真）实习实训基地</w:t>
            </w:r>
          </w:p>
        </w:tc>
        <w:tc>
          <w:tcPr>
            <w:tcW w:w="3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县发展改革局、县人力资源社会保障局、县教育和体育局、县财政局、县工业和信息化局</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890" w:hRule="atLeast"/>
          <w:tblCellSpacing w:w="15" w:type="dxa"/>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jc w:val="center"/>
            </w:pPr>
            <w:r>
              <w:rPr>
                <w:rFonts w:hint="eastAsia" w:ascii="微软雅黑" w:hAnsi="微软雅黑" w:eastAsia="微软雅黑" w:cs="微软雅黑"/>
                <w:sz w:val="24"/>
                <w:szCs w:val="24"/>
                <w:bdr w:val="none" w:color="auto" w:sz="0" w:space="0"/>
              </w:rPr>
              <w:t>6</w:t>
            </w:r>
          </w:p>
        </w:tc>
        <w:tc>
          <w:tcPr>
            <w:tcW w:w="77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00" w:lineRule="atLeast"/>
            </w:pPr>
            <w:r>
              <w:rPr>
                <w:rFonts w:hint="eastAsia" w:ascii="微软雅黑" w:hAnsi="微软雅黑" w:eastAsia="微软雅黑" w:cs="微软雅黑"/>
                <w:sz w:val="24"/>
                <w:szCs w:val="24"/>
                <w:bdr w:val="none" w:color="auto" w:sz="0" w:space="0"/>
              </w:rPr>
              <w:t>在单位编制限额内，自主设立内设机构并报机构编制部门备案，自主设置岗位，自主确定用人计划，自主确定招考标准、内容和程序，在相应人事考试官方网站公开招聘岗位信息，自主招聘各类人才，实行事后备案。落实职业学校20%编制员额内自主招聘兼职教师政策，参照高级专业技术职务人员平均薪酬水平核拨财政经费。推进学校内部管理体制改革，探索由学校自主聘用内设机构干部，推行校内岗位聘用制，并报教育主管部门备案。引进具有3年以上企业工作经历和相关专业技术资格的技术技能人才担任专业专任教师。2020年6月底前，制定落实职业学校办学自主权，推进学校管理体制改革的文件，确保职业学校自主办学制度化与规范化。制定公开招聘行业企业能工巧匠，建设职业教育创新发展高地文件，促进职业学校“双师型”教师队伍素质实现质的提高。</w:t>
            </w:r>
          </w:p>
        </w:tc>
        <w:tc>
          <w:tcPr>
            <w:tcW w:w="3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pPr>
            <w:r>
              <w:rPr>
                <w:rFonts w:hint="eastAsia" w:ascii="微软雅黑" w:hAnsi="微软雅黑" w:eastAsia="微软雅黑" w:cs="微软雅黑"/>
                <w:sz w:val="24"/>
                <w:szCs w:val="24"/>
                <w:bdr w:val="none" w:color="auto" w:sz="0" w:space="0"/>
              </w:rPr>
              <w:t>县委编办、县人力资源社会保障局、县财政局、县工业和信息化局、县教育和体育局</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2021年12月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410" w:hRule="atLeast"/>
          <w:tblCellSpacing w:w="15" w:type="dxa"/>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jc w:val="center"/>
            </w:pPr>
            <w:r>
              <w:rPr>
                <w:rFonts w:hint="eastAsia" w:ascii="微软雅黑" w:hAnsi="微软雅黑" w:eastAsia="微软雅黑" w:cs="微软雅黑"/>
                <w:sz w:val="24"/>
                <w:szCs w:val="24"/>
                <w:bdr w:val="none" w:color="auto" w:sz="0" w:space="0"/>
              </w:rPr>
              <w:t>7</w:t>
            </w:r>
          </w:p>
        </w:tc>
        <w:tc>
          <w:tcPr>
            <w:tcW w:w="77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00" w:lineRule="atLeast"/>
            </w:pPr>
            <w:r>
              <w:rPr>
                <w:rFonts w:hint="eastAsia" w:ascii="微软雅黑" w:hAnsi="微软雅黑" w:eastAsia="微软雅黑" w:cs="微软雅黑"/>
                <w:spacing w:val="0"/>
                <w:sz w:val="24"/>
                <w:szCs w:val="24"/>
                <w:bdr w:val="none" w:color="auto" w:sz="0" w:space="0"/>
              </w:rPr>
              <w:t>改革教师绩效工资制度，在技术开发等活动中取得的收入结余，可提取50%以上用于教师教学研究等方面的劳动报酬，不纳入单位绩效工资总量管理。落实专业教师可在校企合作企业兼职取酬的规定。2020年6月底前，制定新形势下实施职业学校教师绩效工资制度改革文件，全面拓宽人才成长渠道，激发教师创新创业活力，全面提高职业学校教育教学质量。</w:t>
            </w:r>
          </w:p>
        </w:tc>
        <w:tc>
          <w:tcPr>
            <w:tcW w:w="3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pPr>
            <w:r>
              <w:rPr>
                <w:rFonts w:hint="eastAsia" w:ascii="微软雅黑" w:hAnsi="微软雅黑" w:eastAsia="微软雅黑" w:cs="微软雅黑"/>
                <w:sz w:val="24"/>
                <w:szCs w:val="24"/>
                <w:bdr w:val="none" w:color="auto" w:sz="0" w:space="0"/>
              </w:rPr>
              <w:t>县人力资源社会保障局、县财政局、县科技局、县教育和体育局</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2021年9月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35" w:hRule="atLeast"/>
          <w:tblCellSpacing w:w="15" w:type="dxa"/>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jc w:val="center"/>
            </w:pPr>
            <w:r>
              <w:rPr>
                <w:rFonts w:hint="eastAsia" w:ascii="微软雅黑" w:hAnsi="微软雅黑" w:eastAsia="微软雅黑" w:cs="微软雅黑"/>
                <w:sz w:val="24"/>
                <w:szCs w:val="24"/>
                <w:bdr w:val="none" w:color="auto" w:sz="0" w:space="0"/>
              </w:rPr>
              <w:t>8</w:t>
            </w:r>
          </w:p>
        </w:tc>
        <w:tc>
          <w:tcPr>
            <w:tcW w:w="77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00" w:lineRule="atLeast"/>
            </w:pPr>
            <w:r>
              <w:rPr>
                <w:rFonts w:hint="eastAsia" w:ascii="微软雅黑" w:hAnsi="微软雅黑" w:eastAsia="微软雅黑" w:cs="微软雅黑"/>
                <w:sz w:val="24"/>
                <w:szCs w:val="24"/>
                <w:bdr w:val="none" w:color="auto" w:sz="0" w:space="0"/>
              </w:rPr>
              <w:t>通过引企入校、引校入企、“订单班”“冠名班”等多种方式，校企合作共建高端产教融合平台。争创省、市级“产教融合实训基地”。开展职业教育产教融合试点，积极申报认定产教融合型企业。设立县域职业教育发展专项资金，鼓励职业学校学生在当地企业实习实训，建立接收学生实习实训成本补偿机制，激发企业参与职业教育积极性；研究制定县域企业就业创业优惠政策，吸引职业学校毕业生、县外高职高专毕业生到我县企业就业。细化校企合作激励措施，落实“金融+财政+土地+信用”组合式激励政策，对纳入产教融合型企业建设培育范围的   试点企业，兴办职业教育符合规定的投资，可按投资额30%的比例，抵免该企业当年应缴教育费附加和地方教育附加。</w:t>
            </w:r>
          </w:p>
        </w:tc>
        <w:tc>
          <w:tcPr>
            <w:tcW w:w="3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县发展改革局、县教育和体育局、县工业和信息化局、县人力资源社会保障局、县财政局、县自然资源局、县税务局</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35" w:hRule="atLeast"/>
          <w:tblCellSpacing w:w="15" w:type="dxa"/>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jc w:val="center"/>
            </w:pPr>
            <w:r>
              <w:rPr>
                <w:rFonts w:hint="eastAsia" w:ascii="微软雅黑" w:hAnsi="微软雅黑" w:eastAsia="微软雅黑" w:cs="微软雅黑"/>
                <w:sz w:val="24"/>
                <w:szCs w:val="24"/>
                <w:bdr w:val="none" w:color="auto" w:sz="0" w:space="0"/>
              </w:rPr>
              <w:t>9</w:t>
            </w:r>
          </w:p>
        </w:tc>
        <w:tc>
          <w:tcPr>
            <w:tcW w:w="77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围绕县新旧动能转换现代产业体系及省十强、市四强产业体系规划，建立专业预警调控机制，形成对接产业、结构合理的专业（群）体系。重点建设电子信息、智能装备、新材料、新医药等四强产业和现代农业相关专业。扶持现代服务业、新能源与节能环保等新兴产业紧缺专业。至2022年，争取3个专业群入选省高水平中职专业群。</w:t>
            </w:r>
          </w:p>
        </w:tc>
        <w:tc>
          <w:tcPr>
            <w:tcW w:w="3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县教育和体育局、县发展改革局、县人力资源社会保障局、县工业和信息化局、县财政局</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605" w:hRule="atLeast"/>
          <w:tblCellSpacing w:w="15" w:type="dxa"/>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jc w:val="center"/>
            </w:pPr>
            <w:r>
              <w:rPr>
                <w:rFonts w:hint="eastAsia" w:ascii="微软雅黑" w:hAnsi="微软雅黑" w:eastAsia="微软雅黑" w:cs="微软雅黑"/>
                <w:sz w:val="24"/>
                <w:szCs w:val="24"/>
                <w:bdr w:val="none" w:color="auto" w:sz="0" w:space="0"/>
              </w:rPr>
              <w:t>10</w:t>
            </w:r>
          </w:p>
        </w:tc>
        <w:tc>
          <w:tcPr>
            <w:tcW w:w="77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pPr>
            <w:r>
              <w:rPr>
                <w:rFonts w:hint="eastAsia" w:ascii="微软雅黑" w:hAnsi="微软雅黑" w:eastAsia="微软雅黑" w:cs="微软雅黑"/>
                <w:sz w:val="24"/>
                <w:szCs w:val="24"/>
                <w:bdr w:val="none" w:color="auto" w:sz="0" w:space="0"/>
              </w:rPr>
              <w:t> 推动“</w:t>
            </w:r>
            <w:r>
              <w:rPr>
                <w:rFonts w:hint="eastAsia" w:ascii="微软雅黑" w:hAnsi="微软雅黑" w:eastAsia="微软雅黑" w:cs="微软雅黑"/>
                <w:color w:val="000000"/>
                <w:sz w:val="24"/>
                <w:szCs w:val="24"/>
                <w:bdr w:val="none" w:color="auto" w:sz="0" w:space="0"/>
              </w:rPr>
              <w:t>双师型”教师队伍建设，争创1个省级“双师型”教师培训基地。培养10名县级技能名师、10名市级青年骨干技能名师、2名省级教学名师。培育1—2个市级优秀教学团队，开发20门以上在线开放精品课程。2022年职业教育“双师型”教师占专业课教师超过75%。</w:t>
            </w:r>
          </w:p>
        </w:tc>
        <w:tc>
          <w:tcPr>
            <w:tcW w:w="3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县教育和体育局、县人力资源社会保障局、县工业和信息化局、县财政局</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35" w:hRule="atLeast"/>
          <w:tblCellSpacing w:w="15" w:type="dxa"/>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jc w:val="center"/>
            </w:pPr>
            <w:r>
              <w:rPr>
                <w:rFonts w:hint="eastAsia" w:ascii="微软雅黑" w:hAnsi="微软雅黑" w:eastAsia="微软雅黑" w:cs="微软雅黑"/>
                <w:sz w:val="24"/>
                <w:szCs w:val="24"/>
                <w:bdr w:val="none" w:color="auto" w:sz="0" w:space="0"/>
              </w:rPr>
              <w:t>11</w:t>
            </w:r>
          </w:p>
        </w:tc>
        <w:tc>
          <w:tcPr>
            <w:tcW w:w="77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面向退役军人、下岗职工、农民工、去产能分流职工、建档立卡贫困劳动力、残疾人等开展职业教育和培训；面向企业职工开展岗位技术技能、安全技能培训和在职学历教育培训，促进行业企业从业人员文化技能素质全面提高。年培训总量1.5万人次以上</w:t>
            </w:r>
          </w:p>
        </w:tc>
        <w:tc>
          <w:tcPr>
            <w:tcW w:w="3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jc w:val="both"/>
            </w:pPr>
            <w:r>
              <w:rPr>
                <w:rFonts w:hint="eastAsia" w:ascii="微软雅黑" w:hAnsi="微软雅黑" w:eastAsia="微软雅黑" w:cs="微软雅黑"/>
                <w:sz w:val="24"/>
                <w:szCs w:val="24"/>
                <w:bdr w:val="none" w:color="auto" w:sz="0" w:space="0"/>
              </w:rPr>
              <w:t>县人力资源社会保障局、县工业和信息化局、县民政局、县财政局、县交通运输局、县农业农村局、县退役军人局、县应急局、县教育和体育局、县残联</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2021年9月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35" w:hRule="atLeast"/>
          <w:tblCellSpacing w:w="15" w:type="dxa"/>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jc w:val="center"/>
            </w:pPr>
            <w:r>
              <w:rPr>
                <w:rFonts w:hint="eastAsia" w:ascii="微软雅黑" w:hAnsi="微软雅黑" w:eastAsia="微软雅黑" w:cs="微软雅黑"/>
                <w:sz w:val="24"/>
                <w:szCs w:val="24"/>
                <w:bdr w:val="none" w:color="auto" w:sz="0" w:space="0"/>
              </w:rPr>
              <w:t>12</w:t>
            </w:r>
          </w:p>
        </w:tc>
        <w:tc>
          <w:tcPr>
            <w:tcW w:w="77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探索建立有突出贡献的技术技能人才在工会、团委、妇联等群团组织中兼任职务的制度，以及推荐符合条件的技术技能人才作为党代会代表、人大代表、政协委员、团代会代表等的人选的制度。清理对技术技能人才的歧视政策，畅通技术技能人才就业渠道。优化技能人才成长环境。落实技术技能人才休疗养制度。</w:t>
            </w:r>
          </w:p>
        </w:tc>
        <w:tc>
          <w:tcPr>
            <w:tcW w:w="3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县委组织部、县委统战部、县人大人代工作室、县政协办公室、县总工会、团县委、县妇联、县人力资源社会保障局、县财政局、县教育和体育局、各镇（街道）</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45" w:lineRule="atLeast"/>
            </w:pPr>
            <w:r>
              <w:rPr>
                <w:rFonts w:hint="eastAsia" w:ascii="微软雅黑" w:hAnsi="微软雅黑" w:eastAsia="微软雅黑" w:cs="微软雅黑"/>
                <w:sz w:val="24"/>
                <w:szCs w:val="24"/>
                <w:bdr w:val="none" w:color="auto" w:sz="0" w:space="0"/>
              </w:rPr>
              <w:t>2021年12月</w:t>
            </w:r>
          </w:p>
        </w:tc>
      </w:tr>
    </w:tbl>
    <w:p>
      <w:pPr>
        <w:pStyle w:val="2"/>
        <w:keepNext w:val="0"/>
        <w:keepLines w:val="0"/>
        <w:widowControl/>
        <w:suppressLineNumbers w:val="0"/>
        <w:spacing w:after="0" w:afterAutospacing="0"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after="0" w:afterAutospacing="0" w:line="368" w:lineRule="atLeast"/>
      </w:pPr>
      <w:r>
        <w:rPr>
          <w:rFonts w:hint="eastAsia" w:ascii="微软雅黑" w:hAnsi="微软雅黑" w:eastAsia="微软雅黑" w:cs="微软雅黑"/>
          <w:sz w:val="24"/>
          <w:szCs w:val="24"/>
        </w:rPr>
        <w:t>附件3</w:t>
      </w:r>
    </w:p>
    <w:p>
      <w:pPr>
        <w:pStyle w:val="2"/>
        <w:keepNext w:val="0"/>
        <w:keepLines w:val="0"/>
        <w:widowControl/>
        <w:suppressLineNumbers w:val="0"/>
        <w:spacing w:after="0" w:afterAutospacing="0" w:line="368" w:lineRule="atLeast"/>
      </w:pPr>
      <w:r>
        <w:t> </w:t>
      </w:r>
    </w:p>
    <w:p>
      <w:pPr>
        <w:pStyle w:val="2"/>
        <w:keepNext w:val="0"/>
        <w:keepLines w:val="0"/>
        <w:widowControl/>
        <w:suppressLineNumbers w:val="0"/>
        <w:spacing w:after="0" w:afterAutospacing="0" w:line="368" w:lineRule="atLeast"/>
        <w:jc w:val="center"/>
      </w:pPr>
      <w:r>
        <w:rPr>
          <w:rStyle w:val="5"/>
          <w:rFonts w:hint="eastAsia" w:ascii="微软雅黑" w:hAnsi="微软雅黑" w:eastAsia="微软雅黑" w:cs="微软雅黑"/>
          <w:sz w:val="24"/>
          <w:szCs w:val="24"/>
        </w:rPr>
        <w:t>沂源县职业教育提质培优高质量发展三年行动计划（2020—2022年）</w:t>
      </w:r>
    </w:p>
    <w:p>
      <w:pPr>
        <w:pStyle w:val="2"/>
        <w:keepNext w:val="0"/>
        <w:keepLines w:val="0"/>
        <w:widowControl/>
        <w:suppressLineNumbers w:val="0"/>
        <w:spacing w:after="0" w:afterAutospacing="0" w:line="368" w:lineRule="atLeast"/>
      </w:pPr>
      <w:r>
        <w:t> </w:t>
      </w:r>
    </w:p>
    <w:p>
      <w:pPr>
        <w:pStyle w:val="2"/>
        <w:keepNext w:val="0"/>
        <w:keepLines w:val="0"/>
        <w:widowControl/>
        <w:suppressLineNumbers w:val="0"/>
        <w:spacing w:after="0" w:afterAutospacing="0" w:line="368" w:lineRule="atLeast"/>
      </w:pPr>
      <w:r>
        <w:rPr>
          <w:rStyle w:val="5"/>
          <w:rFonts w:hint="eastAsia" w:ascii="微软雅黑" w:hAnsi="微软雅黑" w:eastAsia="微软雅黑" w:cs="微软雅黑"/>
          <w:sz w:val="24"/>
          <w:szCs w:val="24"/>
        </w:rPr>
        <w:t>    一、规模布局</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533"/>
        <w:gridCol w:w="1690"/>
        <w:gridCol w:w="1440"/>
        <w:gridCol w:w="1440"/>
        <w:gridCol w:w="1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tblCellSpacing w:w="15" w:type="dxa"/>
        </w:trPr>
        <w:tc>
          <w:tcPr>
            <w:tcW w:w="44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指标</w:t>
            </w:r>
          </w:p>
        </w:tc>
        <w:tc>
          <w:tcPr>
            <w:tcW w:w="27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2019年（现有基础）</w:t>
            </w:r>
          </w:p>
        </w:tc>
        <w:tc>
          <w:tcPr>
            <w:tcW w:w="22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2020年</w:t>
            </w:r>
          </w:p>
        </w:tc>
        <w:tc>
          <w:tcPr>
            <w:tcW w:w="22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2021年</w:t>
            </w:r>
          </w:p>
        </w:tc>
        <w:tc>
          <w:tcPr>
            <w:tcW w:w="21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blCellSpacing w:w="15" w:type="dxa"/>
        </w:trPr>
        <w:tc>
          <w:tcPr>
            <w:tcW w:w="4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pPr>
            <w:r>
              <w:rPr>
                <w:rFonts w:hint="eastAsia" w:ascii="微软雅黑" w:hAnsi="微软雅黑" w:eastAsia="微软雅黑" w:cs="微软雅黑"/>
                <w:sz w:val="24"/>
                <w:szCs w:val="24"/>
                <w:bdr w:val="none" w:color="auto" w:sz="0" w:space="0"/>
              </w:rPr>
              <w:t>高中阶段招生职普比</w:t>
            </w:r>
          </w:p>
        </w:tc>
        <w:tc>
          <w:tcPr>
            <w:tcW w:w="27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0.27</w:t>
            </w:r>
          </w:p>
        </w:tc>
        <w:tc>
          <w:tcPr>
            <w:tcW w:w="22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0.30</w:t>
            </w:r>
          </w:p>
        </w:tc>
        <w:tc>
          <w:tcPr>
            <w:tcW w:w="22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0.32</w:t>
            </w:r>
          </w:p>
        </w:tc>
        <w:tc>
          <w:tcPr>
            <w:tcW w:w="21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0.325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blCellSpacing w:w="15" w:type="dxa"/>
        </w:trPr>
        <w:tc>
          <w:tcPr>
            <w:tcW w:w="4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pPr>
            <w:r>
              <w:rPr>
                <w:rFonts w:hint="eastAsia" w:ascii="微软雅黑" w:hAnsi="微软雅黑" w:eastAsia="微软雅黑" w:cs="微软雅黑"/>
                <w:sz w:val="24"/>
                <w:szCs w:val="24"/>
                <w:bdr w:val="none" w:color="auto" w:sz="0" w:space="0"/>
              </w:rPr>
              <w:t>中职学校数量（所）</w:t>
            </w:r>
          </w:p>
        </w:tc>
        <w:tc>
          <w:tcPr>
            <w:tcW w:w="27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w:t>
            </w:r>
          </w:p>
        </w:tc>
        <w:tc>
          <w:tcPr>
            <w:tcW w:w="22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w:t>
            </w:r>
          </w:p>
        </w:tc>
        <w:tc>
          <w:tcPr>
            <w:tcW w:w="22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w:t>
            </w:r>
          </w:p>
        </w:tc>
        <w:tc>
          <w:tcPr>
            <w:tcW w:w="21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blCellSpacing w:w="15" w:type="dxa"/>
        </w:trPr>
        <w:tc>
          <w:tcPr>
            <w:tcW w:w="4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ind w:left="0" w:firstLine="480"/>
            </w:pPr>
            <w:r>
              <w:rPr>
                <w:rFonts w:hint="eastAsia" w:ascii="微软雅黑" w:hAnsi="微软雅黑" w:eastAsia="微软雅黑" w:cs="微软雅黑"/>
                <w:sz w:val="24"/>
                <w:szCs w:val="24"/>
                <w:bdr w:val="none" w:color="auto" w:sz="0" w:space="0"/>
              </w:rPr>
              <w:t>其中，综合性学校数量（所）</w:t>
            </w:r>
          </w:p>
        </w:tc>
        <w:tc>
          <w:tcPr>
            <w:tcW w:w="27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w:t>
            </w:r>
          </w:p>
        </w:tc>
        <w:tc>
          <w:tcPr>
            <w:tcW w:w="22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w:t>
            </w:r>
          </w:p>
        </w:tc>
        <w:tc>
          <w:tcPr>
            <w:tcW w:w="22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w:t>
            </w:r>
          </w:p>
        </w:tc>
        <w:tc>
          <w:tcPr>
            <w:tcW w:w="21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blCellSpacing w:w="15" w:type="dxa"/>
        </w:trPr>
        <w:tc>
          <w:tcPr>
            <w:tcW w:w="4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pPr>
            <w:r>
              <w:rPr>
                <w:rFonts w:hint="eastAsia" w:ascii="微软雅黑" w:hAnsi="微软雅黑" w:eastAsia="微软雅黑" w:cs="微软雅黑"/>
                <w:sz w:val="24"/>
                <w:szCs w:val="24"/>
                <w:bdr w:val="none" w:color="auto" w:sz="0" w:space="0"/>
              </w:rPr>
              <w:t>中职学校校均在校生规模（人）</w:t>
            </w:r>
          </w:p>
        </w:tc>
        <w:tc>
          <w:tcPr>
            <w:tcW w:w="27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3710</w:t>
            </w:r>
          </w:p>
        </w:tc>
        <w:tc>
          <w:tcPr>
            <w:tcW w:w="22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3810</w:t>
            </w:r>
          </w:p>
        </w:tc>
        <w:tc>
          <w:tcPr>
            <w:tcW w:w="22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4100</w:t>
            </w:r>
          </w:p>
        </w:tc>
        <w:tc>
          <w:tcPr>
            <w:tcW w:w="21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tblCellSpacing w:w="15" w:type="dxa"/>
        </w:trPr>
        <w:tc>
          <w:tcPr>
            <w:tcW w:w="4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pPr>
            <w:r>
              <w:rPr>
                <w:rFonts w:hint="eastAsia" w:ascii="微软雅黑" w:hAnsi="微软雅黑" w:eastAsia="微软雅黑" w:cs="微软雅黑"/>
                <w:sz w:val="24"/>
                <w:szCs w:val="24"/>
                <w:bdr w:val="none" w:color="auto" w:sz="0" w:space="0"/>
              </w:rPr>
              <w:t>举办五年制高职教育的中职学校数量（所）</w:t>
            </w:r>
          </w:p>
        </w:tc>
        <w:tc>
          <w:tcPr>
            <w:tcW w:w="27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0</w:t>
            </w:r>
          </w:p>
        </w:tc>
        <w:tc>
          <w:tcPr>
            <w:tcW w:w="22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0</w:t>
            </w:r>
          </w:p>
        </w:tc>
        <w:tc>
          <w:tcPr>
            <w:tcW w:w="22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0</w:t>
            </w:r>
          </w:p>
        </w:tc>
        <w:tc>
          <w:tcPr>
            <w:tcW w:w="21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w:t>
            </w:r>
          </w:p>
        </w:tc>
      </w:tr>
    </w:tbl>
    <w:p>
      <w:pPr>
        <w:pStyle w:val="2"/>
        <w:keepNext w:val="0"/>
        <w:keepLines w:val="0"/>
        <w:widowControl/>
        <w:suppressLineNumbers w:val="0"/>
        <w:spacing w:line="368" w:lineRule="atLeast"/>
      </w:pPr>
      <w:r>
        <w:t> </w:t>
      </w:r>
    </w:p>
    <w:p>
      <w:pPr>
        <w:pStyle w:val="2"/>
        <w:keepNext w:val="0"/>
        <w:keepLines w:val="0"/>
        <w:widowControl/>
        <w:suppressLineNumbers w:val="0"/>
        <w:spacing w:after="0" w:afterAutospacing="0" w:line="368" w:lineRule="atLeast"/>
        <w:ind w:left="0" w:firstLine="645"/>
      </w:pPr>
      <w:r>
        <w:rPr>
          <w:rStyle w:val="5"/>
          <w:rFonts w:hint="eastAsia" w:ascii="微软雅黑" w:hAnsi="微软雅黑" w:eastAsia="微软雅黑" w:cs="微软雅黑"/>
          <w:sz w:val="24"/>
          <w:szCs w:val="24"/>
        </w:rPr>
        <w:t>二、专业布局</w:t>
      </w:r>
    </w:p>
    <w:tbl>
      <w:tblPr>
        <w:tblW w:w="1392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07"/>
        <w:gridCol w:w="1514"/>
        <w:gridCol w:w="721"/>
        <w:gridCol w:w="821"/>
        <w:gridCol w:w="1412"/>
        <w:gridCol w:w="823"/>
        <w:gridCol w:w="849"/>
        <w:gridCol w:w="1412"/>
        <w:gridCol w:w="721"/>
        <w:gridCol w:w="849"/>
        <w:gridCol w:w="1412"/>
        <w:gridCol w:w="849"/>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blHeader/>
          <w:tblCellSpacing w:w="15" w:type="dxa"/>
        </w:trPr>
        <w:tc>
          <w:tcPr>
            <w:tcW w:w="1281"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产业</w:t>
            </w:r>
          </w:p>
        </w:tc>
        <w:tc>
          <w:tcPr>
            <w:tcW w:w="2348"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2019年（现有基础）</w:t>
            </w:r>
          </w:p>
        </w:tc>
        <w:tc>
          <w:tcPr>
            <w:tcW w:w="2453"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2020年</w:t>
            </w:r>
          </w:p>
        </w:tc>
        <w:tc>
          <w:tcPr>
            <w:tcW w:w="2369"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2021年</w:t>
            </w:r>
          </w:p>
        </w:tc>
        <w:tc>
          <w:tcPr>
            <w:tcW w:w="2528"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blHeader/>
          <w:tblCellSpacing w:w="15" w:type="dxa"/>
        </w:trPr>
        <w:tc>
          <w:tcPr>
            <w:tcW w:w="1281"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pacing w:val="0"/>
                <w:sz w:val="24"/>
                <w:szCs w:val="24"/>
                <w:bdr w:val="none" w:color="auto" w:sz="0" w:space="0"/>
              </w:rPr>
              <w:t>开设专业</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pacing w:val="0"/>
                <w:sz w:val="24"/>
                <w:szCs w:val="24"/>
                <w:bdr w:val="none" w:color="auto" w:sz="0" w:space="0"/>
              </w:rPr>
              <w:t>专业点数</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学生数</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pacing w:val="0"/>
                <w:sz w:val="24"/>
                <w:szCs w:val="24"/>
                <w:bdr w:val="none" w:color="auto" w:sz="0" w:space="0"/>
              </w:rPr>
              <w:t>开设专业</w:t>
            </w:r>
          </w:p>
        </w:tc>
        <w:tc>
          <w:tcPr>
            <w:tcW w:w="6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pacing w:val="0"/>
                <w:sz w:val="24"/>
                <w:szCs w:val="24"/>
                <w:bdr w:val="none" w:color="auto" w:sz="0" w:space="0"/>
              </w:rPr>
              <w:t>专业点数</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学生数</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pacing w:val="0"/>
                <w:sz w:val="24"/>
                <w:szCs w:val="24"/>
                <w:bdr w:val="none" w:color="auto" w:sz="0" w:space="0"/>
              </w:rPr>
              <w:t>开设专业</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pacing w:val="0"/>
                <w:sz w:val="24"/>
                <w:szCs w:val="24"/>
                <w:bdr w:val="none" w:color="auto" w:sz="0" w:space="0"/>
              </w:rPr>
              <w:t>专业点数</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学生数</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pacing w:val="0"/>
                <w:sz w:val="24"/>
                <w:szCs w:val="24"/>
                <w:bdr w:val="none" w:color="auto" w:sz="0" w:space="0"/>
              </w:rPr>
              <w:t>开设专业</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pacing w:val="0"/>
                <w:sz w:val="24"/>
                <w:szCs w:val="24"/>
                <w:bdr w:val="none" w:color="auto" w:sz="0" w:space="0"/>
              </w:rPr>
              <w:t>专业点数</w:t>
            </w:r>
          </w:p>
        </w:tc>
        <w:tc>
          <w:tcPr>
            <w:tcW w:w="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学生数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281"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新一代信息</w:t>
            </w:r>
          </w:p>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技术</w:t>
            </w:r>
          </w:p>
        </w:tc>
        <w:tc>
          <w:tcPr>
            <w:tcW w:w="121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计算机应用</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528</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计算机应用、计算机平面设计</w:t>
            </w:r>
          </w:p>
        </w:tc>
        <w:tc>
          <w:tcPr>
            <w:tcW w:w="6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625</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计算机应用、计算机平面设计</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631</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计算机应用、计算机平面设计</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w:t>
            </w:r>
          </w:p>
        </w:tc>
        <w:tc>
          <w:tcPr>
            <w:tcW w:w="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blCellSpacing w:w="15" w:type="dxa"/>
        </w:trPr>
        <w:tc>
          <w:tcPr>
            <w:tcW w:w="1281"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高端装备</w:t>
            </w:r>
          </w:p>
        </w:tc>
        <w:tc>
          <w:tcPr>
            <w:tcW w:w="121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数控技术应用、焊接技术应用</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270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数控技术应用、焊接技术应用</w:t>
            </w:r>
          </w:p>
        </w:tc>
        <w:tc>
          <w:tcPr>
            <w:tcW w:w="6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225</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数控技术应用、焊接技术应用</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240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数控技术应用、焊接技术应用</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w:t>
            </w:r>
          </w:p>
        </w:tc>
        <w:tc>
          <w:tcPr>
            <w:tcW w:w="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blCellSpacing w:w="15" w:type="dxa"/>
        </w:trPr>
        <w:tc>
          <w:tcPr>
            <w:tcW w:w="1281"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精品旅游</w:t>
            </w:r>
          </w:p>
        </w:tc>
        <w:tc>
          <w:tcPr>
            <w:tcW w:w="121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高星级饭店运营与管理</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220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高星级饭店运营与管理</w:t>
            </w:r>
          </w:p>
        </w:tc>
        <w:tc>
          <w:tcPr>
            <w:tcW w:w="6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240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旅游管理与服务</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50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旅游管理</w:t>
            </w:r>
          </w:p>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与服务</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trPr>
        <w:tc>
          <w:tcPr>
            <w:tcW w:w="1281"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现代金融服务</w:t>
            </w:r>
          </w:p>
        </w:tc>
        <w:tc>
          <w:tcPr>
            <w:tcW w:w="121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0</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w:t>
            </w:r>
          </w:p>
        </w:tc>
        <w:tc>
          <w:tcPr>
            <w:tcW w:w="6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0</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电子商务</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50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电子商务</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blCellSpacing w:w="15" w:type="dxa"/>
        </w:trPr>
        <w:tc>
          <w:tcPr>
            <w:tcW w:w="1281"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其他重点</w:t>
            </w:r>
          </w:p>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产业1</w:t>
            </w:r>
          </w:p>
        </w:tc>
        <w:tc>
          <w:tcPr>
            <w:tcW w:w="121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机电技术</w:t>
            </w:r>
          </w:p>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应用</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180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机电技术应用</w:t>
            </w:r>
          </w:p>
        </w:tc>
        <w:tc>
          <w:tcPr>
            <w:tcW w:w="6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280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机电技术应用</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200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机电技术</w:t>
            </w:r>
          </w:p>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应用</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1281"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其他重点</w:t>
            </w:r>
            <w:r>
              <w:rPr>
                <w:rFonts w:hint="eastAsia" w:ascii="微软雅黑" w:hAnsi="微软雅黑" w:eastAsia="微软雅黑" w:cs="微软雅黑"/>
                <w:sz w:val="24"/>
                <w:szCs w:val="24"/>
                <w:bdr w:val="none" w:color="auto" w:sz="0" w:space="0"/>
              </w:rPr>
              <w:br w:type="textWrapping"/>
            </w:r>
            <w:r>
              <w:rPr>
                <w:rFonts w:hint="eastAsia" w:ascii="微软雅黑" w:hAnsi="微软雅黑" w:eastAsia="微软雅黑" w:cs="微软雅黑"/>
                <w:sz w:val="24"/>
                <w:szCs w:val="24"/>
                <w:bdr w:val="none" w:color="auto" w:sz="0" w:space="0"/>
              </w:rPr>
              <w:t>  产业2</w:t>
            </w:r>
          </w:p>
        </w:tc>
        <w:tc>
          <w:tcPr>
            <w:tcW w:w="121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电子电器</w:t>
            </w:r>
          </w:p>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应用与维修</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400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电子电器应用与维修</w:t>
            </w:r>
          </w:p>
        </w:tc>
        <w:tc>
          <w:tcPr>
            <w:tcW w:w="6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420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电子电器应用与维修</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450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电子电器</w:t>
            </w:r>
          </w:p>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应用与维修</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1281"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电子技术</w:t>
            </w:r>
          </w:p>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应用</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510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电子技术应用</w:t>
            </w:r>
          </w:p>
        </w:tc>
        <w:tc>
          <w:tcPr>
            <w:tcW w:w="6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530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电子技术应用</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550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电子技术</w:t>
            </w:r>
          </w:p>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应用</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1281"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机械加工</w:t>
            </w:r>
          </w:p>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技术</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420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机械加工技术</w:t>
            </w:r>
          </w:p>
        </w:tc>
        <w:tc>
          <w:tcPr>
            <w:tcW w:w="6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420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机械加工技术</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430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机械加工</w:t>
            </w:r>
          </w:p>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技术</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1281"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服装设计与工艺</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77</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服装设计与工艺</w:t>
            </w:r>
          </w:p>
        </w:tc>
        <w:tc>
          <w:tcPr>
            <w:tcW w:w="6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90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服装设计与工艺</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100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服装设计</w:t>
            </w:r>
          </w:p>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与工艺</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trPr>
        <w:tc>
          <w:tcPr>
            <w:tcW w:w="1281"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学前教育</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496</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学前教育</w:t>
            </w:r>
          </w:p>
        </w:tc>
        <w:tc>
          <w:tcPr>
            <w:tcW w:w="6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436</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学前教育</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280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学前教育</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c>
          <w:tcPr>
            <w:tcW w:w="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1281"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85" w:lineRule="atLeast"/>
              <w:jc w:val="both"/>
            </w:pPr>
            <w:r>
              <w:rPr>
                <w:rFonts w:hint="eastAsia" w:ascii="微软雅黑" w:hAnsi="微软雅黑" w:eastAsia="微软雅黑" w:cs="微软雅黑"/>
                <w:sz w:val="24"/>
                <w:szCs w:val="24"/>
                <w:bdr w:val="none" w:color="auto" w:sz="0" w:space="0"/>
              </w:rPr>
              <w:t>幼儿保育</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85" w:lineRule="atLeast"/>
              <w:jc w:val="center"/>
            </w:pPr>
            <w:r>
              <w:rPr>
                <w:rFonts w:hint="eastAsia" w:ascii="微软雅黑" w:hAnsi="微软雅黑" w:eastAsia="微软雅黑" w:cs="微软雅黑"/>
                <w:sz w:val="24"/>
                <w:szCs w:val="24"/>
                <w:bdr w:val="none" w:color="auto" w:sz="0" w:space="0"/>
              </w:rPr>
              <w:t>1</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85" w:lineRule="atLeast"/>
              <w:jc w:val="center"/>
            </w:pPr>
            <w:r>
              <w:rPr>
                <w:rFonts w:hint="eastAsia" w:ascii="微软雅黑" w:hAnsi="微软雅黑" w:eastAsia="微软雅黑" w:cs="微软雅黑"/>
                <w:sz w:val="24"/>
                <w:szCs w:val="24"/>
                <w:bdr w:val="none" w:color="auto" w:sz="0" w:space="0"/>
              </w:rPr>
              <w:t>89</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85" w:lineRule="atLeast"/>
              <w:jc w:val="both"/>
            </w:pPr>
            <w:r>
              <w:rPr>
                <w:rFonts w:hint="eastAsia" w:ascii="微软雅黑" w:hAnsi="微软雅黑" w:eastAsia="微软雅黑" w:cs="微软雅黑"/>
                <w:sz w:val="24"/>
                <w:szCs w:val="24"/>
                <w:bdr w:val="none" w:color="auto" w:sz="0" w:space="0"/>
              </w:rPr>
              <w:t>幼儿保育</w:t>
            </w:r>
          </w:p>
        </w:tc>
        <w:tc>
          <w:tcPr>
            <w:tcW w:w="6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85" w:lineRule="atLeast"/>
              <w:jc w:val="center"/>
            </w:pPr>
            <w:r>
              <w:rPr>
                <w:rFonts w:hint="eastAsia" w:ascii="微软雅黑" w:hAnsi="微软雅黑" w:eastAsia="微软雅黑" w:cs="微软雅黑"/>
                <w:sz w:val="24"/>
                <w:szCs w:val="24"/>
                <w:bdr w:val="none" w:color="auto" w:sz="0" w:space="0"/>
              </w:rPr>
              <w:t>1</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85" w:lineRule="atLeast"/>
              <w:jc w:val="center"/>
            </w:pPr>
            <w:r>
              <w:rPr>
                <w:rFonts w:hint="eastAsia" w:ascii="微软雅黑" w:hAnsi="微软雅黑" w:eastAsia="微软雅黑" w:cs="微软雅黑"/>
                <w:sz w:val="24"/>
                <w:szCs w:val="24"/>
                <w:bdr w:val="none" w:color="auto" w:sz="0" w:space="0"/>
              </w:rPr>
              <w:t>180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85" w:lineRule="atLeast"/>
              <w:jc w:val="both"/>
            </w:pPr>
            <w:r>
              <w:rPr>
                <w:rFonts w:hint="eastAsia" w:ascii="微软雅黑" w:hAnsi="微软雅黑" w:eastAsia="微软雅黑" w:cs="微软雅黑"/>
                <w:sz w:val="24"/>
                <w:szCs w:val="24"/>
                <w:bdr w:val="none" w:color="auto" w:sz="0" w:space="0"/>
              </w:rPr>
              <w:t>幼儿保育</w:t>
            </w:r>
          </w:p>
        </w:tc>
        <w:tc>
          <w:tcPr>
            <w:tcW w:w="56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85" w:lineRule="atLeast"/>
              <w:jc w:val="center"/>
            </w:pPr>
            <w:r>
              <w:rPr>
                <w:rFonts w:hint="eastAsia" w:ascii="微软雅黑" w:hAnsi="微软雅黑" w:eastAsia="微软雅黑" w:cs="微软雅黑"/>
                <w:sz w:val="24"/>
                <w:szCs w:val="24"/>
                <w:bdr w:val="none" w:color="auto" w:sz="0" w:space="0"/>
              </w:rPr>
              <w:t>1</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85" w:lineRule="atLeast"/>
              <w:jc w:val="center"/>
            </w:pPr>
            <w:r>
              <w:rPr>
                <w:rFonts w:hint="eastAsia" w:ascii="微软雅黑" w:hAnsi="微软雅黑" w:eastAsia="微软雅黑" w:cs="微软雅黑"/>
                <w:sz w:val="24"/>
                <w:szCs w:val="24"/>
                <w:bdr w:val="none" w:color="auto" w:sz="0" w:space="0"/>
              </w:rPr>
              <w:t>180</w:t>
            </w:r>
          </w:p>
        </w:tc>
        <w:tc>
          <w:tcPr>
            <w:tcW w:w="113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85" w:lineRule="atLeast"/>
              <w:jc w:val="both"/>
            </w:pPr>
            <w:r>
              <w:rPr>
                <w:rFonts w:hint="eastAsia" w:ascii="微软雅黑" w:hAnsi="微软雅黑" w:eastAsia="微软雅黑" w:cs="微软雅黑"/>
                <w:sz w:val="24"/>
                <w:szCs w:val="24"/>
                <w:bdr w:val="none" w:color="auto" w:sz="0" w:space="0"/>
              </w:rPr>
              <w:t>幼儿保育</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85" w:lineRule="atLeast"/>
              <w:jc w:val="center"/>
            </w:pPr>
            <w:r>
              <w:rPr>
                <w:rFonts w:hint="eastAsia" w:ascii="微软雅黑" w:hAnsi="微软雅黑" w:eastAsia="微软雅黑" w:cs="微软雅黑"/>
                <w:sz w:val="24"/>
                <w:szCs w:val="24"/>
                <w:bdr w:val="none" w:color="auto" w:sz="0" w:space="0"/>
              </w:rPr>
              <w:t>1</w:t>
            </w:r>
          </w:p>
        </w:tc>
        <w:tc>
          <w:tcPr>
            <w:tcW w:w="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85" w:lineRule="atLeast"/>
              <w:jc w:val="center"/>
            </w:pPr>
            <w:r>
              <w:rPr>
                <w:rFonts w:hint="eastAsia" w:ascii="微软雅黑" w:hAnsi="微软雅黑" w:eastAsia="微软雅黑" w:cs="微软雅黑"/>
                <w:sz w:val="24"/>
                <w:szCs w:val="24"/>
                <w:bdr w:val="none" w:color="auto" w:sz="0" w:space="0"/>
              </w:rPr>
              <w:t>190</w:t>
            </w:r>
          </w:p>
        </w:tc>
      </w:tr>
    </w:tbl>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after="0" w:afterAutospacing="0" w:line="368" w:lineRule="atLeast"/>
        <w:ind w:left="0" w:firstLine="645"/>
      </w:pPr>
      <w:r>
        <w:rPr>
          <w:rStyle w:val="5"/>
          <w:rFonts w:hint="eastAsia" w:ascii="微软雅黑" w:hAnsi="微软雅黑" w:eastAsia="微软雅黑" w:cs="微软雅黑"/>
          <w:sz w:val="24"/>
          <w:szCs w:val="24"/>
        </w:rPr>
        <w:t>三、师资队伍</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733"/>
        <w:gridCol w:w="1267"/>
        <w:gridCol w:w="1664"/>
        <w:gridCol w:w="1483"/>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trPr>
        <w:tc>
          <w:tcPr>
            <w:tcW w:w="52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指标</w:t>
            </w:r>
          </w:p>
        </w:tc>
        <w:tc>
          <w:tcPr>
            <w:tcW w:w="15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2019年</w:t>
            </w:r>
          </w:p>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（现有基础）</w:t>
            </w:r>
          </w:p>
        </w:tc>
        <w:tc>
          <w:tcPr>
            <w:tcW w:w="24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2020年</w:t>
            </w:r>
          </w:p>
        </w:tc>
        <w:tc>
          <w:tcPr>
            <w:tcW w:w="20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2021年</w:t>
            </w:r>
          </w:p>
        </w:tc>
        <w:tc>
          <w:tcPr>
            <w:tcW w:w="18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2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both"/>
            </w:pPr>
            <w:r>
              <w:rPr>
                <w:rFonts w:hint="eastAsia" w:ascii="微软雅黑" w:hAnsi="微软雅黑" w:eastAsia="微软雅黑" w:cs="微软雅黑"/>
                <w:sz w:val="24"/>
                <w:szCs w:val="24"/>
                <w:bdr w:val="none" w:color="auto" w:sz="0" w:space="0"/>
              </w:rPr>
              <w:t>职业院校招聘教师数</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9</w:t>
            </w:r>
          </w:p>
        </w:tc>
        <w:tc>
          <w:tcPr>
            <w:tcW w:w="24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10</w:t>
            </w:r>
          </w:p>
        </w:tc>
        <w:tc>
          <w:tcPr>
            <w:tcW w:w="20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12</w:t>
            </w:r>
          </w:p>
        </w:tc>
        <w:tc>
          <w:tcPr>
            <w:tcW w:w="18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52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ind w:left="0" w:firstLine="480"/>
            </w:pPr>
            <w:r>
              <w:rPr>
                <w:rFonts w:hint="eastAsia" w:ascii="微软雅黑" w:hAnsi="微软雅黑" w:eastAsia="微软雅黑" w:cs="微软雅黑"/>
                <w:sz w:val="24"/>
                <w:szCs w:val="24"/>
                <w:bdr w:val="none" w:color="auto" w:sz="0" w:space="0"/>
              </w:rPr>
              <w:t>其中，招聘有3年以上企业工作经历的人数</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w:t>
            </w:r>
          </w:p>
        </w:tc>
        <w:tc>
          <w:tcPr>
            <w:tcW w:w="24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3</w:t>
            </w:r>
          </w:p>
        </w:tc>
        <w:tc>
          <w:tcPr>
            <w:tcW w:w="20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9</w:t>
            </w:r>
          </w:p>
        </w:tc>
        <w:tc>
          <w:tcPr>
            <w:tcW w:w="18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52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ind w:left="0" w:firstLine="480"/>
              <w:jc w:val="both"/>
            </w:pPr>
            <w:r>
              <w:rPr>
                <w:rFonts w:hint="eastAsia" w:ascii="微软雅黑" w:hAnsi="微软雅黑" w:eastAsia="微软雅黑" w:cs="微软雅黑"/>
                <w:sz w:val="24"/>
                <w:szCs w:val="24"/>
                <w:bdr w:val="none" w:color="auto" w:sz="0" w:space="0"/>
              </w:rPr>
              <w:t>其中，招聘有相关专业技术资格的人数</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w:t>
            </w:r>
          </w:p>
        </w:tc>
        <w:tc>
          <w:tcPr>
            <w:tcW w:w="24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w:t>
            </w:r>
          </w:p>
        </w:tc>
        <w:tc>
          <w:tcPr>
            <w:tcW w:w="20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2</w:t>
            </w:r>
          </w:p>
        </w:tc>
        <w:tc>
          <w:tcPr>
            <w:tcW w:w="18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blCellSpacing w:w="15" w:type="dxa"/>
        </w:trPr>
        <w:tc>
          <w:tcPr>
            <w:tcW w:w="52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both"/>
            </w:pPr>
            <w:r>
              <w:rPr>
                <w:rFonts w:hint="eastAsia" w:ascii="微软雅黑" w:hAnsi="微软雅黑" w:eastAsia="微软雅黑" w:cs="微软雅黑"/>
                <w:sz w:val="24"/>
                <w:szCs w:val="24"/>
                <w:bdr w:val="none" w:color="auto" w:sz="0" w:space="0"/>
              </w:rPr>
              <w:t>中职学校生师比（在校生数/专任教师数）</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1：18.4</w:t>
            </w:r>
          </w:p>
        </w:tc>
        <w:tc>
          <w:tcPr>
            <w:tcW w:w="24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1：17.4</w:t>
            </w:r>
          </w:p>
        </w:tc>
        <w:tc>
          <w:tcPr>
            <w:tcW w:w="20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1：16.2</w:t>
            </w:r>
          </w:p>
        </w:tc>
        <w:tc>
          <w:tcPr>
            <w:tcW w:w="18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blCellSpacing w:w="15" w:type="dxa"/>
        </w:trPr>
        <w:tc>
          <w:tcPr>
            <w:tcW w:w="52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both"/>
            </w:pPr>
            <w:r>
              <w:rPr>
                <w:rFonts w:hint="eastAsia" w:ascii="微软雅黑" w:hAnsi="微软雅黑" w:eastAsia="微软雅黑" w:cs="微软雅黑"/>
                <w:sz w:val="24"/>
                <w:szCs w:val="24"/>
                <w:bdr w:val="none" w:color="auto" w:sz="0" w:space="0"/>
              </w:rPr>
              <w:t>中职学校“双师型”教师比例（“双师型”教师数/专业课教师总数）</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74.48%</w:t>
            </w:r>
          </w:p>
        </w:tc>
        <w:tc>
          <w:tcPr>
            <w:tcW w:w="24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74.83%</w:t>
            </w:r>
          </w:p>
        </w:tc>
        <w:tc>
          <w:tcPr>
            <w:tcW w:w="20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75.17%</w:t>
            </w:r>
          </w:p>
        </w:tc>
        <w:tc>
          <w:tcPr>
            <w:tcW w:w="18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75.64%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blCellSpacing w:w="15" w:type="dxa"/>
        </w:trPr>
        <w:tc>
          <w:tcPr>
            <w:tcW w:w="52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both"/>
            </w:pPr>
            <w:r>
              <w:rPr>
                <w:rFonts w:hint="eastAsia" w:ascii="微软雅黑" w:hAnsi="微软雅黑" w:eastAsia="微软雅黑" w:cs="微软雅黑"/>
                <w:sz w:val="24"/>
                <w:szCs w:val="24"/>
                <w:bdr w:val="none" w:color="auto" w:sz="0" w:space="0"/>
              </w:rPr>
              <w:t>职业院校高层次技术技能人才数量（人）</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13</w:t>
            </w:r>
          </w:p>
        </w:tc>
        <w:tc>
          <w:tcPr>
            <w:tcW w:w="24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15</w:t>
            </w:r>
          </w:p>
        </w:tc>
        <w:tc>
          <w:tcPr>
            <w:tcW w:w="20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17</w:t>
            </w:r>
          </w:p>
        </w:tc>
        <w:tc>
          <w:tcPr>
            <w:tcW w:w="18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405" w:lineRule="atLeast"/>
              <w:jc w:val="center"/>
            </w:pPr>
            <w:r>
              <w:rPr>
                <w:rFonts w:hint="eastAsia" w:ascii="微软雅黑" w:hAnsi="微软雅黑" w:eastAsia="微软雅黑" w:cs="微软雅黑"/>
                <w:sz w:val="24"/>
                <w:szCs w:val="24"/>
                <w:bdr w:val="none" w:color="auto" w:sz="0" w:space="0"/>
              </w:rPr>
              <w:t>19</w:t>
            </w:r>
          </w:p>
        </w:tc>
      </w:tr>
    </w:tbl>
    <w:p>
      <w:pPr>
        <w:pStyle w:val="2"/>
        <w:keepNext w:val="0"/>
        <w:keepLines w:val="0"/>
        <w:widowControl/>
        <w:suppressLineNumbers w:val="0"/>
        <w:spacing w:after="0" w:afterAutospacing="0" w:line="368" w:lineRule="atLeast"/>
        <w:ind w:left="0" w:firstLine="645"/>
      </w:pPr>
      <w:r>
        <w:rPr>
          <w:rStyle w:val="5"/>
          <w:rFonts w:hint="eastAsia" w:ascii="微软雅黑" w:hAnsi="微软雅黑" w:eastAsia="微软雅黑" w:cs="微软雅黑"/>
          <w:sz w:val="24"/>
          <w:szCs w:val="24"/>
        </w:rPr>
        <w:t>四、实训基地</w:t>
      </w:r>
    </w:p>
    <w:tbl>
      <w:tblPr>
        <w:tblW w:w="3647" w:type="pct"/>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69"/>
        <w:gridCol w:w="1158"/>
        <w:gridCol w:w="1149"/>
        <w:gridCol w:w="1149"/>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1308" w:type="pct"/>
            <w:tcBorders>
              <w:top w:val="single" w:color="auto" w:sz="6" w:space="0"/>
              <w:left w:val="single" w:color="auto" w:sz="6" w:space="0"/>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jc w:val="center"/>
            </w:pPr>
            <w:r>
              <w:rPr>
                <w:rFonts w:hint="eastAsia" w:ascii="微软雅黑" w:hAnsi="微软雅黑" w:eastAsia="微软雅黑" w:cs="微软雅黑"/>
                <w:sz w:val="24"/>
                <w:szCs w:val="24"/>
                <w:bdr w:val="none" w:color="auto" w:sz="0" w:space="0"/>
              </w:rPr>
              <w:t>指标</w:t>
            </w:r>
          </w:p>
        </w:tc>
        <w:tc>
          <w:tcPr>
            <w:tcW w:w="850" w:type="pct"/>
            <w:tcBorders>
              <w:top w:val="single" w:color="auto" w:sz="6" w:space="0"/>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jc w:val="center"/>
            </w:pPr>
            <w:r>
              <w:rPr>
                <w:rFonts w:hint="eastAsia" w:ascii="微软雅黑" w:hAnsi="微软雅黑" w:eastAsia="微软雅黑" w:cs="微软雅黑"/>
                <w:sz w:val="24"/>
                <w:szCs w:val="24"/>
                <w:bdr w:val="none" w:color="auto" w:sz="0" w:space="0"/>
              </w:rPr>
              <w:t>2019年（现有基础）</w:t>
            </w:r>
          </w:p>
        </w:tc>
        <w:tc>
          <w:tcPr>
            <w:tcW w:w="850" w:type="pct"/>
            <w:tcBorders>
              <w:top w:val="single" w:color="auto" w:sz="6" w:space="0"/>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jc w:val="center"/>
            </w:pPr>
            <w:r>
              <w:rPr>
                <w:rFonts w:hint="eastAsia" w:ascii="微软雅黑" w:hAnsi="微软雅黑" w:eastAsia="微软雅黑" w:cs="微软雅黑"/>
                <w:sz w:val="24"/>
                <w:szCs w:val="24"/>
                <w:bdr w:val="none" w:color="auto" w:sz="0" w:space="0"/>
              </w:rPr>
              <w:t>2020年</w:t>
            </w:r>
          </w:p>
        </w:tc>
        <w:tc>
          <w:tcPr>
            <w:tcW w:w="850" w:type="pct"/>
            <w:tcBorders>
              <w:top w:val="single" w:color="auto" w:sz="6" w:space="0"/>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jc w:val="center"/>
            </w:pPr>
            <w:r>
              <w:rPr>
                <w:rFonts w:hint="eastAsia" w:ascii="微软雅黑" w:hAnsi="微软雅黑" w:eastAsia="微软雅黑" w:cs="微软雅黑"/>
                <w:sz w:val="24"/>
                <w:szCs w:val="24"/>
                <w:bdr w:val="none" w:color="auto" w:sz="0" w:space="0"/>
              </w:rPr>
              <w:t>2021年</w:t>
            </w:r>
          </w:p>
        </w:tc>
        <w:tc>
          <w:tcPr>
            <w:tcW w:w="761" w:type="pct"/>
            <w:tcBorders>
              <w:top w:val="single" w:color="auto" w:sz="6" w:space="0"/>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jc w:val="center"/>
            </w:pPr>
            <w:r>
              <w:rPr>
                <w:rFonts w:hint="eastAsia" w:ascii="微软雅黑" w:hAnsi="微软雅黑" w:eastAsia="微软雅黑" w:cs="微软雅黑"/>
                <w:sz w:val="24"/>
                <w:szCs w:val="24"/>
                <w:bdr w:val="none" w:color="auto" w:sz="0" w:space="0"/>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1308" w:type="pct"/>
            <w:tcBorders>
              <w:top w:val="nil"/>
              <w:left w:val="single" w:color="auto" w:sz="6" w:space="0"/>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共享性的大型智能（仿真）实习实训基地（个）</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0</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0</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0</w:t>
            </w:r>
          </w:p>
        </w:tc>
        <w:tc>
          <w:tcPr>
            <w:tcW w:w="761"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blCellSpacing w:w="15" w:type="dxa"/>
        </w:trPr>
        <w:tc>
          <w:tcPr>
            <w:tcW w:w="1308" w:type="pct"/>
            <w:tcBorders>
              <w:top w:val="nil"/>
              <w:left w:val="single" w:color="auto" w:sz="6" w:space="0"/>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校内实训基地（个）</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4</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4</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4</w:t>
            </w:r>
          </w:p>
        </w:tc>
        <w:tc>
          <w:tcPr>
            <w:tcW w:w="761"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1308" w:type="pct"/>
            <w:tcBorders>
              <w:top w:val="nil"/>
              <w:left w:val="single" w:color="auto" w:sz="6" w:space="0"/>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校内实训基地工位数（个）</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1936</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1936</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2000</w:t>
            </w:r>
          </w:p>
        </w:tc>
        <w:tc>
          <w:tcPr>
            <w:tcW w:w="761"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blCellSpacing w:w="15" w:type="dxa"/>
        </w:trPr>
        <w:tc>
          <w:tcPr>
            <w:tcW w:w="1308" w:type="pct"/>
            <w:tcBorders>
              <w:top w:val="nil"/>
              <w:left w:val="single" w:color="auto" w:sz="6" w:space="0"/>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校内实训基地生均工位数（个）</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0.48</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0.48</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0.49</w:t>
            </w:r>
          </w:p>
        </w:tc>
        <w:tc>
          <w:tcPr>
            <w:tcW w:w="761"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1308" w:type="pct"/>
            <w:tcBorders>
              <w:top w:val="nil"/>
              <w:left w:val="single" w:color="auto" w:sz="6" w:space="0"/>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校内实习实训设备仪器总值（万元）</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3070.55</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3100</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3500</w:t>
            </w:r>
          </w:p>
        </w:tc>
        <w:tc>
          <w:tcPr>
            <w:tcW w:w="761"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3757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1308" w:type="pct"/>
            <w:tcBorders>
              <w:top w:val="nil"/>
              <w:left w:val="single" w:color="auto" w:sz="6" w:space="0"/>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both"/>
            </w:pPr>
            <w:r>
              <w:rPr>
                <w:rFonts w:hint="eastAsia" w:ascii="微软雅黑" w:hAnsi="微软雅黑" w:eastAsia="微软雅黑" w:cs="微软雅黑"/>
                <w:sz w:val="24"/>
                <w:szCs w:val="24"/>
                <w:bdr w:val="none" w:color="auto" w:sz="0" w:space="0"/>
              </w:rPr>
              <w:t>校内生均实习实训设备仪器值（万元）</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0.7604</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0.7700</w:t>
            </w:r>
          </w:p>
        </w:tc>
        <w:tc>
          <w:tcPr>
            <w:tcW w:w="850"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0.8537</w:t>
            </w:r>
          </w:p>
        </w:tc>
        <w:tc>
          <w:tcPr>
            <w:tcW w:w="761" w:type="pct"/>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0.8945</w:t>
            </w:r>
          </w:p>
        </w:tc>
      </w:tr>
    </w:tbl>
    <w:p>
      <w:pPr>
        <w:pStyle w:val="2"/>
        <w:keepNext w:val="0"/>
        <w:keepLines w:val="0"/>
        <w:widowControl/>
        <w:suppressLineNumbers w:val="0"/>
        <w:spacing w:after="0" w:afterAutospacing="0" w:line="368" w:lineRule="atLeast"/>
        <w:ind w:left="0" w:firstLine="645"/>
      </w:pPr>
      <w:r>
        <w:t> </w:t>
      </w:r>
    </w:p>
    <w:p>
      <w:pPr>
        <w:pStyle w:val="2"/>
        <w:keepNext w:val="0"/>
        <w:keepLines w:val="0"/>
        <w:widowControl/>
        <w:suppressLineNumbers w:val="0"/>
        <w:spacing w:after="0" w:afterAutospacing="0" w:line="368" w:lineRule="atLeast"/>
        <w:ind w:left="0" w:firstLine="645"/>
      </w:pPr>
      <w:r>
        <w:rPr>
          <w:rStyle w:val="5"/>
          <w:rFonts w:hint="eastAsia" w:ascii="微软雅黑" w:hAnsi="微软雅黑" w:eastAsia="微软雅黑" w:cs="微软雅黑"/>
          <w:sz w:val="24"/>
          <w:szCs w:val="24"/>
        </w:rPr>
        <w:t>五、经费投入</w:t>
      </w:r>
    </w:p>
    <w:tbl>
      <w:tblPr>
        <w:tblW w:w="1398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167"/>
        <w:gridCol w:w="2740"/>
        <w:gridCol w:w="2254"/>
        <w:gridCol w:w="1596"/>
        <w:gridCol w:w="2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blCellSpacing w:w="15" w:type="dxa"/>
        </w:trPr>
        <w:tc>
          <w:tcPr>
            <w:tcW w:w="49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指标</w:t>
            </w:r>
          </w:p>
        </w:tc>
        <w:tc>
          <w:tcPr>
            <w:tcW w:w="259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2019年（现有基础）</w:t>
            </w:r>
          </w:p>
        </w:tc>
        <w:tc>
          <w:tcPr>
            <w:tcW w:w="21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2020年</w:t>
            </w:r>
          </w:p>
        </w:tc>
        <w:tc>
          <w:tcPr>
            <w:tcW w:w="15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2021年</w:t>
            </w:r>
          </w:p>
        </w:tc>
        <w:tc>
          <w:tcPr>
            <w:tcW w:w="20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49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pPr>
            <w:r>
              <w:rPr>
                <w:rFonts w:hint="eastAsia" w:ascii="微软雅黑" w:hAnsi="微软雅黑" w:eastAsia="微软雅黑" w:cs="微软雅黑"/>
                <w:sz w:val="24"/>
                <w:szCs w:val="24"/>
                <w:bdr w:val="none" w:color="auto" w:sz="0" w:space="0"/>
              </w:rPr>
              <w:t>财政性职业教育经费总投入（万元）</w:t>
            </w:r>
          </w:p>
        </w:tc>
        <w:tc>
          <w:tcPr>
            <w:tcW w:w="25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1179</w:t>
            </w: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1290</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1350</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49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pPr>
            <w:r>
              <w:rPr>
                <w:rFonts w:hint="eastAsia" w:ascii="微软雅黑" w:hAnsi="微软雅黑" w:eastAsia="微软雅黑" w:cs="微软雅黑"/>
                <w:sz w:val="24"/>
                <w:szCs w:val="24"/>
                <w:bdr w:val="none" w:color="auto" w:sz="0" w:space="0"/>
              </w:rPr>
              <w:t>县级职业教育专项经费投入（万元）</w:t>
            </w:r>
          </w:p>
        </w:tc>
        <w:tc>
          <w:tcPr>
            <w:tcW w:w="25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529</w:t>
            </w: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320</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490</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49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pPr>
            <w:r>
              <w:rPr>
                <w:rFonts w:hint="eastAsia" w:ascii="微软雅黑" w:hAnsi="微软雅黑" w:eastAsia="微软雅黑" w:cs="微软雅黑"/>
                <w:sz w:val="24"/>
                <w:szCs w:val="24"/>
                <w:bdr w:val="none" w:color="auto" w:sz="0" w:space="0"/>
              </w:rPr>
              <w:t>中职财政投入总额（万元）</w:t>
            </w:r>
          </w:p>
        </w:tc>
        <w:tc>
          <w:tcPr>
            <w:tcW w:w="25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1708</w:t>
            </w: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1610</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1840</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2090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49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pPr>
            <w:r>
              <w:rPr>
                <w:rFonts w:hint="eastAsia" w:ascii="微软雅黑" w:hAnsi="微软雅黑" w:eastAsia="微软雅黑" w:cs="微软雅黑"/>
                <w:sz w:val="24"/>
                <w:szCs w:val="24"/>
                <w:bdr w:val="none" w:color="auto" w:sz="0" w:space="0"/>
              </w:rPr>
              <w:t>中职生均拨款（万元）</w:t>
            </w:r>
          </w:p>
        </w:tc>
        <w:tc>
          <w:tcPr>
            <w:tcW w:w="25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0.28或0.33</w:t>
            </w: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0.28或0.33</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0.38或0.43</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0.38或0.43</w:t>
            </w:r>
          </w:p>
        </w:tc>
      </w:tr>
    </w:tbl>
    <w:p>
      <w:pPr>
        <w:pStyle w:val="2"/>
        <w:keepNext w:val="0"/>
        <w:keepLines w:val="0"/>
        <w:widowControl/>
        <w:suppressLineNumbers w:val="0"/>
        <w:spacing w:after="0" w:afterAutospacing="0" w:line="368" w:lineRule="atLeast"/>
        <w:ind w:left="0" w:firstLine="645"/>
      </w:pPr>
      <w:r>
        <w:rPr>
          <w:rStyle w:val="5"/>
          <w:rFonts w:hint="eastAsia" w:ascii="微软雅黑" w:hAnsi="微软雅黑" w:eastAsia="微软雅黑" w:cs="微软雅黑"/>
          <w:sz w:val="24"/>
          <w:szCs w:val="24"/>
        </w:rPr>
        <w:t>六、社会培训</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51"/>
        <w:gridCol w:w="1891"/>
        <w:gridCol w:w="1544"/>
        <w:gridCol w:w="1626"/>
        <w:gridCol w:w="1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tblCellSpacing w:w="15" w:type="dxa"/>
        </w:trPr>
        <w:tc>
          <w:tcPr>
            <w:tcW w:w="3540" w:type="dxa"/>
            <w:tcBorders>
              <w:top w:val="single" w:color="auto" w:sz="6" w:space="0"/>
              <w:left w:val="single" w:color="auto" w:sz="6" w:space="0"/>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指标</w:t>
            </w:r>
          </w:p>
        </w:tc>
        <w:tc>
          <w:tcPr>
            <w:tcW w:w="3180" w:type="dxa"/>
            <w:tcBorders>
              <w:top w:val="single" w:color="auto" w:sz="6" w:space="0"/>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2019年（现有基础）</w:t>
            </w:r>
          </w:p>
        </w:tc>
        <w:tc>
          <w:tcPr>
            <w:tcW w:w="2355" w:type="dxa"/>
            <w:tcBorders>
              <w:top w:val="single" w:color="auto" w:sz="6" w:space="0"/>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2020年</w:t>
            </w:r>
          </w:p>
        </w:tc>
        <w:tc>
          <w:tcPr>
            <w:tcW w:w="2550" w:type="dxa"/>
            <w:tcBorders>
              <w:top w:val="single" w:color="auto" w:sz="6" w:space="0"/>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2021年</w:t>
            </w:r>
          </w:p>
        </w:tc>
        <w:tc>
          <w:tcPr>
            <w:tcW w:w="2385" w:type="dxa"/>
            <w:tcBorders>
              <w:top w:val="single" w:color="auto" w:sz="6" w:space="0"/>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255" w:lineRule="atLeast"/>
              <w:jc w:val="center"/>
            </w:pPr>
            <w:r>
              <w:rPr>
                <w:rFonts w:hint="eastAsia" w:ascii="微软雅黑" w:hAnsi="微软雅黑" w:eastAsia="微软雅黑" w:cs="微软雅黑"/>
                <w:sz w:val="24"/>
                <w:szCs w:val="24"/>
                <w:bdr w:val="none" w:color="auto" w:sz="0" w:space="0"/>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3540" w:type="dxa"/>
            <w:tcBorders>
              <w:top w:val="nil"/>
              <w:left w:val="single" w:color="auto" w:sz="6" w:space="0"/>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pPr>
            <w:r>
              <w:rPr>
                <w:rFonts w:hint="eastAsia" w:ascii="微软雅黑" w:hAnsi="微软雅黑" w:eastAsia="微软雅黑" w:cs="微软雅黑"/>
                <w:sz w:val="24"/>
                <w:szCs w:val="24"/>
                <w:bdr w:val="none" w:color="auto" w:sz="0" w:space="0"/>
              </w:rPr>
              <w:t>培训规模（人次）</w:t>
            </w:r>
          </w:p>
        </w:tc>
        <w:tc>
          <w:tcPr>
            <w:tcW w:w="3180"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6000</w:t>
            </w:r>
          </w:p>
        </w:tc>
        <w:tc>
          <w:tcPr>
            <w:tcW w:w="2355"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7000</w:t>
            </w:r>
          </w:p>
        </w:tc>
        <w:tc>
          <w:tcPr>
            <w:tcW w:w="2550"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8000</w:t>
            </w:r>
          </w:p>
        </w:tc>
        <w:tc>
          <w:tcPr>
            <w:tcW w:w="2385"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3540" w:type="dxa"/>
            <w:tcBorders>
              <w:top w:val="nil"/>
              <w:left w:val="single" w:color="auto" w:sz="6" w:space="0"/>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pPr>
            <w:r>
              <w:rPr>
                <w:rFonts w:hint="eastAsia" w:ascii="微软雅黑" w:hAnsi="微软雅黑" w:eastAsia="微软雅黑" w:cs="微软雅黑"/>
                <w:sz w:val="24"/>
                <w:szCs w:val="24"/>
                <w:bdr w:val="none" w:color="auto" w:sz="0" w:space="0"/>
              </w:rPr>
              <w:t>培训规模与全日制在校生比例</w:t>
            </w:r>
          </w:p>
        </w:tc>
        <w:tc>
          <w:tcPr>
            <w:tcW w:w="3180"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1.49:1</w:t>
            </w:r>
          </w:p>
        </w:tc>
        <w:tc>
          <w:tcPr>
            <w:tcW w:w="2355"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1.73:1</w:t>
            </w:r>
          </w:p>
        </w:tc>
        <w:tc>
          <w:tcPr>
            <w:tcW w:w="2550"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1.95:1</w:t>
            </w:r>
          </w:p>
        </w:tc>
        <w:tc>
          <w:tcPr>
            <w:tcW w:w="2385"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2.14:1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3540" w:type="dxa"/>
            <w:tcBorders>
              <w:top w:val="nil"/>
              <w:left w:val="single" w:color="auto" w:sz="6" w:space="0"/>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pPr>
            <w:r>
              <w:rPr>
                <w:rFonts w:hint="eastAsia" w:ascii="微软雅黑" w:hAnsi="微软雅黑" w:eastAsia="微软雅黑" w:cs="微软雅黑"/>
                <w:sz w:val="24"/>
                <w:szCs w:val="24"/>
                <w:bdr w:val="none" w:color="auto" w:sz="0" w:space="0"/>
              </w:rPr>
              <w:t>承担补贴性培训规模（人/日）</w:t>
            </w:r>
          </w:p>
        </w:tc>
        <w:tc>
          <w:tcPr>
            <w:tcW w:w="3180"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79</w:t>
            </w:r>
          </w:p>
        </w:tc>
        <w:tc>
          <w:tcPr>
            <w:tcW w:w="2355"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105</w:t>
            </w:r>
          </w:p>
        </w:tc>
        <w:tc>
          <w:tcPr>
            <w:tcW w:w="2550"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110</w:t>
            </w:r>
          </w:p>
        </w:tc>
        <w:tc>
          <w:tcPr>
            <w:tcW w:w="2385"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3540" w:type="dxa"/>
            <w:tcBorders>
              <w:top w:val="nil"/>
              <w:left w:val="single" w:color="auto" w:sz="6" w:space="0"/>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pPr>
            <w:r>
              <w:rPr>
                <w:rFonts w:hint="eastAsia" w:ascii="微软雅黑" w:hAnsi="微软雅黑" w:eastAsia="微软雅黑" w:cs="微软雅黑"/>
                <w:sz w:val="24"/>
                <w:szCs w:val="24"/>
                <w:bdr w:val="none" w:color="auto" w:sz="0" w:space="0"/>
              </w:rPr>
              <w:t>培训到款额（万元）</w:t>
            </w:r>
          </w:p>
        </w:tc>
        <w:tc>
          <w:tcPr>
            <w:tcW w:w="3180"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75</w:t>
            </w:r>
          </w:p>
        </w:tc>
        <w:tc>
          <w:tcPr>
            <w:tcW w:w="2355"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112</w:t>
            </w:r>
          </w:p>
        </w:tc>
        <w:tc>
          <w:tcPr>
            <w:tcW w:w="2550"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133</w:t>
            </w:r>
          </w:p>
        </w:tc>
        <w:tc>
          <w:tcPr>
            <w:tcW w:w="2385"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blCellSpacing w:w="15" w:type="dxa"/>
        </w:trPr>
        <w:tc>
          <w:tcPr>
            <w:tcW w:w="3540" w:type="dxa"/>
            <w:tcBorders>
              <w:top w:val="nil"/>
              <w:left w:val="single" w:color="auto" w:sz="6" w:space="0"/>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pPr>
            <w:r>
              <w:rPr>
                <w:rFonts w:hint="eastAsia" w:ascii="微软雅黑" w:hAnsi="微软雅黑" w:eastAsia="微软雅黑" w:cs="微软雅黑"/>
                <w:sz w:val="24"/>
                <w:szCs w:val="24"/>
                <w:bdr w:val="none" w:color="auto" w:sz="0" w:space="0"/>
              </w:rPr>
              <w:t>退役军人、下岗失业人员、去产能分流职工、农民工、建档立卡贫困劳动力、残疾人等培训规模（人/日）</w:t>
            </w:r>
          </w:p>
        </w:tc>
        <w:tc>
          <w:tcPr>
            <w:tcW w:w="3180"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0</w:t>
            </w:r>
          </w:p>
        </w:tc>
        <w:tc>
          <w:tcPr>
            <w:tcW w:w="2355"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30</w:t>
            </w:r>
          </w:p>
        </w:tc>
        <w:tc>
          <w:tcPr>
            <w:tcW w:w="2550"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50</w:t>
            </w:r>
          </w:p>
        </w:tc>
        <w:tc>
          <w:tcPr>
            <w:tcW w:w="2385" w:type="dxa"/>
            <w:tcBorders>
              <w:top w:val="nil"/>
              <w:left w:val="nil"/>
              <w:bottom w:val="single" w:color="auto" w:sz="6" w:space="0"/>
              <w:right w:val="single" w:color="auto" w:sz="6" w:space="0"/>
            </w:tcBorders>
            <w:shd w:val="clear"/>
            <w:tcMar>
              <w:top w:w="30" w:type="dxa"/>
              <w:left w:w="105" w:type="dxa"/>
              <w:bottom w:w="30" w:type="dxa"/>
              <w:right w:w="105" w:type="dxa"/>
            </w:tcMar>
            <w:vAlign w:val="center"/>
          </w:tcPr>
          <w:p>
            <w:pPr>
              <w:pStyle w:val="2"/>
              <w:keepNext w:val="0"/>
              <w:keepLines w:val="0"/>
              <w:widowControl/>
              <w:suppressLineNumbers w:val="0"/>
              <w:spacing w:after="0" w:afterAutospacing="0" w:line="360" w:lineRule="atLeast"/>
              <w:jc w:val="center"/>
            </w:pPr>
            <w:r>
              <w:rPr>
                <w:rFonts w:hint="eastAsia" w:ascii="微软雅黑" w:hAnsi="微软雅黑" w:eastAsia="微软雅黑" w:cs="微软雅黑"/>
                <w:sz w:val="24"/>
                <w:szCs w:val="24"/>
                <w:bdr w:val="none" w:color="auto" w:sz="0" w:space="0"/>
              </w:rPr>
              <w:t>60</w:t>
            </w:r>
          </w:p>
        </w:tc>
      </w:tr>
    </w:tbl>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rPr>
          <w:rFonts w:hint="eastAsia"/>
          <w:lang w:eastAsia="zh-CN"/>
        </w:rPr>
      </w:pPr>
    </w:p>
    <w:sectPr>
      <w:pgSz w:w="11906" w:h="16838"/>
      <w:pgMar w:top="1440" w:right="1803" w:bottom="1440" w:left="1803"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BFB08B9"/>
    <w:rsid w:val="0D86248F"/>
    <w:rsid w:val="1534348B"/>
    <w:rsid w:val="17222BCD"/>
    <w:rsid w:val="179D7F80"/>
    <w:rsid w:val="1C083E7D"/>
    <w:rsid w:val="21D12B6A"/>
    <w:rsid w:val="23460D1D"/>
    <w:rsid w:val="23D333DA"/>
    <w:rsid w:val="2584726B"/>
    <w:rsid w:val="2FCD6F83"/>
    <w:rsid w:val="312C736C"/>
    <w:rsid w:val="4BA7175A"/>
    <w:rsid w:val="52832238"/>
    <w:rsid w:val="53E0623B"/>
    <w:rsid w:val="58A311E7"/>
    <w:rsid w:val="5A6C469C"/>
    <w:rsid w:val="5AC31D67"/>
    <w:rsid w:val="5CA23A66"/>
    <w:rsid w:val="5E7B68BE"/>
    <w:rsid w:val="6065796C"/>
    <w:rsid w:val="6C067124"/>
    <w:rsid w:val="6DE33857"/>
    <w:rsid w:val="6FF756DC"/>
    <w:rsid w:val="705A2EA1"/>
    <w:rsid w:val="717A2774"/>
    <w:rsid w:val="74B5392A"/>
    <w:rsid w:val="769A2896"/>
    <w:rsid w:val="7A034AA8"/>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2023-10-07T02:06:50Z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