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6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before="101" w:line="219" w:lineRule="auto"/>
        <w:ind w:left="29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源政字〔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2024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13</w:t>
      </w:r>
      <w:r>
        <w:rPr>
          <w:rFonts w:ascii="Times New Roman" w:hAnsi="Times New Roman" w:eastAsia="Times New Roman" w:cs="Times New Roman"/>
          <w:spacing w:val="3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号</w:t>
      </w:r>
    </w:p>
    <w:p>
      <w:pPr>
        <w:spacing w:before="116" w:line="36" w:lineRule="exact"/>
        <w:ind w:firstLine="166"/>
      </w:pPr>
      <w:bookmarkStart w:id="0" w:name="_GoBack"/>
      <w:bookmarkEnd w:id="0"/>
    </w:p>
    <w:p>
      <w:pPr>
        <w:spacing w:line="301" w:lineRule="auto"/>
        <w:rPr>
          <w:rFonts w:ascii="Arial"/>
          <w:sz w:val="21"/>
        </w:rPr>
      </w:pPr>
    </w:p>
    <w:p>
      <w:pPr>
        <w:spacing w:line="301" w:lineRule="auto"/>
        <w:rPr>
          <w:rFonts w:ascii="Arial"/>
          <w:sz w:val="21"/>
        </w:rPr>
      </w:pPr>
    </w:p>
    <w:p>
      <w:pPr>
        <w:spacing w:line="302" w:lineRule="auto"/>
        <w:rPr>
          <w:rFonts w:ascii="Arial"/>
          <w:sz w:val="21"/>
        </w:rPr>
      </w:pPr>
    </w:p>
    <w:p>
      <w:pPr>
        <w:pStyle w:val="2"/>
        <w:spacing w:before="140" w:line="223" w:lineRule="auto"/>
        <w:ind w:left="2879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沂源县人民政府</w:t>
      </w:r>
    </w:p>
    <w:p>
      <w:pPr>
        <w:pStyle w:val="2"/>
        <w:spacing w:before="41" w:line="224" w:lineRule="auto"/>
        <w:ind w:left="564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关于印发沂源县</w:t>
      </w:r>
      <w:r>
        <w:rPr>
          <w:spacing w:val="-86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2024 </w:t>
      </w:r>
      <w:r>
        <w:rPr>
          <w:b/>
          <w:bCs/>
          <w:spacing w:val="4"/>
          <w:sz w:val="43"/>
          <w:szCs w:val="43"/>
        </w:rPr>
        <w:t>年度国有建设用地</w:t>
      </w:r>
    </w:p>
    <w:p>
      <w:pPr>
        <w:pStyle w:val="2"/>
        <w:spacing w:before="44" w:line="220" w:lineRule="auto"/>
        <w:ind w:left="2877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供应计划的通知</w:t>
      </w:r>
    </w:p>
    <w:p>
      <w:pPr>
        <w:spacing w:line="304" w:lineRule="auto"/>
        <w:rPr>
          <w:rFonts w:ascii="Arial"/>
          <w:sz w:val="21"/>
        </w:rPr>
      </w:pPr>
    </w:p>
    <w:p>
      <w:pPr>
        <w:spacing w:line="305" w:lineRule="auto"/>
        <w:rPr>
          <w:rFonts w:ascii="Arial"/>
          <w:sz w:val="21"/>
        </w:rPr>
      </w:pPr>
    </w:p>
    <w:p>
      <w:pPr>
        <w:spacing w:before="101" w:line="316" w:lineRule="auto"/>
        <w:ind w:left="38" w:right="699" w:hanging="3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各镇人民政府，各街道办事处，经济开发区管委会，县政府各部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门，各有关单位：</w:t>
      </w:r>
    </w:p>
    <w:p>
      <w:pPr>
        <w:spacing w:before="54" w:line="318" w:lineRule="auto"/>
        <w:ind w:right="699" w:firstLine="65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现将《沂源县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年度国有建设用地供应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计划》</w:t>
      </w:r>
      <w:r>
        <w:rPr>
          <w:rFonts w:ascii="FangSong_GB2312" w:hAnsi="FangSong_GB2312" w:eastAsia="FangSong_GB2312" w:cs="FangSong_GB2312"/>
          <w:spacing w:val="-8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印发给你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们，请认真遵照执行。</w:t>
      </w: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line="267" w:lineRule="auto"/>
        <w:rPr>
          <w:rFonts w:ascii="Arial"/>
          <w:sz w:val="21"/>
        </w:rPr>
      </w:pPr>
    </w:p>
    <w:p>
      <w:pPr>
        <w:spacing w:before="102" w:line="317" w:lineRule="auto"/>
        <w:ind w:left="5437" w:right="1620" w:firstLine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沂源县人民政府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 xml:space="preserve">13  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日</w:t>
      </w:r>
    </w:p>
    <w:p>
      <w:pPr>
        <w:spacing w:before="53" w:line="219" w:lineRule="auto"/>
        <w:ind w:left="635"/>
        <w:rPr>
          <w:rFonts w:ascii="FangSong_GB2312" w:hAnsi="FangSong_GB2312" w:eastAsia="FangSong_GB2312" w:cs="FangSong_GB2312"/>
          <w:sz w:val="31"/>
          <w:szCs w:val="31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6048375</wp:posOffset>
            </wp:positionH>
            <wp:positionV relativeFrom="paragraph">
              <wp:posOffset>270510</wp:posOffset>
            </wp:positionV>
            <wp:extent cx="6350" cy="9525"/>
            <wp:effectExtent l="0" t="0" r="0" b="0"/>
            <wp:wrapNone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9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（此件公开发布）</w:t>
      </w:r>
    </w:p>
    <w:p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834" w:bottom="1526" w:left="1541" w:header="0" w:footer="1246" w:gutter="0"/>
          <w:cols w:space="720" w:num="1"/>
        </w:sectPr>
      </w:pPr>
    </w:p>
    <w:p>
      <w:pPr>
        <w:spacing w:line="475" w:lineRule="auto"/>
        <w:rPr>
          <w:rFonts w:ascii="Arial"/>
          <w:sz w:val="21"/>
        </w:rPr>
      </w:pPr>
    </w:p>
    <w:p>
      <w:pPr>
        <w:pStyle w:val="2"/>
        <w:spacing w:before="140" w:line="223" w:lineRule="auto"/>
        <w:ind w:left="571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沂源县</w:t>
      </w:r>
      <w:r>
        <w:rPr>
          <w:spacing w:val="-90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2024 </w:t>
      </w:r>
      <w:r>
        <w:rPr>
          <w:b/>
          <w:bCs/>
          <w:spacing w:val="4"/>
          <w:sz w:val="43"/>
          <w:szCs w:val="43"/>
        </w:rPr>
        <w:t>年度国有建设用地供应计划</w:t>
      </w:r>
    </w:p>
    <w:p>
      <w:pPr>
        <w:spacing w:line="302" w:lineRule="auto"/>
        <w:rPr>
          <w:rFonts w:ascii="Arial"/>
          <w:sz w:val="21"/>
        </w:rPr>
      </w:pPr>
    </w:p>
    <w:p>
      <w:pPr>
        <w:spacing w:line="303" w:lineRule="auto"/>
        <w:rPr>
          <w:rFonts w:ascii="Arial"/>
          <w:sz w:val="21"/>
        </w:rPr>
      </w:pPr>
    </w:p>
    <w:p>
      <w:pPr>
        <w:spacing w:before="101" w:line="327" w:lineRule="auto"/>
        <w:ind w:left="5" w:right="41" w:firstLine="65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为加强政府对土地市场的宏观调控，强化土地供应管理，优</w:t>
      </w:r>
      <w:r>
        <w:rPr>
          <w:rFonts w:ascii="FangSong_GB2312" w:hAnsi="FangSong_GB2312" w:eastAsia="FangSong_GB2312" w:cs="FangSong_GB2312"/>
          <w:spacing w:val="1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7"/>
          <w:sz w:val="31"/>
          <w:szCs w:val="31"/>
        </w:rPr>
        <w:t>化国有建设用地供应结构和空间布局，促进经济社会高质量发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展，根据《中华人民共和国土地管理法》《国有建设用地供应计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划编制规范（试行）》（国土资发〔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2010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〕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117</w:t>
      </w:r>
      <w:r>
        <w:rPr>
          <w:rFonts w:ascii="Times New Roman" w:hAnsi="Times New Roman" w:eastAsia="Times New Roman" w:cs="Times New Roman"/>
          <w:spacing w:val="4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号）要求，制定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本计划。</w:t>
      </w:r>
    </w:p>
    <w:p>
      <w:pPr>
        <w:spacing w:before="55" w:line="227" w:lineRule="auto"/>
        <w:ind w:left="65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一、工作要求</w:t>
      </w:r>
    </w:p>
    <w:p>
      <w:pPr>
        <w:spacing w:before="180" w:line="325" w:lineRule="auto"/>
        <w:ind w:left="1" w:firstLine="65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聚焦</w:t>
      </w:r>
      <w:r>
        <w:rPr>
          <w:rFonts w:ascii="Times New Roman" w:hAnsi="Times New Roman" w:eastAsia="Times New Roman" w:cs="Times New Roman"/>
          <w:color w:val="231F20"/>
          <w:spacing w:val="6"/>
          <w:sz w:val="31"/>
          <w:szCs w:val="31"/>
        </w:rPr>
        <w:t>“3510”</w:t>
      </w:r>
      <w:r>
        <w:rPr>
          <w:rFonts w:ascii="FangSong_GB2312" w:hAnsi="FangSong_GB2312" w:eastAsia="FangSong_GB2312" w:cs="FangSong_GB2312"/>
          <w:color w:val="231F20"/>
          <w:spacing w:val="6"/>
          <w:sz w:val="31"/>
          <w:szCs w:val="31"/>
        </w:rPr>
        <w:t>发展目标和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强富美优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城市愿景，持续优化城市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用地结构，加强基本农田保护，合理安排建设用地。通过科学供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地，促进转变发展方式、优化经济结构、转换增长动力，不断优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存量、扩增量，加快经济发展质量变革、效率变革、动力变革。</w:t>
      </w:r>
    </w:p>
    <w:p>
      <w:pPr>
        <w:spacing w:before="54" w:line="228" w:lineRule="auto"/>
        <w:ind w:left="651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二、计划指标</w:t>
      </w:r>
    </w:p>
    <w:p>
      <w:pPr>
        <w:spacing w:before="180" w:line="276" w:lineRule="auto"/>
        <w:ind w:left="653" w:right="4090" w:hanging="1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（一）国有建设用地供应总量</w:t>
      </w:r>
      <w:r>
        <w:rPr>
          <w:rFonts w:ascii="KaiTi_GB2312" w:hAnsi="KaiTi_GB2312" w:eastAsia="KaiTi_GB2312" w:cs="KaiTi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计划供应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271.7799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公顷。</w:t>
      </w:r>
    </w:p>
    <w:p>
      <w:pPr>
        <w:spacing w:before="188" w:line="229" w:lineRule="auto"/>
        <w:ind w:left="638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（二）国有建设用地供应结构</w:t>
      </w:r>
    </w:p>
    <w:p>
      <w:pPr>
        <w:spacing w:before="180" w:line="308" w:lineRule="auto"/>
        <w:ind w:right="44" w:firstLine="671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4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住宅用地。计划供应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66.9029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公顷，</w:t>
      </w:r>
      <w:r>
        <w:rPr>
          <w:rFonts w:ascii="FangSong_GB2312" w:hAnsi="FangSong_GB2312" w:eastAsia="FangSong_GB2312" w:cs="FangSong_GB2312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3"/>
          <w:sz w:val="31"/>
          <w:szCs w:val="31"/>
        </w:rPr>
        <w:t>占供应计划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总量的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24.62%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。其中：产权住宅用地</w:t>
      </w:r>
      <w:r>
        <w:rPr>
          <w:rFonts w:ascii="FangSong_GB2312" w:hAnsi="FangSong_GB2312" w:eastAsia="FangSong_GB2312" w:cs="FangSong_GB2312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 xml:space="preserve">57.2904 </w:t>
      </w:r>
      <w:r>
        <w:rPr>
          <w:rFonts w:ascii="FangSong_GB2312" w:hAnsi="FangSong_GB2312" w:eastAsia="FangSong_GB2312" w:cs="FangSong_GB2312"/>
          <w:spacing w:val="-4"/>
          <w:sz w:val="31"/>
          <w:szCs w:val="31"/>
        </w:rPr>
        <w:t>公顷，其他住宅用地</w:t>
      </w:r>
      <w:r>
        <w:rPr>
          <w:rFonts w:ascii="FangSong_GB2312" w:hAnsi="FangSong_GB2312" w:eastAsia="FangSong_GB2312" w:cs="FangSong_GB2312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9.6125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公顷。</w:t>
      </w:r>
    </w:p>
    <w:p>
      <w:pPr>
        <w:spacing w:before="127" w:line="329" w:lineRule="auto"/>
        <w:ind w:left="5" w:right="48" w:firstLine="63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3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 xml:space="preserve">商服用地。计划供应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19.8612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公顷，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占供应计划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总量的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7.31%</w:t>
      </w:r>
      <w:r>
        <w:rPr>
          <w:rFonts w:ascii="FangSong_GB2312" w:hAnsi="FangSong_GB2312" w:eastAsia="FangSong_GB2312" w:cs="FangSong_GB2312"/>
          <w:spacing w:val="2"/>
          <w:sz w:val="31"/>
          <w:szCs w:val="31"/>
        </w:rPr>
        <w:t>。</w:t>
      </w:r>
    </w:p>
    <w:p>
      <w:pPr>
        <w:spacing w:before="15" w:line="330" w:lineRule="auto"/>
        <w:ind w:right="45" w:firstLine="647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工矿仓储用地。计划供应</w:t>
      </w:r>
      <w:r>
        <w:rPr>
          <w:rFonts w:ascii="FangSong_GB2312" w:hAnsi="FangSong_GB2312" w:eastAsia="FangSong_GB2312" w:cs="FangSong_GB2312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 xml:space="preserve">79.223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公顷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，占供应计划总量的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29.15%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。</w:t>
      </w:r>
    </w:p>
    <w:p>
      <w:pPr>
        <w:spacing w:line="330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485" w:bottom="1525" w:left="1537" w:header="0" w:footer="1246" w:gutter="0"/>
          <w:cols w:space="720" w:num="1"/>
        </w:sectPr>
      </w:pPr>
    </w:p>
    <w:p>
      <w:pPr>
        <w:spacing w:line="311" w:lineRule="auto"/>
        <w:rPr>
          <w:rFonts w:ascii="Arial"/>
          <w:sz w:val="21"/>
        </w:rPr>
      </w:pPr>
    </w:p>
    <w:p>
      <w:pPr>
        <w:spacing w:line="311" w:lineRule="auto"/>
        <w:rPr>
          <w:rFonts w:ascii="Arial"/>
          <w:sz w:val="21"/>
        </w:rPr>
      </w:pPr>
    </w:p>
    <w:p>
      <w:pPr>
        <w:spacing w:before="101" w:line="322" w:lineRule="auto"/>
        <w:ind w:left="7" w:right="52" w:firstLine="625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公共管理与公共服务用地。计划供应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30.3409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公顷，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占供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应计划总量的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11.16%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。</w:t>
      </w:r>
    </w:p>
    <w:p>
      <w:pPr>
        <w:spacing w:before="40" w:line="321" w:lineRule="auto"/>
        <w:ind w:left="27" w:right="54" w:firstLine="616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交通运输用地。计划供应</w:t>
      </w:r>
      <w:r>
        <w:rPr>
          <w:rFonts w:ascii="FangSong_GB2312" w:hAnsi="FangSong_GB2312" w:eastAsia="FangSong_GB2312" w:cs="FangSong_GB2312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75.4519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公顷，</w:t>
      </w:r>
      <w:r>
        <w:rPr>
          <w:rFonts w:ascii="FangSong_GB2312" w:hAnsi="FangSong_GB2312" w:eastAsia="FangSong_GB2312" w:cs="FangSong_GB2312"/>
          <w:spacing w:val="-8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占供应计划总量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的</w:t>
      </w:r>
      <w:r>
        <w:rPr>
          <w:rFonts w:ascii="FangSong_GB2312" w:hAnsi="FangSong_GB2312" w:eastAsia="FangSong_GB2312" w:cs="FangSong_GB2312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27.76%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。</w:t>
      </w:r>
    </w:p>
    <w:p>
      <w:pPr>
        <w:spacing w:before="42" w:line="228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三、保障措施</w:t>
      </w:r>
    </w:p>
    <w:p>
      <w:pPr>
        <w:spacing w:before="174" w:line="327" w:lineRule="auto"/>
        <w:ind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县自然资源局要严格落实主体责任，明确供地时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序，统筹推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进供地前的土壤污染调查、文物影响评估等工作。县发展改革、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财政、自然资源、住房城乡建设、生态环境、文化和旅游、教育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和体育等相关部门要加强协作配合，及时协调解决计划实施过程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中遇到的问题和困难，确保供应计划按时有序执行到位。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before="101" w:line="219" w:lineRule="auto"/>
        <w:ind w:left="664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479" w:bottom="1525" w:left="1543" w:header="0" w:footer="1246" w:gutter="0"/>
          <w:cols w:space="720" w:num="1"/>
        </w:sect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附件：沂源县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2024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年度国有建设用地供应计划表</w:t>
      </w:r>
    </w:p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40" w:line="223" w:lineRule="auto"/>
        <w:ind w:left="3049"/>
        <w:rPr>
          <w:sz w:val="43"/>
          <w:szCs w:val="43"/>
        </w:rPr>
      </w:pPr>
      <w:r>
        <w:rPr>
          <w:b/>
          <w:bCs/>
          <w:spacing w:val="4"/>
          <w:sz w:val="43"/>
          <w:szCs w:val="43"/>
        </w:rPr>
        <w:t>沂源县</w:t>
      </w:r>
      <w:r>
        <w:rPr>
          <w:spacing w:val="-89"/>
          <w:sz w:val="43"/>
          <w:szCs w:val="43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 xml:space="preserve">2024 </w:t>
      </w:r>
      <w:r>
        <w:rPr>
          <w:b/>
          <w:bCs/>
          <w:spacing w:val="4"/>
          <w:sz w:val="43"/>
          <w:szCs w:val="43"/>
        </w:rPr>
        <w:t>年度国有建设用地供应计划表</w:t>
      </w:r>
    </w:p>
    <w:p>
      <w:pPr>
        <w:spacing w:before="240" w:line="214" w:lineRule="auto"/>
        <w:ind w:left="12513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4"/>
          <w:sz w:val="24"/>
          <w:szCs w:val="24"/>
        </w:rPr>
        <w:t>单位：公顷</w:t>
      </w:r>
    </w:p>
    <w:p>
      <w:pPr>
        <w:spacing w:line="66" w:lineRule="auto"/>
        <w:rPr>
          <w:rFonts w:ascii="Arial"/>
          <w:sz w:val="2"/>
        </w:rPr>
      </w:pPr>
    </w:p>
    <w:tbl>
      <w:tblPr>
        <w:tblStyle w:val="5"/>
        <w:tblW w:w="143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185"/>
        <w:gridCol w:w="1230"/>
        <w:gridCol w:w="1259"/>
        <w:gridCol w:w="1050"/>
        <w:gridCol w:w="1274"/>
        <w:gridCol w:w="1200"/>
        <w:gridCol w:w="1185"/>
        <w:gridCol w:w="1454"/>
        <w:gridCol w:w="1289"/>
        <w:gridCol w:w="1202"/>
        <w:gridCol w:w="8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04" w:type="dxa"/>
            <w:vMerge w:val="restart"/>
            <w:tcBorders>
              <w:bottom w:val="nil"/>
              <w:tl2br w:val="single" w:color="000000" w:sz="4" w:space="0"/>
            </w:tcBorders>
            <w:vAlign w:val="top"/>
          </w:tcPr>
          <w:p>
            <w:pPr>
              <w:spacing w:before="212" w:line="407" w:lineRule="auto"/>
              <w:ind w:left="130" w:right="132" w:firstLine="4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用途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12"/>
                <w:sz w:val="24"/>
                <w:szCs w:val="24"/>
              </w:rPr>
              <w:t>区县</w:t>
            </w:r>
          </w:p>
        </w:tc>
        <w:tc>
          <w:tcPr>
            <w:tcW w:w="1185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8" w:line="224" w:lineRule="auto"/>
              <w:ind w:left="35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合计</w:t>
            </w:r>
          </w:p>
        </w:tc>
        <w:tc>
          <w:tcPr>
            <w:tcW w:w="1230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442" w:lineRule="auto"/>
            </w:pPr>
          </w:p>
          <w:p>
            <w:pPr>
              <w:spacing w:before="78" w:line="222" w:lineRule="auto"/>
              <w:ind w:left="14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商服用地</w:t>
            </w:r>
          </w:p>
        </w:tc>
        <w:tc>
          <w:tcPr>
            <w:tcW w:w="125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33" w:lineRule="auto"/>
              <w:ind w:left="397" w:right="148" w:hanging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工矿仓储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4709" w:type="dxa"/>
            <w:gridSpan w:val="4"/>
            <w:vAlign w:val="top"/>
          </w:tcPr>
          <w:p>
            <w:pPr>
              <w:spacing w:before="125" w:line="222" w:lineRule="auto"/>
              <w:ind w:left="187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住宅用地</w:t>
            </w:r>
          </w:p>
        </w:tc>
        <w:tc>
          <w:tcPr>
            <w:tcW w:w="1454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223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公共管理与</w:t>
            </w:r>
          </w:p>
          <w:p>
            <w:pPr>
              <w:spacing w:before="21" w:line="233" w:lineRule="auto"/>
              <w:ind w:left="496" w:right="244" w:hanging="2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公共服务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12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33" w:lineRule="auto"/>
              <w:ind w:left="416" w:right="160" w:hanging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交通运输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1202" w:type="dxa"/>
            <w:vMerge w:val="restart"/>
            <w:tcBorders>
              <w:bottom w:val="nil"/>
            </w:tcBorders>
            <w:vAlign w:val="top"/>
          </w:tcPr>
          <w:p>
            <w:pPr>
              <w:spacing w:before="211" w:line="222" w:lineRule="auto"/>
              <w:ind w:left="24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水域及</w:t>
            </w:r>
          </w:p>
          <w:p>
            <w:pPr>
              <w:spacing w:before="23" w:line="222" w:lineRule="auto"/>
              <w:ind w:left="12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水利设施</w:t>
            </w:r>
          </w:p>
          <w:p>
            <w:pPr>
              <w:spacing w:before="23" w:line="226" w:lineRule="auto"/>
              <w:ind w:left="3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812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7" w:lineRule="auto"/>
            </w:pPr>
          </w:p>
          <w:p>
            <w:pPr>
              <w:spacing w:before="78" w:line="233" w:lineRule="auto"/>
              <w:ind w:left="175" w:right="163" w:hanging="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特殊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1204" w:type="dxa"/>
            <w:vMerge w:val="continue"/>
            <w:tcBorders>
              <w:top w:val="nil"/>
              <w:tl2br w:val="single" w:color="000000" w:sz="4" w:space="0"/>
            </w:tcBorders>
            <w:vAlign w:val="top"/>
          </w:tcPr>
          <w:p>
            <w:pPr>
              <w:pStyle w:val="6"/>
            </w:pPr>
          </w:p>
        </w:tc>
        <w:tc>
          <w:tcPr>
            <w:tcW w:w="1185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30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5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050" w:type="dxa"/>
            <w:vAlign w:val="top"/>
          </w:tcPr>
          <w:p>
            <w:pPr>
              <w:spacing w:before="273" w:line="224" w:lineRule="auto"/>
              <w:ind w:left="29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0"/>
                <w:sz w:val="24"/>
                <w:szCs w:val="24"/>
              </w:rPr>
              <w:t>小计</w:t>
            </w:r>
          </w:p>
        </w:tc>
        <w:tc>
          <w:tcPr>
            <w:tcW w:w="1274" w:type="dxa"/>
            <w:vAlign w:val="top"/>
          </w:tcPr>
          <w:p>
            <w:pPr>
              <w:spacing w:before="117" w:line="233" w:lineRule="auto"/>
              <w:ind w:left="407" w:right="154" w:hanging="2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产权住宅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1200" w:type="dxa"/>
            <w:vAlign w:val="top"/>
          </w:tcPr>
          <w:p>
            <w:pPr>
              <w:spacing w:before="117" w:line="233" w:lineRule="auto"/>
              <w:ind w:left="369" w:right="118" w:hanging="23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租赁住宅</w:t>
            </w:r>
            <w:r>
              <w:rPr>
                <w:rFonts w:ascii="黑体" w:hAnsi="黑体" w:eastAsia="黑体" w:cs="黑体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1185" w:type="dxa"/>
            <w:vAlign w:val="top"/>
          </w:tcPr>
          <w:p>
            <w:pPr>
              <w:spacing w:before="117" w:line="233" w:lineRule="auto"/>
              <w:ind w:left="361" w:right="110" w:hanging="2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其他住宅</w:t>
            </w:r>
            <w:r>
              <w:rPr>
                <w:rFonts w:ascii="黑体" w:hAnsi="黑体" w:eastAsia="黑体" w:cs="黑体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用地</w:t>
            </w:r>
          </w:p>
        </w:tc>
        <w:tc>
          <w:tcPr>
            <w:tcW w:w="1454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120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  <w:tc>
          <w:tcPr>
            <w:tcW w:w="812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5" w:hRule="atLeast"/>
        </w:trPr>
        <w:tc>
          <w:tcPr>
            <w:tcW w:w="1204" w:type="dxa"/>
            <w:vAlign w:val="top"/>
          </w:tcPr>
          <w:p>
            <w:pPr>
              <w:pStyle w:val="6"/>
            </w:pPr>
          </w:p>
          <w:p>
            <w:pPr>
              <w:pStyle w:val="6"/>
              <w:spacing w:line="241" w:lineRule="auto"/>
            </w:pPr>
          </w:p>
          <w:p>
            <w:pPr>
              <w:spacing w:before="78" w:line="221" w:lineRule="auto"/>
              <w:ind w:left="2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沂源县</w:t>
            </w:r>
          </w:p>
        </w:tc>
        <w:tc>
          <w:tcPr>
            <w:tcW w:w="1185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1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271.7799</w:t>
            </w:r>
          </w:p>
        </w:tc>
        <w:tc>
          <w:tcPr>
            <w:tcW w:w="1230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2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19.8612</w:t>
            </w:r>
          </w:p>
        </w:tc>
        <w:tc>
          <w:tcPr>
            <w:tcW w:w="1259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3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79.223</w:t>
            </w:r>
          </w:p>
        </w:tc>
        <w:tc>
          <w:tcPr>
            <w:tcW w:w="1050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14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66.9029</w:t>
            </w:r>
          </w:p>
        </w:tc>
        <w:tc>
          <w:tcPr>
            <w:tcW w:w="1274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25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57.2904</w:t>
            </w:r>
          </w:p>
        </w:tc>
        <w:tc>
          <w:tcPr>
            <w:tcW w:w="1200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5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1185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27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9.6125</w:t>
            </w:r>
          </w:p>
        </w:tc>
        <w:tc>
          <w:tcPr>
            <w:tcW w:w="1454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34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30.3409</w:t>
            </w:r>
          </w:p>
        </w:tc>
        <w:tc>
          <w:tcPr>
            <w:tcW w:w="1289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2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75.4519</w:t>
            </w:r>
          </w:p>
        </w:tc>
        <w:tc>
          <w:tcPr>
            <w:tcW w:w="1202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54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  <w:tc>
          <w:tcPr>
            <w:tcW w:w="812" w:type="dxa"/>
            <w:vAlign w:val="top"/>
          </w:tcPr>
          <w:p>
            <w:pPr>
              <w:pStyle w:val="6"/>
              <w:spacing w:line="265" w:lineRule="auto"/>
            </w:pPr>
          </w:p>
          <w:p>
            <w:pPr>
              <w:pStyle w:val="6"/>
              <w:spacing w:line="266" w:lineRule="auto"/>
            </w:pPr>
          </w:p>
          <w:p>
            <w:pPr>
              <w:spacing w:before="69" w:line="188" w:lineRule="auto"/>
              <w:ind w:left="35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8" w:type="default"/>
      <w:pgSz w:w="16839" w:h="11906" w:orient="landscape"/>
      <w:pgMar w:top="1542" w:right="1431" w:bottom="1480" w:left="1525" w:header="0" w:footer="1247" w:gutter="0"/>
      <w:paperSrc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77" w:lineRule="auto"/>
      <w:ind w:left="7652"/>
      <w:rPr>
        <w:sz w:val="28"/>
        <w:szCs w:val="28"/>
      </w:rPr>
    </w:pPr>
    <w:r>
      <w:rPr>
        <w:spacing w:val="-13"/>
        <w:sz w:val="28"/>
        <w:szCs w:val="28"/>
      </w:rPr>
      <w:t>—</w:t>
    </w:r>
    <w:r>
      <w:rPr>
        <w:spacing w:val="30"/>
        <w:sz w:val="28"/>
        <w:szCs w:val="28"/>
      </w:rPr>
      <w:t xml:space="preserve"> </w:t>
    </w:r>
    <w:r>
      <w:rPr>
        <w:spacing w:val="-13"/>
        <w:sz w:val="28"/>
        <w:szCs w:val="28"/>
      </w:rPr>
      <w:t>1</w:t>
    </w:r>
    <w:r>
      <w:rPr>
        <w:spacing w:val="9"/>
        <w:sz w:val="28"/>
        <w:szCs w:val="28"/>
      </w:rPr>
      <w:t xml:space="preserve"> </w:t>
    </w:r>
    <w:r>
      <w:rPr>
        <w:spacing w:val="-13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210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4"/>
        <w:sz w:val="28"/>
        <w:szCs w:val="28"/>
      </w:rPr>
      <w:t xml:space="preserve"> </w:t>
    </w:r>
    <w:r>
      <w:rPr>
        <w:spacing w:val="-8"/>
        <w:sz w:val="28"/>
        <w:szCs w:val="28"/>
      </w:rPr>
      <w:t>2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7649"/>
      <w:rPr>
        <w:sz w:val="28"/>
        <w:szCs w:val="28"/>
      </w:rPr>
    </w:pPr>
    <w:r>
      <w:rPr>
        <w:spacing w:val="-8"/>
        <w:sz w:val="28"/>
        <w:szCs w:val="28"/>
      </w:rPr>
      <w:t>—</w:t>
    </w:r>
    <w:r>
      <w:rPr>
        <w:spacing w:val="15"/>
        <w:sz w:val="28"/>
        <w:szCs w:val="28"/>
      </w:rPr>
      <w:t xml:space="preserve"> </w:t>
    </w:r>
    <w:r>
      <w:rPr>
        <w:spacing w:val="-8"/>
        <w:sz w:val="28"/>
        <w:szCs w:val="28"/>
      </w:rPr>
      <w:t>3</w:t>
    </w:r>
    <w:r>
      <w:rPr>
        <w:spacing w:val="9"/>
        <w:sz w:val="28"/>
        <w:szCs w:val="28"/>
      </w:rPr>
      <w:t xml:space="preserve"> </w:t>
    </w:r>
    <w:r>
      <w:rPr>
        <w:spacing w:val="-8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before="1" w:line="176" w:lineRule="auto"/>
      <w:ind w:left="8"/>
      <w:rPr>
        <w:sz w:val="28"/>
        <w:szCs w:val="28"/>
      </w:rPr>
    </w:pPr>
    <w:r>
      <w:rPr>
        <w:spacing w:val="-7"/>
        <w:sz w:val="28"/>
        <w:szCs w:val="28"/>
      </w:rPr>
      <w:t>—</w:t>
    </w:r>
    <w:r>
      <w:rPr>
        <w:spacing w:val="12"/>
        <w:sz w:val="28"/>
        <w:szCs w:val="28"/>
      </w:rPr>
      <w:t xml:space="preserve"> </w:t>
    </w:r>
    <w:r>
      <w:rPr>
        <w:spacing w:val="-7"/>
        <w:sz w:val="28"/>
        <w:szCs w:val="28"/>
      </w:rPr>
      <w:t>6</w:t>
    </w:r>
    <w:r>
      <w:rPr>
        <w:spacing w:val="9"/>
        <w:sz w:val="28"/>
        <w:szCs w:val="28"/>
      </w:rPr>
      <w:t xml:space="preserve"> </w:t>
    </w:r>
    <w:r>
      <w:rPr>
        <w:spacing w:val="-7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3ZjAyMDg1OGQ5ODY4NmE5NjlkNzRmYmM5NjEwYTgifQ=="/>
  </w:docVars>
  <w:rsids>
    <w:rsidRoot w:val="00000000"/>
    <w:rsid w:val="1CD56F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43"/>
      <w:szCs w:val="14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906</Words>
  <Characters>1066</Characters>
  <TotalTime>25</TotalTime>
  <ScaleCrop>false</ScaleCrop>
  <LinksUpToDate>false</LinksUpToDate>
  <CharactersWithSpaces>1154</CharactersWithSpaces>
  <Application>WPS Office_12.1.0.16929_F1E327BC-269C-435d-A152-05C5408002CA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2024-03-29T15:52:00Z</dcterms:created>
  <dc:creator>Administrator</dc:creator>
  <cp:lastModifiedBy>Darren</cp:lastModifiedBy>
  <dcterms:modified xsi:type="dcterms:W3CDTF">2024-07-05T02:05:15Z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2024-07-05T09:39:55Z</vt:filetime>
  </property>
  <property fmtid="{D5CDD505-2E9C-101B-9397-08002B2CF9AE}" pid="4" name="KSOProductBuildVer">
    <vt:lpwstr>2052-12.1.0.16929</vt:lpwstr>
  </property>
  <property fmtid="{D5CDD505-2E9C-101B-9397-08002B2CF9AE}" pid="5" name="ICV">
    <vt:lpwstr>7F75695117E54055B16CF7CF80431096_12</vt:lpwstr>
  </property>
</Properties>
</file>