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464" w:line="220" w:lineRule="auto"/>
        <w:ind w:left="181"/>
        <w:outlineLvl w:val="0"/>
      </w:pPr>
      <w:r>
        <w:rPr>
          <w:color w:val="FF0000"/>
          <w:position w:val="97"/>
        </w:rPr>
        <w:drawing>
          <wp:inline distT="0" distB="0" distL="0" distR="0">
            <wp:extent cx="0" cy="95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433"/>
        </w:rPr>
        <w:t xml:space="preserve"> 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19" w:lineRule="auto"/>
        <w:ind w:left="30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源政字〔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号</w:t>
      </w:r>
    </w:p>
    <w:p>
      <w:pPr>
        <w:spacing w:before="158" w:line="36" w:lineRule="exact"/>
        <w:ind w:firstLine="165"/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40" w:line="223" w:lineRule="auto"/>
        <w:ind w:left="2878"/>
        <w:rPr>
          <w:sz w:val="43"/>
          <w:szCs w:val="43"/>
        </w:rPr>
      </w:pPr>
      <w:r>
        <w:rPr>
          <w:b/>
          <w:bCs/>
          <w:color w:val="231F20"/>
          <w:spacing w:val="4"/>
          <w:sz w:val="43"/>
          <w:szCs w:val="43"/>
        </w:rPr>
        <w:t>沂源县人民政府</w:t>
      </w:r>
    </w:p>
    <w:p>
      <w:pPr>
        <w:pStyle w:val="2"/>
        <w:spacing w:before="42" w:line="223" w:lineRule="auto"/>
        <w:ind w:left="1333"/>
        <w:rPr>
          <w:sz w:val="43"/>
          <w:szCs w:val="43"/>
        </w:rPr>
      </w:pPr>
      <w:r>
        <w:rPr>
          <w:b/>
          <w:bCs/>
          <w:color w:val="231F20"/>
          <w:spacing w:val="5"/>
          <w:sz w:val="43"/>
          <w:szCs w:val="43"/>
        </w:rPr>
        <w:t>关于进一步明确县政府行政复议</w:t>
      </w:r>
    </w:p>
    <w:p>
      <w:pPr>
        <w:pStyle w:val="2"/>
        <w:spacing w:before="44" w:line="221" w:lineRule="auto"/>
        <w:ind w:left="2881"/>
        <w:rPr>
          <w:sz w:val="43"/>
          <w:szCs w:val="43"/>
        </w:rPr>
      </w:pPr>
      <w:r>
        <w:rPr>
          <w:b/>
          <w:bCs/>
          <w:color w:val="231F20"/>
          <w:spacing w:val="3"/>
          <w:sz w:val="43"/>
          <w:szCs w:val="43"/>
        </w:rPr>
        <w:t>有关事项的通知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16" w:lineRule="auto"/>
        <w:ind w:left="37" w:right="699" w:hanging="3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各镇人民政府，各街道办事处，经济开发区管委会，县政府各部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门、各企事业单位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:</w:t>
      </w:r>
    </w:p>
    <w:p>
      <w:pPr>
        <w:spacing w:before="57" w:line="325" w:lineRule="auto"/>
        <w:ind w:left="1" w:right="692" w:firstLine="63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根据新修订的《中华人民共和国行政复议法》有关规定，依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据《淄博市人民政府关于进一步明确市政府行政复议有关事项的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通知》（淄政字〔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号）要求，结合工作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实际，现就我县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行政复议有关事项通知如下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:</w:t>
      </w:r>
    </w:p>
    <w:p>
      <w:pPr>
        <w:spacing w:before="57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一、明确县政府行政复议有关事项</w:t>
      </w:r>
    </w:p>
    <w:p>
      <w:pPr>
        <w:spacing w:before="182" w:line="316" w:lineRule="auto"/>
        <w:ind w:left="1" w:right="697" w:firstLine="632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6047740</wp:posOffset>
            </wp:positionH>
            <wp:positionV relativeFrom="paragraph">
              <wp:posOffset>745490</wp:posOffset>
            </wp:positionV>
            <wp:extent cx="635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（一）县政府授权县司法局（行政复议机构）对外以县政府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行政复议办公室名义，依法办理下列行政复议事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项：</w:t>
      </w:r>
    </w:p>
    <w:p>
      <w:pPr>
        <w:spacing w:line="316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5" w:type="default"/>
          <w:footerReference r:id="rId6" w:type="default"/>
          <w:pgSz w:w="11906" w:h="16839"/>
          <w:pgMar w:top="1431" w:right="834" w:bottom="1526" w:left="1542" w:header="0" w:footer="1246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219" w:lineRule="auto"/>
        <w:ind w:left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受理、不予受理、驳回行政复议申请；</w:t>
      </w:r>
    </w:p>
    <w:p>
      <w:pPr>
        <w:spacing w:before="194" w:line="312" w:lineRule="auto"/>
        <w:ind w:left="647" w:right="1476" w:hanging="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通知申请人补正行政复议申请、延长补正期限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决定中止、恢复、终止审理行政复议案件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</w:p>
    <w:p>
      <w:pPr>
        <w:spacing w:before="69" w:line="320" w:lineRule="auto"/>
        <w:ind w:left="647" w:right="2436" w:hanging="8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决定在行政复议期间停止执行行政行为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处理行政复议附带审查规范性文件事项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调查取证、调解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;</w:t>
      </w:r>
    </w:p>
    <w:p>
      <w:pPr>
        <w:spacing w:before="68" w:line="217" w:lineRule="auto"/>
        <w:ind w:left="64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作出行政复议决定、制作行政复议决定书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</w:p>
    <w:p>
      <w:pPr>
        <w:spacing w:before="197" w:line="312" w:lineRule="auto"/>
        <w:ind w:left="647" w:right="1795" w:firstLine="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8.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制作行政复议调解书、制发行政复议意见书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9.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公开、抄告行政复议决定书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;</w:t>
      </w:r>
    </w:p>
    <w:p>
      <w:pPr>
        <w:spacing w:before="70" w:line="314" w:lineRule="auto"/>
        <w:ind w:left="671" w:right="3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责令被申请人履行行政复议决定书、调解书、意见书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11.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申请人民法院强制执行行政复议决定书、调解书。</w:t>
      </w:r>
    </w:p>
    <w:p>
      <w:pPr>
        <w:spacing w:before="68" w:line="325" w:lineRule="auto"/>
        <w:ind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（二）县政府行政复议决定书、行政复议调解书，由县政府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行政复议办公室拟订，授权县司法局局长签发。其中，重大、疑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难、复杂或行政复议办公室认为有必要的行政复议案件，行政复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议决定书、行政复议调解书由县政府分管副县长或县长签发。</w:t>
      </w:r>
    </w:p>
    <w:p>
      <w:pPr>
        <w:spacing w:before="57" w:line="323" w:lineRule="auto"/>
        <w:ind w:left="9" w:right="2" w:firstLine="63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其他县政府行政复议法律文书，由县政府行政复议办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公室拟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订，授权县司法局局长或经县司法局局长同意后由县司法局分管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副局长签发。</w:t>
      </w:r>
    </w:p>
    <w:p>
      <w:pPr>
        <w:spacing w:before="53" w:line="296" w:lineRule="auto"/>
        <w:ind w:left="2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（三）县政府授权县司法局管理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沂源县人民政府行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政复议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专用章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，在办理行政复议案件、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出具行政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复议法律文书时依法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使用。</w:t>
      </w:r>
    </w:p>
    <w:p>
      <w:pPr>
        <w:spacing w:before="186" w:line="226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二、明确行政复议法律援助有关事项</w:t>
      </w:r>
    </w:p>
    <w:p>
      <w:pPr>
        <w:spacing w:before="182" w:line="219" w:lineRule="auto"/>
        <w:jc w:val="right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（一）符合法律援助条件的公民在申请行政复议时可向法律</w:t>
      </w:r>
    </w:p>
    <w:p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530" w:bottom="1525" w:left="1537" w:header="0" w:footer="1246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援助机构申请法律援助。</w:t>
      </w:r>
    </w:p>
    <w:p>
      <w:pPr>
        <w:spacing w:before="196" w:line="322" w:lineRule="auto"/>
        <w:ind w:firstLine="63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（二）行政复议机构在办理行政复议案件时，应当主动告知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符合行政复议法律援助条件的公民，可向法律援助机构申请法律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援助。</w:t>
      </w:r>
    </w:p>
    <w:p>
      <w:pPr>
        <w:spacing w:before="55" w:line="317" w:lineRule="auto"/>
        <w:ind w:left="23" w:firstLine="6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（三）法律援助机构收到行政复议法律援助申请后，应当按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照法律法规的规定办理。</w:t>
      </w:r>
    </w:p>
    <w:p>
      <w:pPr>
        <w:spacing w:before="54" w:line="318" w:lineRule="auto"/>
        <w:ind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本通知自印发之日起施行，《沂源县人民政府关于开展集中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行政复议权工作的通知》（源政字〔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2014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53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号）同时废止。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317" w:lineRule="auto"/>
        <w:ind w:left="5451" w:right="907" w:firstLine="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沂源县人民政府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18 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日</w:t>
      </w:r>
    </w:p>
    <w:p>
      <w:pPr>
        <w:spacing w:before="53" w:line="219" w:lineRule="auto"/>
        <w:ind w:left="632"/>
        <w:rPr>
          <w:rFonts w:ascii="Arial"/>
          <w:sz w:val="2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（此件公开发布）</w:t>
      </w:r>
    </w:p>
    <w:sectPr>
      <w:footerReference r:id="rId8" w:type="default"/>
      <w:pgSz w:w="11906" w:h="16839"/>
      <w:pgMar w:top="1431" w:right="1530" w:bottom="1525" w:left="1531" w:header="0" w:footer="12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651"/>
      <w:rPr>
        <w:sz w:val="28"/>
        <w:szCs w:val="28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211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121D1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43"/>
      <w:szCs w:val="14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956</Words>
  <Characters>987</Characters>
  <TotalTime>4</TotalTime>
  <ScaleCrop>false</ScaleCrop>
  <LinksUpToDate>false</LinksUpToDate>
  <CharactersWithSpaces>1056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2024-03-25T10:24:00Z</dcterms:created>
  <dc:creator>Administrator</dc:creator>
  <cp:lastModifiedBy>Darren</cp:lastModifiedBy>
  <dcterms:modified xsi:type="dcterms:W3CDTF">2024-06-28T07:30:17Z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2024-06-28T15:24:22Z</vt:filetime>
  </property>
  <property fmtid="{D5CDD505-2E9C-101B-9397-08002B2CF9AE}" pid="4" name="KSOProductBuildVer">
    <vt:lpwstr>2052-12.1.0.16929</vt:lpwstr>
  </property>
  <property fmtid="{D5CDD505-2E9C-101B-9397-08002B2CF9AE}" pid="5" name="ICV">
    <vt:lpwstr>D1CB99EC7D5D41CBBD1B40ACFDD702F2_12</vt:lpwstr>
  </property>
</Properties>
</file>