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沂源县人民政府关于印发沂源县2021年度国有建设用地供应计划的通知</w:t>
      </w:r>
    </w:p>
    <w:p>
      <w:pPr>
        <w:pStyle w:val="2"/>
        <w:keepNext w:val="0"/>
        <w:keepLines w:val="0"/>
        <w:widowControl/>
        <w:suppressLineNumbers w:val="0"/>
        <w:spacing w:line="26" w:lineRule="atLeast"/>
        <w:jc w:val="center"/>
      </w:pPr>
      <w:r>
        <w:rPr>
          <w:rFonts w:hint="eastAsia" w:ascii="微软雅黑" w:hAnsi="微软雅黑" w:eastAsia="微软雅黑" w:cs="微软雅黑"/>
          <w:i w:val="0"/>
          <w:iCs w:val="0"/>
          <w:caps w:val="0"/>
          <w:color w:val="000000"/>
          <w:spacing w:val="0"/>
          <w:sz w:val="24"/>
          <w:szCs w:val="24"/>
          <w:shd w:val="clear" w:fill="FFFFFF"/>
        </w:rPr>
        <w:t>源政字〔2021〕19号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各镇人民政府，各街道办事处，开发区管委会，县政府各部门，各有关企事业单位：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《沂源县</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年度国有建设用地供应计划》已经县政府同意，现印发给你们，请认真遵照执行。</w:t>
      </w:r>
    </w:p>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ind w:left="0" w:right="1063" w:firstLine="5040"/>
        <w:jc w:val="both"/>
      </w:pPr>
      <w:r>
        <w:rPr>
          <w:rFonts w:hint="eastAsia" w:ascii="微软雅黑" w:hAnsi="微软雅黑" w:eastAsia="微软雅黑" w:cs="微软雅黑"/>
          <w:sz w:val="24"/>
          <w:szCs w:val="24"/>
        </w:rPr>
        <w:t>                                                                                                           沂源县人民政府</w:t>
      </w:r>
    </w:p>
    <w:p>
      <w:pPr>
        <w:pStyle w:val="2"/>
        <w:keepNext w:val="0"/>
        <w:keepLines w:val="0"/>
        <w:widowControl/>
        <w:suppressLineNumbers w:val="0"/>
        <w:spacing w:line="26" w:lineRule="atLeast"/>
        <w:ind w:left="0" w:firstLine="5120"/>
      </w:pPr>
      <w:r>
        <w:rPr>
          <w:rFonts w:hint="eastAsia" w:ascii="微软雅黑" w:hAnsi="微软雅黑" w:eastAsia="微软雅黑" w:cs="微软雅黑"/>
          <w:sz w:val="24"/>
          <w:szCs w:val="24"/>
          <w:lang w:val="en-US"/>
        </w:rPr>
        <w:t>                                                                                                          2021</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rPr>
        <w:t>10</w:t>
      </w:r>
      <w:r>
        <w:rPr>
          <w:rFonts w:hint="eastAsia" w:ascii="微软雅黑" w:hAnsi="微软雅黑" w:eastAsia="微软雅黑" w:cs="微软雅黑"/>
          <w:sz w:val="24"/>
          <w:szCs w:val="24"/>
        </w:rPr>
        <w:t xml:space="preserve">日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lang w:val="en-US"/>
        </w:rPr>
        <w:t> </w:t>
      </w:r>
      <w:r>
        <w:rPr>
          <w:rStyle w:val="5"/>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w:t>
      </w:r>
      <w:r>
        <w:rPr>
          <w:rStyle w:val="5"/>
          <w:rFonts w:hint="eastAsia" w:ascii="微软雅黑" w:hAnsi="微软雅黑" w:eastAsia="微软雅黑" w:cs="微软雅黑"/>
          <w:sz w:val="24"/>
          <w:szCs w:val="24"/>
          <w:lang w:val="en-US"/>
        </w:rPr>
        <w:t>2021</w:t>
      </w:r>
      <w:r>
        <w:rPr>
          <w:rStyle w:val="5"/>
          <w:rFonts w:hint="eastAsia" w:ascii="微软雅黑" w:hAnsi="微软雅黑" w:eastAsia="微软雅黑" w:cs="微软雅黑"/>
          <w:sz w:val="24"/>
          <w:szCs w:val="24"/>
        </w:rPr>
        <w:t>年度国有建设用地供应计划</w:t>
      </w:r>
    </w:p>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发挥政府对土地市场宏观调控作用，强化土地供应管理，立足保护资源、保障发展、服务民生，优化国有建设用地供应结构和空间布局，切实保障我县各项建设用地供应，促进经济社会持续健康发展，依据省自然资源厅《关于开展</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年住宅用地供应分类调控工作的通知》（鲁自然资字〔</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rPr>
        <w:t>22</w:t>
      </w:r>
      <w:r>
        <w:rPr>
          <w:rFonts w:hint="eastAsia" w:ascii="微软雅黑" w:hAnsi="微软雅黑" w:eastAsia="微软雅黑" w:cs="微软雅黑"/>
          <w:sz w:val="24"/>
          <w:szCs w:val="24"/>
        </w:rPr>
        <w:t>号）、《淄博市</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年度国有建设用地供应计划》（淄政字〔</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rPr>
        <w:t>36</w:t>
      </w:r>
      <w:r>
        <w:rPr>
          <w:rFonts w:hint="eastAsia" w:ascii="微软雅黑" w:hAnsi="微软雅黑" w:eastAsia="微软雅黑" w:cs="微软雅黑"/>
          <w:sz w:val="24"/>
          <w:szCs w:val="24"/>
        </w:rPr>
        <w:t>号）等文件，结合我县城乡总体规划、土地利用总体规划，参考历年实际供地情况和本年度用地需求，制定本计划。</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一、指导思想和基本原则</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（一）指导思想</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以习近平新时代中国特色社会主义思想为指导，深入贯彻党的十九大和十九届二中、三中、四中、五中全会精神，紧紧围绕统筹推进“五位一体”总体布局和协调推进“四个全面”战略布局，以推动高质量发展为主题，以深化供给侧结构性改革为主线，优化城市用地结构，优先保护基本农田，保障生态用地，合理安排建设用地。通过科学供地，促进转变发展方式、优化经济结构、转换增长动力，持续优存量、扩增量，加快经济发展质量变革、效率变革、动力变革。</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（二）基本原则</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节约集约用地原则。严格保护耕地，控制新增建设用地总量，加大“批而未供”土地消化力度和存量挖潜力度，加快关停企业闲置土地处置，优先供应存量建设用地，着力保障经济社会发展的合理用地需求，切实提高土地利用效率，实现土地集约、产业集中、发展集聚，促进经济社会转型发展。</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有保有压原则。优化土地供应结构，有保有压，优先保障民生项目、重点建设项目、基础设施建设项目、保障性住房项目、战略性新兴产业项目用地，合理确定城镇村建设新增用地，促进民生改善，促进房地产市场平稳健康发展，促进新旧动能转换产业结构调整和经济增长方式转变。积极引导土地向新材料、新医药、智能装备、电子信息等产业项目，尤其是重大项目、龙头项目和战略性新兴产业项目倾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城乡统筹原则。优化土地供应空间布局，坚持区域联动发展和城乡统筹发展要求，促进中心城区、重点园区、新农村协调发展，优化产业布局，着力提升城市综合服务功能。</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4.</w:t>
      </w:r>
      <w:r>
        <w:rPr>
          <w:rFonts w:hint="eastAsia" w:ascii="微软雅黑" w:hAnsi="微软雅黑" w:eastAsia="微软雅黑" w:cs="微软雅黑"/>
          <w:sz w:val="24"/>
          <w:szCs w:val="24"/>
        </w:rPr>
        <w:t>从严从紧原则。严格执行国家土地供应政策，严格规范土地供应方式，严格土地使用标准，积极发挥市场配置土地资源的决定性作用。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二、计划指标</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（一）国有建设用地供应总量</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年沂源县国有建设用地计划供应总量</w:t>
      </w:r>
      <w:r>
        <w:rPr>
          <w:rFonts w:hint="eastAsia" w:ascii="微软雅黑" w:hAnsi="微软雅黑" w:eastAsia="微软雅黑" w:cs="微软雅黑"/>
          <w:sz w:val="24"/>
          <w:szCs w:val="24"/>
          <w:lang w:val="en-US"/>
        </w:rPr>
        <w:t>140.1776</w:t>
      </w:r>
      <w:r>
        <w:rPr>
          <w:rFonts w:hint="eastAsia" w:ascii="微软雅黑" w:hAnsi="微软雅黑" w:eastAsia="微软雅黑" w:cs="微软雅黑"/>
          <w:sz w:val="24"/>
          <w:szCs w:val="24"/>
        </w:rPr>
        <w:t>公顷。</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（二）国有建设用地供应结构</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年沂源县国有建设用地供应总量中，商服用地</w:t>
      </w:r>
      <w:r>
        <w:rPr>
          <w:rFonts w:hint="eastAsia" w:ascii="微软雅黑" w:hAnsi="微软雅黑" w:eastAsia="微软雅黑" w:cs="微软雅黑"/>
          <w:sz w:val="24"/>
          <w:szCs w:val="24"/>
          <w:lang w:val="en-US"/>
        </w:rPr>
        <w:t>20.3225</w:t>
      </w:r>
      <w:r>
        <w:rPr>
          <w:rFonts w:hint="eastAsia" w:ascii="微软雅黑" w:hAnsi="微软雅黑" w:eastAsia="微软雅黑" w:cs="微软雅黑"/>
          <w:sz w:val="24"/>
          <w:szCs w:val="24"/>
        </w:rPr>
        <w:t>公顷，工矿仓储用地</w:t>
      </w:r>
      <w:r>
        <w:rPr>
          <w:rFonts w:hint="eastAsia" w:ascii="微软雅黑" w:hAnsi="微软雅黑" w:eastAsia="微软雅黑" w:cs="微软雅黑"/>
          <w:sz w:val="24"/>
          <w:szCs w:val="24"/>
          <w:lang w:val="en-US"/>
        </w:rPr>
        <w:t>43.1135</w:t>
      </w:r>
      <w:r>
        <w:rPr>
          <w:rFonts w:hint="eastAsia" w:ascii="微软雅黑" w:hAnsi="微软雅黑" w:eastAsia="微软雅黑" w:cs="微软雅黑"/>
          <w:sz w:val="24"/>
          <w:szCs w:val="24"/>
        </w:rPr>
        <w:t>公顷，住宅用地</w:t>
      </w:r>
      <w:r>
        <w:rPr>
          <w:rFonts w:hint="eastAsia" w:ascii="微软雅黑" w:hAnsi="微软雅黑" w:eastAsia="微软雅黑" w:cs="微软雅黑"/>
          <w:sz w:val="24"/>
          <w:szCs w:val="24"/>
          <w:lang w:val="en-US"/>
        </w:rPr>
        <w:t>21.4239</w:t>
      </w:r>
      <w:r>
        <w:rPr>
          <w:rFonts w:hint="eastAsia" w:ascii="微软雅黑" w:hAnsi="微软雅黑" w:eastAsia="微软雅黑" w:cs="微软雅黑"/>
          <w:sz w:val="24"/>
          <w:szCs w:val="24"/>
        </w:rPr>
        <w:t>公顷（其中，产权住宅用地</w:t>
      </w:r>
      <w:r>
        <w:rPr>
          <w:rFonts w:hint="eastAsia" w:ascii="微软雅黑" w:hAnsi="微软雅黑" w:eastAsia="微软雅黑" w:cs="微软雅黑"/>
          <w:sz w:val="24"/>
          <w:szCs w:val="24"/>
          <w:lang w:val="en-US"/>
        </w:rPr>
        <w:t>19.4535</w:t>
      </w:r>
      <w:r>
        <w:rPr>
          <w:rFonts w:hint="eastAsia" w:ascii="微软雅黑" w:hAnsi="微软雅黑" w:eastAsia="微软雅黑" w:cs="微软雅黑"/>
          <w:sz w:val="24"/>
          <w:szCs w:val="24"/>
        </w:rPr>
        <w:t>公顷、其他住宅用地</w:t>
      </w:r>
      <w:r>
        <w:rPr>
          <w:rFonts w:hint="eastAsia" w:ascii="微软雅黑" w:hAnsi="微软雅黑" w:eastAsia="微软雅黑" w:cs="微软雅黑"/>
          <w:sz w:val="24"/>
          <w:szCs w:val="24"/>
          <w:lang w:val="en-US"/>
        </w:rPr>
        <w:t>1.9704</w:t>
      </w:r>
      <w:r>
        <w:rPr>
          <w:rFonts w:hint="eastAsia" w:ascii="微软雅黑" w:hAnsi="微软雅黑" w:eastAsia="微软雅黑" w:cs="微软雅黑"/>
          <w:sz w:val="24"/>
          <w:szCs w:val="24"/>
        </w:rPr>
        <w:t>公顷），公共管理与公共服务用地</w:t>
      </w:r>
      <w:r>
        <w:rPr>
          <w:rFonts w:hint="eastAsia" w:ascii="微软雅黑" w:hAnsi="微软雅黑" w:eastAsia="微软雅黑" w:cs="微软雅黑"/>
          <w:sz w:val="24"/>
          <w:szCs w:val="24"/>
          <w:lang w:val="en-US"/>
        </w:rPr>
        <w:t>2.2774</w:t>
      </w:r>
      <w:r>
        <w:rPr>
          <w:rFonts w:hint="eastAsia" w:ascii="微软雅黑" w:hAnsi="微软雅黑" w:eastAsia="微软雅黑" w:cs="微软雅黑"/>
          <w:sz w:val="24"/>
          <w:szCs w:val="24"/>
        </w:rPr>
        <w:t>公顷，交通运输用地</w:t>
      </w:r>
      <w:r>
        <w:rPr>
          <w:rFonts w:hint="eastAsia" w:ascii="微软雅黑" w:hAnsi="微软雅黑" w:eastAsia="微软雅黑" w:cs="微软雅黑"/>
          <w:sz w:val="24"/>
          <w:szCs w:val="24"/>
          <w:lang w:val="en-US"/>
        </w:rPr>
        <w:t>53.0403</w:t>
      </w:r>
      <w:r>
        <w:rPr>
          <w:rFonts w:hint="eastAsia" w:ascii="微软雅黑" w:hAnsi="微软雅黑" w:eastAsia="微软雅黑" w:cs="微软雅黑"/>
          <w:sz w:val="24"/>
          <w:szCs w:val="24"/>
        </w:rPr>
        <w:t>公顷。</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三、政策导向</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（一）优化空间布局</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进一步优化城市空间布局，增强城市活力。</w:t>
      </w:r>
      <w:r>
        <w:rPr>
          <w:rFonts w:hint="eastAsia" w:ascii="微软雅黑" w:hAnsi="微软雅黑" w:eastAsia="微软雅黑" w:cs="微软雅黑"/>
          <w:color w:val="000000"/>
          <w:spacing w:val="10"/>
          <w:sz w:val="24"/>
          <w:szCs w:val="24"/>
        </w:rPr>
        <w:t>按照“东扩西跨、南优北拓、中部提升”的思路，坚持适度超前、科学定位，以人民路、南麻大街等主干道路为轴线，深度对接大社区规划，精心搞好城市产业布局、项目设计和市场运营。实施城市能级活力和品质提升攻坚行动，建设城市文化会客厅，规划建设世纪新城步行街等特色夜间经济示范街区，打造多彩活力的青年创业友好型城市。</w:t>
      </w:r>
    </w:p>
    <w:p>
      <w:pPr>
        <w:pStyle w:val="2"/>
        <w:keepNext w:val="0"/>
        <w:keepLines w:val="0"/>
        <w:widowControl/>
        <w:suppressLineNumbers w:val="0"/>
        <w:spacing w:line="26" w:lineRule="atLeast"/>
        <w:ind w:left="0" w:firstLine="680"/>
      </w:pPr>
      <w:r>
        <w:rPr>
          <w:rFonts w:hint="eastAsia" w:ascii="微软雅黑" w:hAnsi="微软雅黑" w:eastAsia="微软雅黑" w:cs="微软雅黑"/>
          <w:color w:val="000000"/>
          <w:spacing w:val="10"/>
          <w:sz w:val="24"/>
          <w:szCs w:val="24"/>
          <w:lang w:val="en-US"/>
        </w:rPr>
        <w:t>2.</w:t>
      </w:r>
      <w:r>
        <w:rPr>
          <w:rFonts w:hint="eastAsia" w:ascii="微软雅黑" w:hAnsi="微软雅黑" w:eastAsia="微软雅黑" w:cs="微软雅黑"/>
          <w:color w:val="000000"/>
          <w:spacing w:val="10"/>
          <w:sz w:val="24"/>
          <w:szCs w:val="24"/>
        </w:rPr>
        <w:t>实施城市更新行动。按照“改得好、住得起、可持续”的总体要求，稳妥推进城市开发和老旧小区改造，实施健康路北延、祥源路北延等断头路贯通工程。实施新基建三年行动，规划建设</w:t>
      </w:r>
      <w:r>
        <w:rPr>
          <w:rFonts w:hint="eastAsia" w:ascii="微软雅黑" w:hAnsi="微软雅黑" w:eastAsia="微软雅黑" w:cs="微软雅黑"/>
          <w:color w:val="000000"/>
          <w:spacing w:val="10"/>
          <w:sz w:val="24"/>
          <w:szCs w:val="24"/>
          <w:lang w:val="en-US"/>
        </w:rPr>
        <w:t>5G</w:t>
      </w:r>
      <w:r>
        <w:rPr>
          <w:rFonts w:hint="eastAsia" w:ascii="微软雅黑" w:hAnsi="微软雅黑" w:eastAsia="微软雅黑" w:cs="微软雅黑"/>
          <w:color w:val="000000"/>
          <w:spacing w:val="10"/>
          <w:sz w:val="24"/>
          <w:szCs w:val="24"/>
        </w:rPr>
        <w:t>基站</w:t>
      </w:r>
      <w:r>
        <w:rPr>
          <w:rFonts w:hint="eastAsia" w:ascii="微软雅黑" w:hAnsi="微软雅黑" w:eastAsia="微软雅黑" w:cs="微软雅黑"/>
          <w:color w:val="000000"/>
          <w:spacing w:val="10"/>
          <w:sz w:val="24"/>
          <w:szCs w:val="24"/>
          <w:lang w:val="en-US"/>
        </w:rPr>
        <w:t>200</w:t>
      </w:r>
      <w:r>
        <w:rPr>
          <w:rFonts w:hint="eastAsia" w:ascii="微软雅黑" w:hAnsi="微软雅黑" w:eastAsia="微软雅黑" w:cs="微软雅黑"/>
          <w:color w:val="000000"/>
          <w:spacing w:val="10"/>
          <w:sz w:val="24"/>
          <w:szCs w:val="24"/>
        </w:rPr>
        <w:t>个、汽车充电桩</w:t>
      </w:r>
      <w:r>
        <w:rPr>
          <w:rFonts w:hint="eastAsia" w:ascii="微软雅黑" w:hAnsi="微软雅黑" w:eastAsia="微软雅黑" w:cs="微软雅黑"/>
          <w:color w:val="000000"/>
          <w:spacing w:val="10"/>
          <w:sz w:val="24"/>
          <w:szCs w:val="24"/>
          <w:lang w:val="en-US"/>
        </w:rPr>
        <w:t>56</w:t>
      </w:r>
      <w:r>
        <w:rPr>
          <w:rFonts w:hint="eastAsia" w:ascii="微软雅黑" w:hAnsi="微软雅黑" w:eastAsia="微软雅黑" w:cs="微软雅黑"/>
          <w:color w:val="000000"/>
          <w:spacing w:val="10"/>
          <w:sz w:val="24"/>
          <w:szCs w:val="24"/>
        </w:rPr>
        <w:t>个。坚持以“绣花功夫”管理城市，抓好新型智慧城市省级试点工作，建设数字沂源综合指挥中心，完善智慧城管平台，打造城市管理示范路，扩大“红色物业”覆盖面，提升城市管理智能化、精细化水平。</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（二）优化土地供应结构</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坚持以新旧动能转换为引领，进一步优化产业布局。</w:t>
      </w:r>
      <w:r>
        <w:rPr>
          <w:rFonts w:hint="eastAsia" w:ascii="微软雅黑" w:hAnsi="微软雅黑" w:eastAsia="微软雅黑" w:cs="微软雅黑"/>
          <w:color w:val="000000"/>
          <w:spacing w:val="10"/>
          <w:sz w:val="24"/>
          <w:szCs w:val="24"/>
        </w:rPr>
        <w:t>按照“紧盯前沿、打造生态、沿链聚合、集群发展”思路，聚焦“五个优化”，加快存量变革和增量崛起，加速产业资源横向聚合、纵向延展，推动产业链、供应链优化升级。</w:t>
      </w:r>
      <w:r>
        <w:rPr>
          <w:rFonts w:hint="eastAsia" w:ascii="微软雅黑" w:hAnsi="微软雅黑" w:eastAsia="微软雅黑" w:cs="微软雅黑"/>
          <w:sz w:val="24"/>
          <w:szCs w:val="24"/>
        </w:rPr>
        <w:t>突出优质投资拉动，保障重大项目开工率和投资完成率。严格实行环境准入制度，坚决把严新建项目节能环保门槛，严禁高能耗、高物耗、高污染、低附加值的产业项目用地。</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保证重大基础设施和以改善民生为重点的公共服务、环境建设的土地供应，创造良好的城市环境，提升城市运行和服务水平。结合“国家义务教育优质均衡发展县（区）”“健康沂源”建设，保障教育、医疗等以改善民生为重点的公共管理与公共服务建设用地供应，构建覆盖城乡、功能完善的综合公共服务体系。合理保障生态工程建设所需用地，大力改善城市生态环境，建设宜居城市。</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合理安排住宅用地供应规模。优先保障租赁住房建设用地，加大供应规模，分级建设产权型、租赁型人才公寓等。加快棚户区改造、保障性住房建设和城市老旧居住区整治，确保保障性住房用地、棚户区改造住房用地、中小套型普通商品住房用地“三类用地”达到住房用地供应总量的</w:t>
      </w:r>
      <w:r>
        <w:rPr>
          <w:rFonts w:hint="eastAsia" w:ascii="微软雅黑" w:hAnsi="微软雅黑" w:eastAsia="微软雅黑" w:cs="微软雅黑"/>
          <w:sz w:val="24"/>
          <w:szCs w:val="24"/>
          <w:lang w:val="en-US"/>
        </w:rPr>
        <w:t>70%</w:t>
      </w:r>
      <w:r>
        <w:rPr>
          <w:rFonts w:hint="eastAsia" w:ascii="微软雅黑" w:hAnsi="微软雅黑" w:eastAsia="微软雅黑" w:cs="微软雅黑"/>
          <w:sz w:val="24"/>
          <w:szCs w:val="24"/>
        </w:rPr>
        <w:t>以上。积极化解房地产库存，严格限制高档住宅商品房项目建设用地供应，禁止别墅类建设用地供应。</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（三）促进土地集约节约利用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严格保护耕地，控制新增建设用地增长速度和规模，促进土地资源有效利用和可持续利用。严格按照省自然资源厅下达的土地利用年度计划确定的建设用地规模、农用地转用规模、耕地保有量和耕地指标，从紧从严控制耕地转为建设用地。严格保护永久基本农田，一般建设项目不得占用永久基本农田，重大建设项目选址确实难以避让永久基本农田的，按程序上报自然资源部预审并依法依规报国务院批准农用地转用和土地征收。大力实施土地整治，认真落实补充耕地任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促进工矿仓储用地节约集约利用，提高工矿仓储用地利用效率。严格执行工矿仓储用地标准和相关控制性标准，合理控制工矿仓储用地规模。工业用地项目提倡和推广多层标准厂房建设，新建工业项目平均容积率一般不低于</w:t>
      </w:r>
      <w:r>
        <w:rPr>
          <w:rFonts w:hint="eastAsia" w:ascii="微软雅黑" w:hAnsi="微软雅黑" w:eastAsia="微软雅黑" w:cs="微软雅黑"/>
          <w:sz w:val="24"/>
          <w:szCs w:val="24"/>
          <w:lang w:val="en-US"/>
        </w:rPr>
        <w:t>1.0</w:t>
      </w:r>
      <w:r>
        <w:rPr>
          <w:rFonts w:hint="eastAsia" w:ascii="微软雅黑" w:hAnsi="微软雅黑" w:eastAsia="微软雅黑" w:cs="微软雅黑"/>
          <w:sz w:val="24"/>
          <w:szCs w:val="24"/>
        </w:rPr>
        <w:t>，建筑系数一般不低于</w:t>
      </w:r>
      <w:r>
        <w:rPr>
          <w:rFonts w:hint="eastAsia" w:ascii="微软雅黑" w:hAnsi="微软雅黑" w:eastAsia="微软雅黑" w:cs="微软雅黑"/>
          <w:sz w:val="24"/>
          <w:szCs w:val="24"/>
          <w:lang w:val="en-US"/>
        </w:rPr>
        <w:t>40%</w:t>
      </w:r>
      <w:r>
        <w:rPr>
          <w:rFonts w:hint="eastAsia" w:ascii="微软雅黑" w:hAnsi="微软雅黑" w:eastAsia="微软雅黑" w:cs="微软雅黑"/>
          <w:sz w:val="24"/>
          <w:szCs w:val="24"/>
        </w:rPr>
        <w:t>。</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加强土地批后监管，促进土地有效开发利用。持续加大执法监察和督查力度，建立相关职能部门相互协同配合监管机制，加强建设用地批后监管制度建设，不断完善相关政策规定，综合运用行政手段、法律手段和经济手段，确保土地有效开发利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（四）发挥市场配置资源决定性作用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建立健全市场配置土地资源的长效机制，发挥市场配置资源的决定性作用。充分运用土地价格调控土地市场，提高土地资源配置效率，建立统一、开放、规范、有序的土地市场体系。加大政府土地储备力度，完善土地一级开发机制，增强政府住房保障和调控市场的能力。</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严格落实工业和经营性用地招拍挂出让制度，实行经营性基础设施用地有偿使用。进一步加强划拨用地管理，严格控制划拨用地范围，逐步扩大国有土地有偿使用范围。</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强化市场管理，严把投资准入门槛。及时更新城镇基准地价，发挥地价对土地市场的调控作用，有效利用经济杠杆将有限的土地资源配置到最需要的行业和部门，以达到土地集约节约与高效利用的目的。</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四、工作要求</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切实强化措施，确保供地服务效率和质量。计划实施过程中，要把握全面，突出重点，强化服务，简化审批程序，提高服务效率。对年度重点项目用地、政策性住房用地、单列租赁住房用地要超前介入，跟踪服务，全程保障，确保满足项目建设用地需求。</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健全土地储备运行机制，提高政府对土地供应的宏观调控能力。加大政府在土地储备开发和土地供应中的主导性作用，科学编制土地储备年度计划和土地储备开发计划，完善土地储备开发运作模式，加大政府储备力度，充分挖潜存量用地，优先供应存量建设用地和闲置土地。</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加强沟通和协调，建立计划实施联动机制。县发展改革、工业和信息化、自然资源、住房城乡建设、生态环境、交通运输、文化和旅游、教育和体育等相关部门要加强协作配合，及时协调解决计划实施过程中遇到的问题，对县政府确定的重大项目要优化审批服务，开辟供地快速通道。各镇政府（街道办事处）要充分发挥政府在土地供应计划实施中的主体作用，加强规划设计、征地拆迁、房屋征收等前期工作协调沟通，确保计划顺利实施。</w:t>
      </w:r>
    </w:p>
    <w:p>
      <w:pPr>
        <w:pStyle w:val="2"/>
        <w:keepNext w:val="0"/>
        <w:keepLines w:val="0"/>
        <w:widowControl/>
        <w:suppressLineNumbers w:val="0"/>
        <w:spacing w:before="0" w:beforeAutospacing="0" w:after="0" w:afterAutospacing="0" w:line="26" w:lineRule="atLeast"/>
        <w:ind w:left="0" w:right="0" w:firstLine="640"/>
        <w:jc w:val="both"/>
      </w:pPr>
      <w:r>
        <w:rPr>
          <w:rFonts w:hint="eastAsia" w:ascii="微软雅黑" w:hAnsi="微软雅黑" w:eastAsia="微软雅黑" w:cs="微软雅黑"/>
          <w:sz w:val="24"/>
          <w:szCs w:val="24"/>
        </w:rPr>
        <w:t>（四）严格供应计划执行，实施精细化管理。实施国有建设用地全生命周期的精细化管理，科学合理安排土地上市规模、结构、时序。研究完善多种市场调控措施，精准调控土地市场，稳定市场预期，确保土地市场平稳健康发展。加强供应计划管理，建立工作台账，严格按照供应计划组织实施。自然资源部门要加强对计划实施的动态跟踪管理，及时调度供地进度，确保重点项目用地及时落实到位，按期完成建设任务；对因特殊原因影响供应计划执行的，要及时会同相关部门做好计划调整工作，并及时向社会公布。</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强化批后监管，建立计划执行监督制度。建立用地公示制度，方便社会监督，确保重点项目用地及时落实到位，按期完成建设任务；对严格执行土地供应政策、土地利用集约程度高、土地利用效益好的单位，在下年度计划指标分配中予以优先支持。加强土地用途管制，加大违法违规用地查处力度。</w:t>
      </w:r>
    </w:p>
    <w:p>
      <w:pPr>
        <w:pStyle w:val="2"/>
        <w:keepNext w:val="0"/>
        <w:keepLines w:val="0"/>
        <w:widowControl/>
        <w:suppressLineNumbers w:val="0"/>
        <w:spacing w:before="0" w:beforeAutospacing="0" w:after="0" w:afterAutospacing="0" w:line="26" w:lineRule="atLeast"/>
        <w:ind w:left="0" w:right="0" w:firstLine="640"/>
        <w:jc w:val="both"/>
      </w:pPr>
      <w:r>
        <w:rPr>
          <w:rFonts w:hint="eastAsia" w:ascii="微软雅黑" w:hAnsi="微软雅黑" w:eastAsia="微软雅黑" w:cs="微软雅黑"/>
          <w:sz w:val="24"/>
          <w:szCs w:val="24"/>
        </w:rPr>
        <w:t>（六）建立土地供应计划编制长效机制。对土地年度供应计划合理预测，严格实施，及时调整。年度供应完成后，及时进行总结分析，为下一年度供应计划编制提供依据。</w:t>
      </w:r>
    </w:p>
    <w:p>
      <w:pPr>
        <w:pStyle w:val="2"/>
        <w:keepNext w:val="0"/>
        <w:keepLines w:val="0"/>
        <w:widowControl/>
        <w:suppressLineNumbers w:val="0"/>
        <w:spacing w:before="0" w:beforeAutospacing="0" w:after="0" w:afterAutospacing="0" w:line="26" w:lineRule="atLeast"/>
        <w:ind w:left="0" w:right="0" w:firstLine="640"/>
        <w:jc w:val="both"/>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沂源县</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年度国有建设用地供应计划表</w:t>
      </w:r>
    </w:p>
    <w:p>
      <w:pPr>
        <w:pStyle w:val="2"/>
        <w:keepNext w:val="0"/>
        <w:keepLines w:val="0"/>
        <w:widowControl/>
        <w:suppressLineNumbers w:val="0"/>
        <w:spacing w:line="26" w:lineRule="atLeast"/>
        <w:ind w:left="0" w:firstLine="672"/>
      </w:pPr>
      <w:r>
        <w:rPr>
          <w:rFonts w:hint="eastAsia" w:ascii="微软雅黑" w:hAnsi="微软雅黑" w:eastAsia="微软雅黑" w:cs="微软雅黑"/>
          <w:sz w:val="24"/>
          <w:szCs w:val="24"/>
          <w:lang w:val="en-US"/>
        </w:rPr>
        <w:t>      2.</w:t>
      </w:r>
      <w:r>
        <w:rPr>
          <w:rFonts w:hint="eastAsia" w:ascii="微软雅黑" w:hAnsi="微软雅黑" w:eastAsia="微软雅黑" w:cs="微软雅黑"/>
          <w:sz w:val="24"/>
          <w:szCs w:val="24"/>
        </w:rPr>
        <w:t>沂源县</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年度住宅用地供应计划</w:t>
      </w:r>
    </w:p>
    <w:p>
      <w:pPr>
        <w:pStyle w:val="2"/>
        <w:keepNext w:val="0"/>
        <w:keepLines w:val="0"/>
        <w:widowControl/>
        <w:suppressLineNumbers w:val="0"/>
        <w:spacing w:line="26" w:lineRule="atLeast"/>
        <w:ind w:left="0" w:firstLine="672"/>
      </w:pPr>
      <w:r>
        <w:rPr>
          <w:rFonts w:hint="eastAsia" w:ascii="微软雅黑" w:hAnsi="微软雅黑" w:eastAsia="微软雅黑" w:cs="微软雅黑"/>
          <w:sz w:val="24"/>
          <w:szCs w:val="24"/>
          <w:lang w:val="en-US"/>
        </w:rPr>
        <w:t>      3.</w:t>
      </w:r>
      <w:r>
        <w:rPr>
          <w:rFonts w:hint="eastAsia" w:ascii="微软雅黑" w:hAnsi="微软雅黑" w:eastAsia="微软雅黑" w:cs="微软雅黑"/>
          <w:sz w:val="24"/>
          <w:szCs w:val="24"/>
        </w:rPr>
        <w:t>沂源县</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年度住宅用地供应计划表</w:t>
      </w:r>
    </w:p>
    <w:p>
      <w:pPr>
        <w:pStyle w:val="2"/>
        <w:keepNext w:val="0"/>
        <w:keepLines w:val="0"/>
        <w:widowControl/>
        <w:suppressLineNumbers w:val="0"/>
        <w:spacing w:line="26" w:lineRule="atLeast"/>
        <w:ind w:left="0" w:firstLine="672"/>
      </w:pPr>
      <w:r>
        <w:rPr>
          <w:rFonts w:hint="eastAsia" w:ascii="微软雅黑" w:hAnsi="微软雅黑" w:eastAsia="微软雅黑" w:cs="微软雅黑"/>
          <w:sz w:val="24"/>
          <w:szCs w:val="24"/>
          <w:lang w:val="en-US"/>
        </w:rPr>
        <w:t>      4.</w:t>
      </w:r>
      <w:r>
        <w:rPr>
          <w:rFonts w:hint="eastAsia" w:ascii="微软雅黑" w:hAnsi="微软雅黑" w:eastAsia="微软雅黑" w:cs="微软雅黑"/>
          <w:sz w:val="24"/>
          <w:szCs w:val="24"/>
        </w:rPr>
        <w:t>沂源县</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年度住宅用地供应计划宗地明细表</w:t>
      </w:r>
    </w:p>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t> </w:t>
      </w:r>
    </w:p>
    <w:p>
      <w:pPr>
        <w:pStyle w:val="2"/>
        <w:keepNext w:val="0"/>
        <w:keepLines w:val="0"/>
        <w:widowControl/>
        <w:suppressLineNumbers w:val="0"/>
        <w:spacing w:line="400" w:lineRule="atLeast"/>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rPr>
        <w:t>1</w:t>
      </w:r>
    </w:p>
    <w:p>
      <w:pPr>
        <w:pStyle w:val="2"/>
        <w:keepNext w:val="0"/>
        <w:keepLines w:val="0"/>
        <w:widowControl/>
        <w:suppressLineNumbers w:val="0"/>
        <w:spacing w:line="400"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before="156" w:beforeAutospacing="0" w:after="156" w:afterAutospacing="0" w:line="400" w:lineRule="atLeast"/>
        <w:ind w:left="0" w:right="0"/>
        <w:jc w:val="center"/>
      </w:pPr>
      <w:r>
        <w:rPr>
          <w:rFonts w:hint="eastAsia" w:ascii="微软雅黑" w:hAnsi="微软雅黑" w:eastAsia="微软雅黑" w:cs="微软雅黑"/>
          <w:sz w:val="24"/>
          <w:szCs w:val="24"/>
        </w:rPr>
        <w:t>沂源县</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年度国有建设用地供应计划表</w:t>
      </w:r>
    </w:p>
    <w:p>
      <w:pPr>
        <w:pStyle w:val="2"/>
        <w:keepNext w:val="0"/>
        <w:keepLines w:val="0"/>
        <w:widowControl/>
        <w:suppressLineNumbers w:val="0"/>
        <w:spacing w:line="400" w:lineRule="atLeast"/>
        <w:jc w:val="right"/>
      </w:pPr>
      <w:r>
        <w:rPr>
          <w:rFonts w:hint="eastAsia" w:ascii="微软雅黑" w:hAnsi="微软雅黑" w:eastAsia="微软雅黑" w:cs="微软雅黑"/>
          <w:sz w:val="24"/>
          <w:szCs w:val="24"/>
        </w:rPr>
        <w:t>单位：公顷</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71"/>
        <w:gridCol w:w="988"/>
        <w:gridCol w:w="863"/>
        <w:gridCol w:w="863"/>
        <w:gridCol w:w="863"/>
        <w:gridCol w:w="863"/>
        <w:gridCol w:w="271"/>
        <w:gridCol w:w="737"/>
        <w:gridCol w:w="737"/>
        <w:gridCol w:w="863"/>
        <w:gridCol w:w="271"/>
        <w:gridCol w:w="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6" w:hRule="atLeast"/>
          <w:jc w:val="center"/>
        </w:trPr>
        <w:tc>
          <w:tcPr>
            <w:tcW w:w="1382" w:type="dxa"/>
            <w:vMerge w:val="restart"/>
            <w:tcBorders>
              <w:top w:val="single" w:color="auto" w:sz="8" w:space="0"/>
              <w:left w:val="single" w:color="auto" w:sz="8" w:space="0"/>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ind w:left="0" w:firstLine="560"/>
            </w:pPr>
            <w:r>
              <w:rPr>
                <w:rFonts w:hint="eastAsia" w:ascii="微软雅黑" w:hAnsi="微软雅黑" w:eastAsia="微软雅黑" w:cs="微软雅黑"/>
                <w:sz w:val="24"/>
                <w:szCs w:val="24"/>
                <w:bdr w:val="none" w:color="auto" w:sz="0" w:space="0"/>
              </w:rPr>
              <w:t>用途</w:t>
            </w:r>
          </w:p>
          <w:p>
            <w:pPr>
              <w:pStyle w:val="2"/>
              <w:keepNext w:val="0"/>
              <w:keepLines w:val="0"/>
              <w:widowControl/>
              <w:suppressLineNumbers w:val="0"/>
              <w:ind w:left="0" w:firstLine="700"/>
            </w:pPr>
            <w:r>
              <w:rPr>
                <w:rFonts w:hint="eastAsia" w:ascii="微软雅黑" w:hAnsi="微软雅黑" w:eastAsia="微软雅黑" w:cs="微软雅黑"/>
                <w:sz w:val="24"/>
                <w:szCs w:val="24"/>
                <w:bdr w:val="none" w:color="auto" w:sz="0" w:space="0"/>
                <w:lang w:val="en-US"/>
              </w:rPr>
              <w:t> </w:t>
            </w:r>
          </w:p>
          <w:p>
            <w:pPr>
              <w:pStyle w:val="2"/>
              <w:keepNext w:val="0"/>
              <w:keepLines w:val="0"/>
              <w:widowControl/>
              <w:suppressLineNumbers w:val="0"/>
              <w:ind w:left="0" w:firstLine="140"/>
              <w:jc w:val="left"/>
            </w:pPr>
            <w:r>
              <w:rPr>
                <w:rFonts w:hint="eastAsia" w:ascii="微软雅黑" w:hAnsi="微软雅黑" w:eastAsia="微软雅黑" w:cs="微软雅黑"/>
                <w:sz w:val="24"/>
                <w:szCs w:val="24"/>
                <w:bdr w:val="none" w:color="auto" w:sz="0" w:space="0"/>
              </w:rPr>
              <w:t>区县</w:t>
            </w:r>
          </w:p>
        </w:tc>
        <w:tc>
          <w:tcPr>
            <w:tcW w:w="1415"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合计</w:t>
            </w:r>
          </w:p>
        </w:tc>
        <w:tc>
          <w:tcPr>
            <w:tcW w:w="1146"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商服</w:t>
            </w:r>
          </w:p>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用地</w:t>
            </w:r>
          </w:p>
        </w:tc>
        <w:tc>
          <w:tcPr>
            <w:tcW w:w="1399"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工矿仓储</w:t>
            </w:r>
          </w:p>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用地</w:t>
            </w:r>
          </w:p>
        </w:tc>
        <w:tc>
          <w:tcPr>
            <w:tcW w:w="4971" w:type="dxa"/>
            <w:gridSpan w:val="4"/>
            <w:tcBorders>
              <w:top w:val="single" w:color="auto" w:sz="8" w:space="0"/>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住宅用地</w:t>
            </w:r>
          </w:p>
        </w:tc>
        <w:tc>
          <w:tcPr>
            <w:tcW w:w="1108"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公共管理与公共服务用地</w:t>
            </w:r>
          </w:p>
        </w:tc>
        <w:tc>
          <w:tcPr>
            <w:tcW w:w="1182"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交通运输用地</w:t>
            </w:r>
          </w:p>
        </w:tc>
        <w:tc>
          <w:tcPr>
            <w:tcW w:w="992"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水域及水利设施用地</w:t>
            </w:r>
          </w:p>
        </w:tc>
        <w:tc>
          <w:tcPr>
            <w:tcW w:w="1005" w:type="dxa"/>
            <w:vMerge w:val="restart"/>
            <w:tcBorders>
              <w:top w:val="single" w:color="auto" w:sz="8" w:space="0"/>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特殊</w:t>
            </w:r>
          </w:p>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4" w:hRule="atLeast"/>
          <w:jc w:val="center"/>
        </w:trPr>
        <w:tc>
          <w:tcPr>
            <w:tcW w:w="1382" w:type="dxa"/>
            <w:vMerge w:val="continue"/>
            <w:tcBorders>
              <w:top w:val="single" w:color="auto" w:sz="8" w:space="0"/>
              <w:left w:val="single" w:color="auto" w:sz="8" w:space="0"/>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1415"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1146"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1399"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1260"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小计</w:t>
            </w:r>
          </w:p>
        </w:tc>
        <w:tc>
          <w:tcPr>
            <w:tcW w:w="1257"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产权住宅用地</w:t>
            </w:r>
          </w:p>
        </w:tc>
        <w:tc>
          <w:tcPr>
            <w:tcW w:w="1245"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租赁住宅用地</w:t>
            </w:r>
          </w:p>
        </w:tc>
        <w:tc>
          <w:tcPr>
            <w:tcW w:w="1209"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其他住宅用地</w:t>
            </w:r>
          </w:p>
        </w:tc>
        <w:tc>
          <w:tcPr>
            <w:tcW w:w="1108"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1182"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992"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c>
          <w:tcPr>
            <w:tcW w:w="1005" w:type="dxa"/>
            <w:vMerge w:val="continue"/>
            <w:tcBorders>
              <w:top w:val="single" w:color="auto" w:sz="8" w:space="0"/>
              <w:left w:val="nil"/>
              <w:bottom w:val="single" w:color="auto" w:sz="8" w:space="0"/>
              <w:right w:val="single" w:color="auto" w:sz="8" w:space="0"/>
            </w:tcBorders>
            <w:shd w:val="clear"/>
            <w:tcMar>
              <w:left w:w="28" w:type="dxa"/>
              <w:right w:w="2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jc w:val="center"/>
        </w:trPr>
        <w:tc>
          <w:tcPr>
            <w:tcW w:w="1382" w:type="dxa"/>
            <w:tcBorders>
              <w:top w:val="nil"/>
              <w:left w:val="single" w:color="auto" w:sz="8" w:space="0"/>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沂源县</w:t>
            </w:r>
          </w:p>
        </w:tc>
        <w:tc>
          <w:tcPr>
            <w:tcW w:w="1415"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140.1776</w:t>
            </w:r>
          </w:p>
        </w:tc>
        <w:tc>
          <w:tcPr>
            <w:tcW w:w="1146"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20.3225</w:t>
            </w:r>
          </w:p>
        </w:tc>
        <w:tc>
          <w:tcPr>
            <w:tcW w:w="1399"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43.1135</w:t>
            </w:r>
          </w:p>
        </w:tc>
        <w:tc>
          <w:tcPr>
            <w:tcW w:w="1260"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21.4239</w:t>
            </w:r>
          </w:p>
        </w:tc>
        <w:tc>
          <w:tcPr>
            <w:tcW w:w="1257"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19.4535</w:t>
            </w:r>
          </w:p>
        </w:tc>
        <w:tc>
          <w:tcPr>
            <w:tcW w:w="1245" w:type="dxa"/>
            <w:tcBorders>
              <w:top w:val="nil"/>
              <w:left w:val="nil"/>
              <w:bottom w:val="single" w:color="auto" w:sz="8" w:space="0"/>
              <w:right w:val="single" w:color="auto" w:sz="8" w:space="0"/>
            </w:tcBorders>
            <w:shd w:val="clear"/>
            <w:tcMar>
              <w:left w:w="28" w:type="dxa"/>
              <w:right w:w="28" w:type="dxa"/>
            </w:tcMar>
            <w:vAlign w:val="top"/>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c>
          <w:tcPr>
            <w:tcW w:w="1209"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1.9704</w:t>
            </w:r>
          </w:p>
        </w:tc>
        <w:tc>
          <w:tcPr>
            <w:tcW w:w="1108"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2.2774</w:t>
            </w:r>
          </w:p>
        </w:tc>
        <w:tc>
          <w:tcPr>
            <w:tcW w:w="1182"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53.0403</w:t>
            </w:r>
          </w:p>
        </w:tc>
        <w:tc>
          <w:tcPr>
            <w:tcW w:w="992"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c>
          <w:tcPr>
            <w:tcW w:w="1005" w:type="dxa"/>
            <w:tcBorders>
              <w:top w:val="nil"/>
              <w:left w:val="nil"/>
              <w:bottom w:val="single" w:color="auto" w:sz="8" w:space="0"/>
              <w:right w:val="single" w:color="auto" w:sz="8" w:space="0"/>
            </w:tcBorders>
            <w:shd w:val="clear"/>
            <w:tcMar>
              <w:left w:w="28" w:type="dxa"/>
              <w:right w:w="2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r>
    </w:tbl>
    <w:p>
      <w:pPr>
        <w:pStyle w:val="2"/>
        <w:keepNext w:val="0"/>
        <w:keepLines w:val="0"/>
        <w:widowControl/>
        <w:suppressLineNumbers w:val="0"/>
        <w:spacing w:line="400"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400"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400"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400"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400"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400" w:lineRule="atLeast"/>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rPr>
        <w:t>2</w:t>
      </w:r>
    </w:p>
    <w:p>
      <w:pPr>
        <w:pStyle w:val="2"/>
        <w:keepNext w:val="0"/>
        <w:keepLines w:val="0"/>
        <w:widowControl/>
        <w:suppressLineNumbers w:val="0"/>
        <w:spacing w:line="400"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560" w:lineRule="atLeast"/>
        <w:jc w:val="center"/>
      </w:pPr>
      <w:r>
        <w:rPr>
          <w:rFonts w:hint="eastAsia" w:ascii="微软雅黑" w:hAnsi="微软雅黑" w:eastAsia="微软雅黑" w:cs="微软雅黑"/>
          <w:sz w:val="24"/>
          <w:szCs w:val="24"/>
        </w:rPr>
        <w:t>沂源县</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年度住宅用地供应计划</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lang w:val="en-US"/>
        </w:rPr>
        <w:t> </w:t>
      </w:r>
    </w:p>
    <w:p>
      <w:pPr>
        <w:pStyle w:val="2"/>
        <w:keepNext w:val="0"/>
        <w:keepLines w:val="0"/>
        <w:widowControl/>
        <w:suppressLineNumbers w:val="0"/>
        <w:spacing w:line="560" w:lineRule="atLeast"/>
        <w:ind w:left="0" w:firstLine="636"/>
      </w:pPr>
      <w:r>
        <w:rPr>
          <w:rFonts w:hint="eastAsia" w:ascii="微软雅黑" w:hAnsi="微软雅黑" w:eastAsia="微软雅黑" w:cs="微软雅黑"/>
          <w:sz w:val="24"/>
          <w:szCs w:val="24"/>
        </w:rPr>
        <w:t>一、住宅用地总量和结构</w:t>
      </w:r>
    </w:p>
    <w:p>
      <w:pPr>
        <w:pStyle w:val="2"/>
        <w:keepNext w:val="0"/>
        <w:keepLines w:val="0"/>
        <w:widowControl/>
        <w:suppressLineNumbers w:val="0"/>
        <w:spacing w:line="560" w:lineRule="atLeast"/>
        <w:ind w:left="0" w:firstLine="636"/>
      </w:pP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年度沂源县住宅用地计划供应</w:t>
      </w:r>
      <w:r>
        <w:rPr>
          <w:rFonts w:hint="eastAsia" w:ascii="微软雅黑" w:hAnsi="微软雅黑" w:eastAsia="微软雅黑" w:cs="微软雅黑"/>
          <w:sz w:val="24"/>
          <w:szCs w:val="24"/>
          <w:lang w:val="en-US"/>
        </w:rPr>
        <w:t>21.4239</w:t>
      </w:r>
      <w:r>
        <w:rPr>
          <w:rFonts w:hint="eastAsia" w:ascii="微软雅黑" w:hAnsi="微软雅黑" w:eastAsia="微软雅黑" w:cs="微软雅黑"/>
          <w:sz w:val="24"/>
          <w:szCs w:val="24"/>
        </w:rPr>
        <w:t>公顷，其中产权住宅用地</w:t>
      </w:r>
      <w:r>
        <w:rPr>
          <w:rFonts w:hint="eastAsia" w:ascii="微软雅黑" w:hAnsi="微软雅黑" w:eastAsia="微软雅黑" w:cs="微软雅黑"/>
          <w:sz w:val="24"/>
          <w:szCs w:val="24"/>
          <w:lang w:val="en-US"/>
        </w:rPr>
        <w:t>19.4535</w:t>
      </w:r>
      <w:r>
        <w:rPr>
          <w:rFonts w:hint="eastAsia" w:ascii="微软雅黑" w:hAnsi="微软雅黑" w:eastAsia="微软雅黑" w:cs="微软雅黑"/>
          <w:sz w:val="24"/>
          <w:szCs w:val="24"/>
        </w:rPr>
        <w:t>公顷（均为商品住宅用地），其他住宅用地</w:t>
      </w:r>
      <w:r>
        <w:rPr>
          <w:rFonts w:hint="eastAsia" w:ascii="微软雅黑" w:hAnsi="微软雅黑" w:eastAsia="微软雅黑" w:cs="微软雅黑"/>
          <w:sz w:val="24"/>
          <w:szCs w:val="24"/>
          <w:lang w:val="en-US"/>
        </w:rPr>
        <w:t>1.9704</w:t>
      </w:r>
      <w:r>
        <w:rPr>
          <w:rFonts w:hint="eastAsia" w:ascii="微软雅黑" w:hAnsi="微软雅黑" w:eastAsia="微软雅黑" w:cs="微软雅黑"/>
          <w:sz w:val="24"/>
          <w:szCs w:val="24"/>
        </w:rPr>
        <w:t>公顷（见附件</w:t>
      </w: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w:t>
      </w:r>
    </w:p>
    <w:p>
      <w:pPr>
        <w:pStyle w:val="2"/>
        <w:keepNext w:val="0"/>
        <w:keepLines w:val="0"/>
        <w:widowControl/>
        <w:suppressLineNumbers w:val="0"/>
        <w:spacing w:line="560" w:lineRule="atLeast"/>
        <w:ind w:left="0" w:firstLine="636"/>
      </w:pPr>
      <w:r>
        <w:rPr>
          <w:rFonts w:hint="eastAsia" w:ascii="微软雅黑" w:hAnsi="微软雅黑" w:eastAsia="微软雅黑" w:cs="微软雅黑"/>
          <w:sz w:val="24"/>
          <w:szCs w:val="24"/>
        </w:rPr>
        <w:t>二、住宅用地供应布局</w:t>
      </w:r>
    </w:p>
    <w:p>
      <w:pPr>
        <w:pStyle w:val="2"/>
        <w:keepNext w:val="0"/>
        <w:keepLines w:val="0"/>
        <w:widowControl/>
        <w:suppressLineNumbers w:val="0"/>
        <w:spacing w:line="560" w:lineRule="atLeast"/>
        <w:ind w:left="0" w:firstLine="636"/>
      </w:pPr>
      <w:r>
        <w:rPr>
          <w:rFonts w:hint="eastAsia" w:ascii="微软雅黑" w:hAnsi="微软雅黑" w:eastAsia="微软雅黑" w:cs="微软雅黑"/>
          <w:sz w:val="24"/>
          <w:szCs w:val="24"/>
        </w:rPr>
        <w:t>根据人口结构情况、居民住宅需求、房地产市场走势，合理确定计划供应的住宅用地规模。在区域分布上，历山街道计划供应</w:t>
      </w:r>
      <w:r>
        <w:rPr>
          <w:rFonts w:hint="eastAsia" w:ascii="微软雅黑" w:hAnsi="微软雅黑" w:eastAsia="微软雅黑" w:cs="微软雅黑"/>
          <w:sz w:val="24"/>
          <w:szCs w:val="24"/>
          <w:lang w:val="en-US"/>
        </w:rPr>
        <w:t>13.5466</w:t>
      </w:r>
      <w:r>
        <w:rPr>
          <w:rFonts w:hint="eastAsia" w:ascii="微软雅黑" w:hAnsi="微软雅黑" w:eastAsia="微软雅黑" w:cs="微软雅黑"/>
          <w:sz w:val="24"/>
          <w:szCs w:val="24"/>
        </w:rPr>
        <w:t>公顷，南麻街道计划供应</w:t>
      </w:r>
      <w:r>
        <w:rPr>
          <w:rFonts w:hint="eastAsia" w:ascii="微软雅黑" w:hAnsi="微软雅黑" w:eastAsia="微软雅黑" w:cs="微软雅黑"/>
          <w:sz w:val="24"/>
          <w:szCs w:val="24"/>
          <w:lang w:val="en-US"/>
        </w:rPr>
        <w:t>7.8773</w:t>
      </w:r>
      <w:r>
        <w:rPr>
          <w:rFonts w:hint="eastAsia" w:ascii="微软雅黑" w:hAnsi="微软雅黑" w:eastAsia="微软雅黑" w:cs="微软雅黑"/>
          <w:sz w:val="24"/>
          <w:szCs w:val="24"/>
        </w:rPr>
        <w:t>公顷。</w:t>
      </w:r>
    </w:p>
    <w:p>
      <w:pPr>
        <w:pStyle w:val="2"/>
        <w:keepNext w:val="0"/>
        <w:keepLines w:val="0"/>
        <w:widowControl/>
        <w:suppressLineNumbers w:val="0"/>
        <w:spacing w:line="560" w:lineRule="atLeast"/>
        <w:ind w:left="0" w:firstLine="636"/>
      </w:pPr>
      <w:r>
        <w:rPr>
          <w:rFonts w:hint="eastAsia" w:ascii="微软雅黑" w:hAnsi="微软雅黑" w:eastAsia="微软雅黑" w:cs="微软雅黑"/>
          <w:sz w:val="24"/>
          <w:szCs w:val="24"/>
        </w:rPr>
        <w:t>计划供应的住宅用地宗地情况详见附件</w:t>
      </w:r>
      <w:r>
        <w:rPr>
          <w:rFonts w:hint="eastAsia" w:ascii="微软雅黑" w:hAnsi="微软雅黑" w:eastAsia="微软雅黑" w:cs="微软雅黑"/>
          <w:sz w:val="24"/>
          <w:szCs w:val="24"/>
          <w:lang w:val="en-US"/>
        </w:rPr>
        <w:t>4</w:t>
      </w:r>
      <w:r>
        <w:rPr>
          <w:rFonts w:hint="eastAsia" w:ascii="微软雅黑" w:hAnsi="微软雅黑" w:eastAsia="微软雅黑" w:cs="微软雅黑"/>
          <w:sz w:val="24"/>
          <w:szCs w:val="24"/>
        </w:rPr>
        <w:t>。</w:t>
      </w:r>
    </w:p>
    <w:p>
      <w:pPr>
        <w:pStyle w:val="2"/>
        <w:keepNext w:val="0"/>
        <w:keepLines w:val="0"/>
        <w:widowControl/>
        <w:suppressLineNumbers w:val="0"/>
        <w:spacing w:line="560" w:lineRule="atLeast"/>
        <w:ind w:left="0" w:firstLine="636"/>
      </w:pPr>
      <w:r>
        <w:rPr>
          <w:rFonts w:hint="eastAsia" w:ascii="微软雅黑" w:hAnsi="微软雅黑" w:eastAsia="微软雅黑" w:cs="微软雅黑"/>
          <w:sz w:val="24"/>
          <w:szCs w:val="24"/>
        </w:rPr>
        <w:t>三、住宅用地供应保障措施</w:t>
      </w:r>
    </w:p>
    <w:p>
      <w:pPr>
        <w:pStyle w:val="2"/>
        <w:keepNext w:val="0"/>
        <w:keepLines w:val="0"/>
        <w:widowControl/>
        <w:suppressLineNumbers w:val="0"/>
        <w:spacing w:line="560" w:lineRule="atLeast"/>
        <w:ind w:left="0" w:firstLine="636"/>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强化措施，加强沟通协调。计划实施过程中，要把握全面，突出重点，强化服务，简化审批程序，提高服务效率。县发展改革、工业和信息化、自然资源、住房城乡建设、生态环境、交通运输等相关部门要加强协作配合，及时协调解决住宅用地供应计划实施过程中遇到的问题，对重大项目要优化审批服务，开辟供地快速通道。</w:t>
      </w:r>
    </w:p>
    <w:p>
      <w:pPr>
        <w:pStyle w:val="2"/>
        <w:keepNext w:val="0"/>
        <w:keepLines w:val="0"/>
        <w:widowControl/>
        <w:suppressLineNumbers w:val="0"/>
        <w:spacing w:line="560" w:lineRule="atLeast"/>
        <w:ind w:left="0" w:firstLine="636"/>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科学编制储备计划，确保储备资金需求。加大政府在土地储备开发和土地供应中的主导性作用，科学编制土地储备年度计划和土地储备开发计划，通过政府财政拨款、政府债券筹集等方式保障土地储备资金需求。实施住宅用地供应全生命周期的精细化管理，科学合理安排土地上市规模、结构、时序。</w:t>
      </w:r>
    </w:p>
    <w:p>
      <w:pPr>
        <w:pStyle w:val="2"/>
        <w:keepNext w:val="0"/>
        <w:keepLines w:val="0"/>
        <w:widowControl/>
        <w:suppressLineNumbers w:val="0"/>
        <w:spacing w:line="560" w:lineRule="atLeast"/>
        <w:ind w:left="0" w:firstLine="636"/>
      </w:pP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严格供应计划执行，建立计划执行监督制度。自然资源部门要加强对计划实施的动态跟踪管理，及时调度供地进度，严格按照供应计划组织实施，确保住宅用地项目及时落实到位。加强土地用途管制，加大违法违规用地查处力度。建立用地公示制度，方便社会监督，确保重点项目用地及时落实到位，按期完成建设任务，核查供应计划执行率。对因特殊原因影响供应计划执行的，自然资源部门要及时会同相关部门做好计划调整，并及时向社会公布。</w:t>
      </w:r>
    </w:p>
    <w:p>
      <w:pPr>
        <w:pStyle w:val="2"/>
        <w:keepNext w:val="0"/>
        <w:keepLines w:val="0"/>
        <w:widowControl/>
        <w:suppressLineNumbers w:val="0"/>
        <w:spacing w:line="560" w:lineRule="atLeast"/>
        <w:ind w:left="0" w:firstLine="636"/>
      </w:pPr>
      <w:r>
        <w:rPr>
          <w:rFonts w:hint="eastAsia" w:ascii="微软雅黑" w:hAnsi="微软雅黑" w:eastAsia="微软雅黑" w:cs="微软雅黑"/>
          <w:sz w:val="24"/>
          <w:szCs w:val="24"/>
        </w:rPr>
        <w:t>本计划在沂源县人民政府网站向社会公开，网址：</w:t>
      </w:r>
      <w:r>
        <w:rPr>
          <w:rFonts w:hint="eastAsia" w:ascii="微软雅黑" w:hAnsi="微软雅黑" w:eastAsia="微软雅黑" w:cs="微软雅黑"/>
          <w:sz w:val="24"/>
          <w:szCs w:val="24"/>
          <w:lang w:val="en-US"/>
        </w:rPr>
        <w:t>http://www.yiyuan.gov.cn/gongkai/site_yyxzrzyj/</w:t>
      </w:r>
      <w:r>
        <w:rPr>
          <w:rFonts w:hint="eastAsia" w:ascii="微软雅黑" w:hAnsi="微软雅黑" w:eastAsia="微软雅黑" w:cs="微软雅黑"/>
          <w:sz w:val="24"/>
          <w:szCs w:val="24"/>
        </w:rPr>
        <w:t>。</w:t>
      </w:r>
    </w:p>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400" w:lineRule="atLeast"/>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rPr>
        <w:t>3</w:t>
      </w:r>
    </w:p>
    <w:p>
      <w:pPr>
        <w:pStyle w:val="2"/>
        <w:keepNext w:val="0"/>
        <w:keepLines w:val="0"/>
        <w:widowControl/>
        <w:suppressLineNumbers w:val="0"/>
        <w:spacing w:line="400"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沂源县</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年度住宅用地供应计划表</w:t>
      </w:r>
    </w:p>
    <w:p>
      <w:pPr>
        <w:pStyle w:val="2"/>
        <w:keepNext w:val="0"/>
        <w:keepLines w:val="0"/>
        <w:widowControl/>
        <w:suppressLineNumbers w:val="0"/>
        <w:spacing w:line="400" w:lineRule="atLeast"/>
        <w:jc w:val="right"/>
      </w:pPr>
      <w:r>
        <w:rPr>
          <w:rFonts w:hint="eastAsia" w:ascii="微软雅黑" w:hAnsi="微软雅黑" w:eastAsia="微软雅黑" w:cs="微软雅黑"/>
          <w:sz w:val="24"/>
          <w:szCs w:val="24"/>
        </w:rPr>
        <w:t>单位：公顷</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29"/>
        <w:gridCol w:w="1257"/>
        <w:gridCol w:w="1252"/>
        <w:gridCol w:w="744"/>
        <w:gridCol w:w="1185"/>
        <w:gridCol w:w="738"/>
        <w:gridCol w:w="787"/>
        <w:gridCol w:w="609"/>
        <w:gridCol w:w="11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70" w:hRule="atLeast"/>
        </w:trPr>
        <w:tc>
          <w:tcPr>
            <w:tcW w:w="1267"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（区县）</w:t>
            </w:r>
          </w:p>
        </w:tc>
        <w:tc>
          <w:tcPr>
            <w:tcW w:w="1713"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总量</w:t>
            </w:r>
          </w:p>
        </w:tc>
        <w:tc>
          <w:tcPr>
            <w:tcW w:w="4783"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产权住宅用地</w:t>
            </w:r>
          </w:p>
        </w:tc>
        <w:tc>
          <w:tcPr>
            <w:tcW w:w="4656"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租赁住宅用地</w:t>
            </w:r>
          </w:p>
        </w:tc>
        <w:tc>
          <w:tcPr>
            <w:tcW w:w="158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其他住宅</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用地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94" w:hRule="atLeast"/>
        </w:trPr>
        <w:tc>
          <w:tcPr>
            <w:tcW w:w="126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1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6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商品住宅</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用地</w:t>
            </w:r>
          </w:p>
        </w:tc>
        <w:tc>
          <w:tcPr>
            <w:tcW w:w="16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共有产权</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住宅用地</w:t>
            </w:r>
          </w:p>
        </w:tc>
        <w:tc>
          <w:tcPr>
            <w:tcW w:w="140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小计</w:t>
            </w:r>
          </w:p>
        </w:tc>
        <w:tc>
          <w:tcPr>
            <w:tcW w:w="16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保障性租赁住宅用地</w:t>
            </w:r>
          </w:p>
        </w:tc>
        <w:tc>
          <w:tcPr>
            <w:tcW w:w="187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市场化租赁</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住宅用地</w:t>
            </w:r>
          </w:p>
        </w:tc>
        <w:tc>
          <w:tcPr>
            <w:tcW w:w="111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小计</w:t>
            </w:r>
          </w:p>
        </w:tc>
        <w:tc>
          <w:tcPr>
            <w:tcW w:w="158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0" w:hRule="atLeast"/>
        </w:trPr>
        <w:tc>
          <w:tcPr>
            <w:tcW w:w="126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1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①</w:t>
            </w:r>
          </w:p>
        </w:tc>
        <w:tc>
          <w:tcPr>
            <w:tcW w:w="16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②</w:t>
            </w:r>
          </w:p>
        </w:tc>
        <w:tc>
          <w:tcPr>
            <w:tcW w:w="16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③</w:t>
            </w:r>
          </w:p>
        </w:tc>
        <w:tc>
          <w:tcPr>
            <w:tcW w:w="140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④</w:t>
            </w:r>
          </w:p>
        </w:tc>
        <w:tc>
          <w:tcPr>
            <w:tcW w:w="16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⑤</w:t>
            </w:r>
          </w:p>
        </w:tc>
        <w:tc>
          <w:tcPr>
            <w:tcW w:w="187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⑥</w:t>
            </w:r>
          </w:p>
        </w:tc>
        <w:tc>
          <w:tcPr>
            <w:tcW w:w="111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⑦</w:t>
            </w:r>
          </w:p>
        </w:tc>
        <w:tc>
          <w:tcPr>
            <w:tcW w:w="158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0" w:hRule="atLeast"/>
        </w:trPr>
        <w:tc>
          <w:tcPr>
            <w:tcW w:w="12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沂源县</w:t>
            </w:r>
          </w:p>
        </w:tc>
        <w:tc>
          <w:tcPr>
            <w:tcW w:w="171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21.4239</w:t>
            </w:r>
          </w:p>
        </w:tc>
        <w:tc>
          <w:tcPr>
            <w:tcW w:w="16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19.4535</w:t>
            </w:r>
          </w:p>
        </w:tc>
        <w:tc>
          <w:tcPr>
            <w:tcW w:w="16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c>
          <w:tcPr>
            <w:tcW w:w="140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19.4535</w:t>
            </w:r>
          </w:p>
        </w:tc>
        <w:tc>
          <w:tcPr>
            <w:tcW w:w="16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c>
          <w:tcPr>
            <w:tcW w:w="187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c>
          <w:tcPr>
            <w:tcW w:w="111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c>
          <w:tcPr>
            <w:tcW w:w="158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1.9704</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ind w:left="0" w:firstLine="560"/>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rPr>
        <w:t>4</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jc w:val="center"/>
      </w:pPr>
      <w:r>
        <w:rPr>
          <w:rFonts w:hint="eastAsia" w:ascii="微软雅黑" w:hAnsi="微软雅黑" w:eastAsia="微软雅黑" w:cs="微软雅黑"/>
          <w:spacing w:val="-6"/>
          <w:sz w:val="24"/>
          <w:szCs w:val="24"/>
        </w:rPr>
        <w:t>沂源县</w:t>
      </w:r>
      <w:r>
        <w:rPr>
          <w:rFonts w:hint="eastAsia" w:ascii="微软雅黑" w:hAnsi="微软雅黑" w:eastAsia="微软雅黑" w:cs="微软雅黑"/>
          <w:spacing w:val="-6"/>
          <w:sz w:val="24"/>
          <w:szCs w:val="24"/>
          <w:lang w:val="en-US"/>
        </w:rPr>
        <w:t>2021</w:t>
      </w:r>
      <w:r>
        <w:rPr>
          <w:rFonts w:hint="eastAsia" w:ascii="微软雅黑" w:hAnsi="微软雅黑" w:eastAsia="微软雅黑" w:cs="微软雅黑"/>
          <w:spacing w:val="-6"/>
          <w:sz w:val="24"/>
          <w:szCs w:val="24"/>
        </w:rPr>
        <w:t>年度住宅用地供应计划宗地明细表</w:t>
      </w:r>
    </w:p>
    <w:p>
      <w:pPr>
        <w:pStyle w:val="2"/>
        <w:keepNext w:val="0"/>
        <w:keepLines w:val="0"/>
        <w:widowControl/>
        <w:suppressLineNumbers w:val="0"/>
        <w:spacing w:line="26" w:lineRule="atLeast"/>
        <w:jc w:val="righ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单位：公顷</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8"/>
        <w:gridCol w:w="1179"/>
        <w:gridCol w:w="1539"/>
        <w:gridCol w:w="1049"/>
        <w:gridCol w:w="1187"/>
        <w:gridCol w:w="749"/>
        <w:gridCol w:w="1266"/>
        <w:gridCol w:w="86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02" w:hRule="atLeast"/>
          <w:jc w:val="center"/>
        </w:trPr>
        <w:tc>
          <w:tcPr>
            <w:tcW w:w="648" w:type="dxa"/>
            <w:tcBorders>
              <w:top w:val="single" w:color="auto" w:sz="8" w:space="0"/>
              <w:left w:val="single" w:color="auto" w:sz="8" w:space="0"/>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序号</w:t>
            </w:r>
          </w:p>
        </w:tc>
        <w:tc>
          <w:tcPr>
            <w:tcW w:w="1308" w:type="dxa"/>
            <w:tcBorders>
              <w:top w:val="single" w:color="auto" w:sz="8" w:space="0"/>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宗地</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编号</w:t>
            </w:r>
          </w:p>
        </w:tc>
        <w:tc>
          <w:tcPr>
            <w:tcW w:w="1781" w:type="dxa"/>
            <w:tcBorders>
              <w:top w:val="single" w:color="auto" w:sz="8" w:space="0"/>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宗地坐落</w:t>
            </w:r>
          </w:p>
        </w:tc>
        <w:tc>
          <w:tcPr>
            <w:tcW w:w="1094" w:type="dxa"/>
            <w:tcBorders>
              <w:top w:val="single" w:color="auto" w:sz="8" w:space="0"/>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宗地面积</w:t>
            </w:r>
          </w:p>
        </w:tc>
        <w:tc>
          <w:tcPr>
            <w:tcW w:w="1401" w:type="dxa"/>
            <w:tcBorders>
              <w:top w:val="single" w:color="auto" w:sz="8" w:space="0"/>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住宅用地</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类型</w:t>
            </w:r>
          </w:p>
        </w:tc>
        <w:tc>
          <w:tcPr>
            <w:tcW w:w="851" w:type="dxa"/>
            <w:tcBorders>
              <w:top w:val="single" w:color="auto" w:sz="8" w:space="0"/>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供应</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方式</w:t>
            </w:r>
          </w:p>
        </w:tc>
        <w:tc>
          <w:tcPr>
            <w:tcW w:w="1417" w:type="dxa"/>
            <w:tcBorders>
              <w:top w:val="single" w:color="auto" w:sz="8" w:space="0"/>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计划供应</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时间</w:t>
            </w:r>
          </w:p>
        </w:tc>
        <w:tc>
          <w:tcPr>
            <w:tcW w:w="993" w:type="dxa"/>
            <w:tcBorders>
              <w:top w:val="single" w:color="auto" w:sz="8" w:space="0"/>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32" w:hRule="atLeast"/>
          <w:jc w:val="center"/>
        </w:trPr>
        <w:tc>
          <w:tcPr>
            <w:tcW w:w="648"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1</w:t>
            </w:r>
          </w:p>
        </w:tc>
        <w:tc>
          <w:tcPr>
            <w:tcW w:w="1308"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c>
          <w:tcPr>
            <w:tcW w:w="178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西台村</w:t>
            </w:r>
          </w:p>
        </w:tc>
        <w:tc>
          <w:tcPr>
            <w:tcW w:w="1094"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1.0614</w:t>
            </w:r>
          </w:p>
        </w:tc>
        <w:tc>
          <w:tcPr>
            <w:tcW w:w="140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其他住宅用地</w:t>
            </w:r>
          </w:p>
        </w:tc>
        <w:tc>
          <w:tcPr>
            <w:tcW w:w="85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挂牌</w:t>
            </w:r>
          </w:p>
        </w:tc>
        <w:tc>
          <w:tcPr>
            <w:tcW w:w="1417"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2021</w:t>
            </w:r>
            <w:r>
              <w:rPr>
                <w:rFonts w:hint="eastAsia" w:ascii="微软雅黑" w:hAnsi="微软雅黑" w:eastAsia="微软雅黑" w:cs="微软雅黑"/>
                <w:sz w:val="24"/>
                <w:szCs w:val="24"/>
                <w:bdr w:val="none" w:color="auto" w:sz="0" w:space="0"/>
              </w:rPr>
              <w:t>年</w:t>
            </w:r>
          </w:p>
        </w:tc>
        <w:tc>
          <w:tcPr>
            <w:tcW w:w="993"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32" w:hRule="atLeast"/>
          <w:jc w:val="center"/>
        </w:trPr>
        <w:tc>
          <w:tcPr>
            <w:tcW w:w="648"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w:t>
            </w:r>
          </w:p>
        </w:tc>
        <w:tc>
          <w:tcPr>
            <w:tcW w:w="1308"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c>
          <w:tcPr>
            <w:tcW w:w="178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东沙沟村</w:t>
            </w:r>
          </w:p>
        </w:tc>
        <w:tc>
          <w:tcPr>
            <w:tcW w:w="1094"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4.8144</w:t>
            </w:r>
          </w:p>
        </w:tc>
        <w:tc>
          <w:tcPr>
            <w:tcW w:w="140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商品住宅用地</w:t>
            </w:r>
          </w:p>
        </w:tc>
        <w:tc>
          <w:tcPr>
            <w:tcW w:w="85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挂牌</w:t>
            </w:r>
          </w:p>
        </w:tc>
        <w:tc>
          <w:tcPr>
            <w:tcW w:w="1417"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2021</w:t>
            </w:r>
            <w:r>
              <w:rPr>
                <w:rFonts w:hint="eastAsia" w:ascii="微软雅黑" w:hAnsi="微软雅黑" w:eastAsia="微软雅黑" w:cs="微软雅黑"/>
                <w:sz w:val="24"/>
                <w:szCs w:val="24"/>
                <w:bdr w:val="none" w:color="auto" w:sz="0" w:space="0"/>
              </w:rPr>
              <w:t>年</w:t>
            </w:r>
          </w:p>
        </w:tc>
        <w:tc>
          <w:tcPr>
            <w:tcW w:w="993"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32" w:hRule="atLeast"/>
          <w:jc w:val="center"/>
        </w:trPr>
        <w:tc>
          <w:tcPr>
            <w:tcW w:w="648"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3</w:t>
            </w:r>
          </w:p>
        </w:tc>
        <w:tc>
          <w:tcPr>
            <w:tcW w:w="1308"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c>
          <w:tcPr>
            <w:tcW w:w="178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东沙沟村</w:t>
            </w:r>
          </w:p>
        </w:tc>
        <w:tc>
          <w:tcPr>
            <w:tcW w:w="1094"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1.1899</w:t>
            </w:r>
          </w:p>
        </w:tc>
        <w:tc>
          <w:tcPr>
            <w:tcW w:w="140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商品住宅用地</w:t>
            </w:r>
          </w:p>
        </w:tc>
        <w:tc>
          <w:tcPr>
            <w:tcW w:w="85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挂牌</w:t>
            </w:r>
          </w:p>
        </w:tc>
        <w:tc>
          <w:tcPr>
            <w:tcW w:w="1417"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2021</w:t>
            </w:r>
            <w:r>
              <w:rPr>
                <w:rFonts w:hint="eastAsia" w:ascii="微软雅黑" w:hAnsi="微软雅黑" w:eastAsia="微软雅黑" w:cs="微软雅黑"/>
                <w:sz w:val="24"/>
                <w:szCs w:val="24"/>
                <w:bdr w:val="none" w:color="auto" w:sz="0" w:space="0"/>
              </w:rPr>
              <w:t>年</w:t>
            </w:r>
          </w:p>
        </w:tc>
        <w:tc>
          <w:tcPr>
            <w:tcW w:w="993"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32" w:hRule="atLeast"/>
          <w:jc w:val="center"/>
        </w:trPr>
        <w:tc>
          <w:tcPr>
            <w:tcW w:w="648"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4</w:t>
            </w:r>
          </w:p>
        </w:tc>
        <w:tc>
          <w:tcPr>
            <w:tcW w:w="1308"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c>
          <w:tcPr>
            <w:tcW w:w="178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东北麻村</w:t>
            </w:r>
          </w:p>
        </w:tc>
        <w:tc>
          <w:tcPr>
            <w:tcW w:w="1094"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3.0187</w:t>
            </w:r>
          </w:p>
        </w:tc>
        <w:tc>
          <w:tcPr>
            <w:tcW w:w="140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商品住宅用地</w:t>
            </w:r>
          </w:p>
        </w:tc>
        <w:tc>
          <w:tcPr>
            <w:tcW w:w="85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挂牌</w:t>
            </w:r>
          </w:p>
        </w:tc>
        <w:tc>
          <w:tcPr>
            <w:tcW w:w="1417"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2021</w:t>
            </w:r>
            <w:r>
              <w:rPr>
                <w:rFonts w:hint="eastAsia" w:ascii="微软雅黑" w:hAnsi="微软雅黑" w:eastAsia="微软雅黑" w:cs="微软雅黑"/>
                <w:sz w:val="24"/>
                <w:szCs w:val="24"/>
                <w:bdr w:val="none" w:color="auto" w:sz="0" w:space="0"/>
              </w:rPr>
              <w:t>年</w:t>
            </w:r>
          </w:p>
        </w:tc>
        <w:tc>
          <w:tcPr>
            <w:tcW w:w="993"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32" w:hRule="atLeast"/>
          <w:jc w:val="center"/>
        </w:trPr>
        <w:tc>
          <w:tcPr>
            <w:tcW w:w="648"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5</w:t>
            </w:r>
          </w:p>
        </w:tc>
        <w:tc>
          <w:tcPr>
            <w:tcW w:w="1308"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c>
          <w:tcPr>
            <w:tcW w:w="178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东沙沟村</w:t>
            </w:r>
          </w:p>
        </w:tc>
        <w:tc>
          <w:tcPr>
            <w:tcW w:w="1094"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0.2756</w:t>
            </w:r>
          </w:p>
        </w:tc>
        <w:tc>
          <w:tcPr>
            <w:tcW w:w="140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商品住宅用地</w:t>
            </w:r>
          </w:p>
        </w:tc>
        <w:tc>
          <w:tcPr>
            <w:tcW w:w="85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划拨</w:t>
            </w:r>
          </w:p>
        </w:tc>
        <w:tc>
          <w:tcPr>
            <w:tcW w:w="1417"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2021</w:t>
            </w:r>
            <w:r>
              <w:rPr>
                <w:rFonts w:hint="eastAsia" w:ascii="微软雅黑" w:hAnsi="微软雅黑" w:eastAsia="微软雅黑" w:cs="微软雅黑"/>
                <w:sz w:val="24"/>
                <w:szCs w:val="24"/>
                <w:bdr w:val="none" w:color="auto" w:sz="0" w:space="0"/>
              </w:rPr>
              <w:t>年</w:t>
            </w:r>
          </w:p>
        </w:tc>
        <w:tc>
          <w:tcPr>
            <w:tcW w:w="993"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2" w:hRule="atLeast"/>
          <w:jc w:val="center"/>
        </w:trPr>
        <w:tc>
          <w:tcPr>
            <w:tcW w:w="648"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6</w:t>
            </w:r>
          </w:p>
        </w:tc>
        <w:tc>
          <w:tcPr>
            <w:tcW w:w="1308"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c>
          <w:tcPr>
            <w:tcW w:w="178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东沙沟村</w:t>
            </w:r>
          </w:p>
        </w:tc>
        <w:tc>
          <w:tcPr>
            <w:tcW w:w="1094"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0.3361</w:t>
            </w:r>
          </w:p>
        </w:tc>
        <w:tc>
          <w:tcPr>
            <w:tcW w:w="140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商品住宅用地</w:t>
            </w:r>
          </w:p>
        </w:tc>
        <w:tc>
          <w:tcPr>
            <w:tcW w:w="85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挂牌</w:t>
            </w:r>
          </w:p>
        </w:tc>
        <w:tc>
          <w:tcPr>
            <w:tcW w:w="1417"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2021</w:t>
            </w:r>
            <w:r>
              <w:rPr>
                <w:rFonts w:hint="eastAsia" w:ascii="微软雅黑" w:hAnsi="微软雅黑" w:eastAsia="微软雅黑" w:cs="微软雅黑"/>
                <w:sz w:val="24"/>
                <w:szCs w:val="24"/>
                <w:bdr w:val="none" w:color="auto" w:sz="0" w:space="0"/>
              </w:rPr>
              <w:t>年</w:t>
            </w:r>
          </w:p>
        </w:tc>
        <w:tc>
          <w:tcPr>
            <w:tcW w:w="993"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2" w:hRule="atLeast"/>
          <w:jc w:val="center"/>
        </w:trPr>
        <w:tc>
          <w:tcPr>
            <w:tcW w:w="648"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7</w:t>
            </w:r>
          </w:p>
        </w:tc>
        <w:tc>
          <w:tcPr>
            <w:tcW w:w="1308"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沂源县</w:t>
            </w:r>
            <w:r>
              <w:rPr>
                <w:rFonts w:hint="eastAsia" w:ascii="微软雅黑" w:hAnsi="微软雅黑" w:eastAsia="微软雅黑" w:cs="微软雅黑"/>
                <w:sz w:val="24"/>
                <w:szCs w:val="24"/>
                <w:bdr w:val="none" w:color="auto" w:sz="0" w:space="0"/>
                <w:lang w:val="en-US"/>
              </w:rPr>
              <w:t>2020</w:t>
            </w:r>
            <w:r>
              <w:rPr>
                <w:rFonts w:hint="eastAsia" w:ascii="微软雅黑" w:hAnsi="微软雅黑" w:eastAsia="微软雅黑" w:cs="微软雅黑"/>
                <w:sz w:val="24"/>
                <w:szCs w:val="24"/>
                <w:bdr w:val="none" w:color="auto" w:sz="0" w:space="0"/>
              </w:rPr>
              <w:t>（增量）</w:t>
            </w:r>
            <w:r>
              <w:rPr>
                <w:rFonts w:hint="eastAsia" w:ascii="微软雅黑" w:hAnsi="微软雅黑" w:eastAsia="微软雅黑" w:cs="微软雅黑"/>
                <w:sz w:val="24"/>
                <w:szCs w:val="24"/>
                <w:bdr w:val="none" w:color="auto" w:sz="0" w:space="0"/>
                <w:lang w:val="en-US"/>
              </w:rPr>
              <w:t>-27</w:t>
            </w:r>
            <w:r>
              <w:rPr>
                <w:rFonts w:hint="eastAsia" w:ascii="微软雅黑" w:hAnsi="微软雅黑" w:eastAsia="微软雅黑" w:cs="微软雅黑"/>
                <w:sz w:val="24"/>
                <w:szCs w:val="24"/>
                <w:bdr w:val="none" w:color="auto" w:sz="0" w:space="0"/>
              </w:rPr>
              <w:t>号</w:t>
            </w:r>
          </w:p>
        </w:tc>
        <w:tc>
          <w:tcPr>
            <w:tcW w:w="178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新城路以北，沂源一中西侧地段</w:t>
            </w:r>
          </w:p>
        </w:tc>
        <w:tc>
          <w:tcPr>
            <w:tcW w:w="1094"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0.9090</w:t>
            </w:r>
          </w:p>
        </w:tc>
        <w:tc>
          <w:tcPr>
            <w:tcW w:w="140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其他住宅用地</w:t>
            </w:r>
          </w:p>
        </w:tc>
        <w:tc>
          <w:tcPr>
            <w:tcW w:w="85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挂牌</w:t>
            </w:r>
          </w:p>
        </w:tc>
        <w:tc>
          <w:tcPr>
            <w:tcW w:w="1417"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2021</w:t>
            </w:r>
            <w:r>
              <w:rPr>
                <w:rFonts w:hint="eastAsia" w:ascii="微软雅黑" w:hAnsi="微软雅黑" w:eastAsia="微软雅黑" w:cs="微软雅黑"/>
                <w:sz w:val="24"/>
                <w:szCs w:val="24"/>
                <w:bdr w:val="none" w:color="auto" w:sz="0" w:space="0"/>
              </w:rPr>
              <w:t>年</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w:t>
            </w:r>
            <w:r>
              <w:rPr>
                <w:rFonts w:hint="eastAsia" w:ascii="微软雅黑" w:hAnsi="微软雅黑" w:eastAsia="微软雅黑" w:cs="微软雅黑"/>
                <w:sz w:val="24"/>
                <w:szCs w:val="24"/>
                <w:bdr w:val="none" w:color="auto" w:sz="0" w:space="0"/>
              </w:rPr>
              <w:t>月</w:t>
            </w:r>
            <w:r>
              <w:rPr>
                <w:rFonts w:hint="eastAsia" w:ascii="微软雅黑" w:hAnsi="微软雅黑" w:eastAsia="微软雅黑" w:cs="微软雅黑"/>
                <w:sz w:val="24"/>
                <w:szCs w:val="24"/>
                <w:bdr w:val="none" w:color="auto" w:sz="0" w:space="0"/>
                <w:lang w:val="en-US"/>
              </w:rPr>
              <w:t>8</w:t>
            </w:r>
            <w:r>
              <w:rPr>
                <w:rFonts w:hint="eastAsia" w:ascii="微软雅黑" w:hAnsi="微软雅黑" w:eastAsia="微软雅黑" w:cs="微软雅黑"/>
                <w:sz w:val="24"/>
                <w:szCs w:val="24"/>
                <w:bdr w:val="none" w:color="auto" w:sz="0" w:space="0"/>
              </w:rPr>
              <w:t>日</w:t>
            </w:r>
          </w:p>
        </w:tc>
        <w:tc>
          <w:tcPr>
            <w:tcW w:w="993"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2" w:hRule="atLeast"/>
          <w:jc w:val="center"/>
        </w:trPr>
        <w:tc>
          <w:tcPr>
            <w:tcW w:w="648"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8</w:t>
            </w:r>
          </w:p>
        </w:tc>
        <w:tc>
          <w:tcPr>
            <w:tcW w:w="1308"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沂源县</w:t>
            </w:r>
            <w:r>
              <w:rPr>
                <w:rFonts w:hint="eastAsia" w:ascii="微软雅黑" w:hAnsi="微软雅黑" w:eastAsia="微软雅黑" w:cs="微软雅黑"/>
                <w:sz w:val="24"/>
                <w:szCs w:val="24"/>
                <w:bdr w:val="none" w:color="auto" w:sz="0" w:space="0"/>
                <w:lang w:val="en-US"/>
              </w:rPr>
              <w:t>2020</w:t>
            </w:r>
            <w:r>
              <w:rPr>
                <w:rFonts w:hint="eastAsia" w:ascii="微软雅黑" w:hAnsi="微软雅黑" w:eastAsia="微软雅黑" w:cs="微软雅黑"/>
                <w:sz w:val="24"/>
                <w:szCs w:val="24"/>
                <w:bdr w:val="none" w:color="auto" w:sz="0" w:space="0"/>
              </w:rPr>
              <w:t>（增量）</w:t>
            </w:r>
            <w:r>
              <w:rPr>
                <w:rFonts w:hint="eastAsia" w:ascii="微软雅黑" w:hAnsi="微软雅黑" w:eastAsia="微软雅黑" w:cs="微软雅黑"/>
                <w:sz w:val="24"/>
                <w:szCs w:val="24"/>
                <w:bdr w:val="none" w:color="auto" w:sz="0" w:space="0"/>
                <w:lang w:val="en-US"/>
              </w:rPr>
              <w:t>-34</w:t>
            </w:r>
            <w:r>
              <w:rPr>
                <w:rFonts w:hint="eastAsia" w:ascii="微软雅黑" w:hAnsi="微软雅黑" w:eastAsia="微软雅黑" w:cs="微软雅黑"/>
                <w:sz w:val="24"/>
                <w:szCs w:val="24"/>
                <w:bdr w:val="none" w:color="auto" w:sz="0" w:space="0"/>
              </w:rPr>
              <w:t>号</w:t>
            </w:r>
          </w:p>
        </w:tc>
        <w:tc>
          <w:tcPr>
            <w:tcW w:w="178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沂源县东埠路西侧，新城路北侧</w:t>
            </w:r>
          </w:p>
        </w:tc>
        <w:tc>
          <w:tcPr>
            <w:tcW w:w="1094"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3.0029</w:t>
            </w:r>
          </w:p>
        </w:tc>
        <w:tc>
          <w:tcPr>
            <w:tcW w:w="140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商品住宅用地</w:t>
            </w:r>
          </w:p>
        </w:tc>
        <w:tc>
          <w:tcPr>
            <w:tcW w:w="851"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挂牌</w:t>
            </w:r>
          </w:p>
        </w:tc>
        <w:tc>
          <w:tcPr>
            <w:tcW w:w="1417"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2021</w:t>
            </w:r>
            <w:r>
              <w:rPr>
                <w:rFonts w:hint="eastAsia" w:ascii="微软雅黑" w:hAnsi="微软雅黑" w:eastAsia="微软雅黑" w:cs="微软雅黑"/>
                <w:sz w:val="24"/>
                <w:szCs w:val="24"/>
                <w:bdr w:val="none" w:color="auto" w:sz="0" w:space="0"/>
              </w:rPr>
              <w:t>年</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w:t>
            </w:r>
            <w:r>
              <w:rPr>
                <w:rFonts w:hint="eastAsia" w:ascii="微软雅黑" w:hAnsi="微软雅黑" w:eastAsia="微软雅黑" w:cs="微软雅黑"/>
                <w:sz w:val="24"/>
                <w:szCs w:val="24"/>
                <w:bdr w:val="none" w:color="auto" w:sz="0" w:space="0"/>
              </w:rPr>
              <w:t>月</w:t>
            </w:r>
            <w:r>
              <w:rPr>
                <w:rFonts w:hint="eastAsia" w:ascii="微软雅黑" w:hAnsi="微软雅黑" w:eastAsia="微软雅黑" w:cs="微软雅黑"/>
                <w:sz w:val="24"/>
                <w:szCs w:val="24"/>
                <w:bdr w:val="none" w:color="auto" w:sz="0" w:space="0"/>
                <w:lang w:val="en-US"/>
              </w:rPr>
              <w:t>9</w:t>
            </w:r>
            <w:r>
              <w:rPr>
                <w:rFonts w:hint="eastAsia" w:ascii="微软雅黑" w:hAnsi="微软雅黑" w:eastAsia="微软雅黑" w:cs="微软雅黑"/>
                <w:sz w:val="24"/>
                <w:szCs w:val="24"/>
                <w:bdr w:val="none" w:color="auto" w:sz="0" w:space="0"/>
              </w:rPr>
              <w:t>日</w:t>
            </w:r>
          </w:p>
        </w:tc>
        <w:tc>
          <w:tcPr>
            <w:tcW w:w="993" w:type="dxa"/>
            <w:tcBorders>
              <w:top w:val="nil"/>
              <w:left w:val="nil"/>
              <w:bottom w:val="single" w:color="auto" w:sz="8" w:space="0"/>
              <w:right w:val="single" w:color="auto" w:sz="8" w:space="0"/>
            </w:tcBorders>
            <w:shd w:val="clear"/>
            <w:tcMar>
              <w:left w:w="57" w:type="dxa"/>
              <w:right w:w="57"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 </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 w:lineRule="atLeast"/>
        <w:ind w:left="0" w:firstLine="280"/>
      </w:pPr>
      <w:r>
        <w:rPr>
          <w:rFonts w:hint="eastAsia" w:ascii="微软雅黑" w:hAnsi="微软雅黑" w:eastAsia="微软雅黑" w:cs="微软雅黑"/>
          <w:sz w:val="24"/>
          <w:szCs w:val="24"/>
          <w:bdr w:val="none" w:color="auto" w:sz="0" w:space="0"/>
        </w:rPr>
        <w:t>沂源县人民政府办公室</w:t>
      </w:r>
      <w:r>
        <w:rPr>
          <w:rFonts w:hint="eastAsia" w:ascii="微软雅黑" w:hAnsi="微软雅黑" w:eastAsia="微软雅黑" w:cs="微软雅黑"/>
          <w:sz w:val="24"/>
          <w:szCs w:val="24"/>
          <w:bdr w:val="none" w:color="auto" w:sz="0" w:space="0"/>
          <w:lang w:val="en-US"/>
        </w:rPr>
        <w:t>                    2021</w:t>
      </w:r>
      <w:r>
        <w:rPr>
          <w:rFonts w:hint="eastAsia" w:ascii="微软雅黑" w:hAnsi="微软雅黑" w:eastAsia="微软雅黑" w:cs="微软雅黑"/>
          <w:sz w:val="24"/>
          <w:szCs w:val="24"/>
          <w:bdr w:val="none" w:color="auto" w:sz="0" w:space="0"/>
        </w:rPr>
        <w:t>年</w:t>
      </w:r>
      <w:r>
        <w:rPr>
          <w:rFonts w:hint="eastAsia" w:ascii="微软雅黑" w:hAnsi="微软雅黑" w:eastAsia="微软雅黑" w:cs="微软雅黑"/>
          <w:sz w:val="24"/>
          <w:szCs w:val="24"/>
          <w:bdr w:val="none" w:color="auto" w:sz="0" w:space="0"/>
          <w:lang w:val="en-US"/>
        </w:rPr>
        <w:t>5</w:t>
      </w:r>
      <w:r>
        <w:rPr>
          <w:rFonts w:hint="eastAsia" w:ascii="微软雅黑" w:hAnsi="微软雅黑" w:eastAsia="微软雅黑" w:cs="微软雅黑"/>
          <w:sz w:val="24"/>
          <w:szCs w:val="24"/>
          <w:bdr w:val="none" w:color="auto" w:sz="0" w:space="0"/>
        </w:rPr>
        <w:t>月</w:t>
      </w:r>
      <w:r>
        <w:rPr>
          <w:rFonts w:hint="eastAsia" w:ascii="微软雅黑" w:hAnsi="微软雅黑" w:eastAsia="微软雅黑" w:cs="微软雅黑"/>
          <w:sz w:val="24"/>
          <w:szCs w:val="24"/>
          <w:bdr w:val="none" w:color="auto" w:sz="0" w:space="0"/>
          <w:lang w:val="en-US"/>
        </w:rPr>
        <w:t>10</w:t>
      </w:r>
      <w:r>
        <w:rPr>
          <w:rFonts w:hint="eastAsia" w:ascii="微软雅黑" w:hAnsi="微软雅黑" w:eastAsia="微软雅黑" w:cs="微软雅黑"/>
          <w:sz w:val="24"/>
          <w:szCs w:val="24"/>
          <w:bdr w:val="none" w:color="auto" w:sz="0" w:space="0"/>
        </w:rPr>
        <w:t>日印发</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30CA4C70"/>
    <w:rsid w:val="30CA4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2023-04-13T06:17:00Z</dcterms:created>
  <dc:creator>白白白白</dc:creator>
  <cp:lastModifiedBy>白白白白</cp:lastModifiedBy>
  <dcterms:modified xsi:type="dcterms:W3CDTF">2023-04-13T06:17:33Z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50007E7AE86F4A8AA20BD40E7A426C21_11</vt:lpwstr>
  </property>
</Properties>
</file>