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9161E">
      <w:pPr>
        <w:jc w:val="center"/>
        <w:rPr>
          <w:rFonts w:hint="eastAsia" w:ascii="方正小标宋简体" w:hAnsi="方正小标宋简体" w:eastAsia="方正小标宋简体" w:cs="方正小标宋简体"/>
          <w:b w:val="0"/>
          <w:bCs w:val="0"/>
          <w:color w:val="000000"/>
          <w:sz w:val="44"/>
          <w:szCs w:val="44"/>
          <w:shd w:val="clear" w:color="auto" w:fill="FFFFFF"/>
        </w:rPr>
      </w:pPr>
      <w:bookmarkStart w:id="0" w:name="_GoBack"/>
      <w:r>
        <w:rPr>
          <w:rFonts w:hint="eastAsia" w:ascii="方正小标宋简体" w:hAnsi="方正小标宋简体" w:eastAsia="方正小标宋简体" w:cs="方正小标宋简体"/>
          <w:b w:val="0"/>
          <w:bCs w:val="0"/>
          <w:color w:val="000000"/>
          <w:sz w:val="44"/>
          <w:szCs w:val="44"/>
          <w:shd w:val="clear" w:color="auto" w:fill="FFFFFF"/>
          <w:lang w:eastAsia="zh-CN"/>
        </w:rPr>
        <w:t>沂源</w:t>
      </w:r>
      <w:r>
        <w:rPr>
          <w:rFonts w:hint="eastAsia" w:ascii="方正小标宋简体" w:hAnsi="方正小标宋简体" w:eastAsia="方正小标宋简体" w:cs="方正小标宋简体"/>
          <w:b w:val="0"/>
          <w:bCs w:val="0"/>
          <w:color w:val="000000"/>
          <w:sz w:val="44"/>
          <w:szCs w:val="44"/>
          <w:shd w:val="clear" w:color="auto" w:fill="FFFFFF"/>
        </w:rPr>
        <w:t>县应急管理局执法</w:t>
      </w:r>
      <w:r>
        <w:rPr>
          <w:rFonts w:hint="eastAsia" w:ascii="方正小标宋简体" w:hAnsi="方正小标宋简体" w:eastAsia="方正小标宋简体" w:cs="方正小标宋简体"/>
          <w:b w:val="0"/>
          <w:bCs w:val="0"/>
          <w:color w:val="000000"/>
          <w:sz w:val="44"/>
          <w:szCs w:val="44"/>
          <w:shd w:val="clear" w:color="auto" w:fill="FFFFFF"/>
          <w:lang w:eastAsia="zh-CN"/>
        </w:rPr>
        <w:t>事项</w:t>
      </w:r>
      <w:r>
        <w:rPr>
          <w:rFonts w:hint="eastAsia" w:ascii="方正小标宋简体" w:hAnsi="方正小标宋简体" w:eastAsia="方正小标宋简体" w:cs="方正小标宋简体"/>
          <w:b w:val="0"/>
          <w:bCs w:val="0"/>
          <w:color w:val="000000"/>
          <w:sz w:val="44"/>
          <w:szCs w:val="44"/>
          <w:shd w:val="clear" w:color="auto" w:fill="FFFFFF"/>
        </w:rPr>
        <w:t>清单</w:t>
      </w:r>
    </w:p>
    <w:bookmarkEnd w:id="0"/>
    <w:tbl>
      <w:tblPr>
        <w:tblStyle w:val="4"/>
        <w:tblW w:w="14026" w:type="dxa"/>
        <w:tblInd w:w="96" w:type="dxa"/>
        <w:tblLayout w:type="fixed"/>
        <w:tblCellMar>
          <w:top w:w="0" w:type="dxa"/>
          <w:left w:w="108" w:type="dxa"/>
          <w:bottom w:w="0" w:type="dxa"/>
          <w:right w:w="108" w:type="dxa"/>
        </w:tblCellMar>
      </w:tblPr>
      <w:tblGrid>
        <w:gridCol w:w="2715"/>
        <w:gridCol w:w="2626"/>
        <w:gridCol w:w="2112"/>
        <w:gridCol w:w="2342"/>
        <w:gridCol w:w="2017"/>
        <w:gridCol w:w="2214"/>
      </w:tblGrid>
      <w:tr w14:paraId="27228CAF">
        <w:tblPrEx>
          <w:tblCellMar>
            <w:top w:w="0" w:type="dxa"/>
            <w:left w:w="108" w:type="dxa"/>
            <w:bottom w:w="0" w:type="dxa"/>
            <w:right w:w="108" w:type="dxa"/>
          </w:tblCellMar>
        </w:tblPrEx>
        <w:trPr>
          <w:trHeight w:val="624" w:hRule="atLeast"/>
        </w:trPr>
        <w:tc>
          <w:tcPr>
            <w:tcW w:w="5341" w:type="dxa"/>
            <w:gridSpan w:val="2"/>
            <w:tcBorders>
              <w:top w:val="single" w:color="000000" w:sz="4" w:space="0"/>
              <w:left w:val="single" w:color="000000" w:sz="4" w:space="0"/>
              <w:bottom w:val="single" w:color="auto" w:sz="4" w:space="0"/>
              <w:right w:val="single" w:color="000000" w:sz="4" w:space="0"/>
            </w:tcBorders>
            <w:noWrap/>
            <w:vAlign w:val="center"/>
          </w:tcPr>
          <w:p w14:paraId="194AFC83">
            <w:pPr>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执法职责</w:t>
            </w:r>
          </w:p>
        </w:tc>
        <w:tc>
          <w:tcPr>
            <w:tcW w:w="2112" w:type="dxa"/>
            <w:vMerge w:val="restart"/>
            <w:tcBorders>
              <w:top w:val="single" w:color="000000" w:sz="4" w:space="0"/>
              <w:left w:val="single" w:color="000000" w:sz="4" w:space="0"/>
              <w:right w:val="single" w:color="000000" w:sz="4" w:space="0"/>
            </w:tcBorders>
            <w:noWrap/>
            <w:vAlign w:val="center"/>
          </w:tcPr>
          <w:p w14:paraId="7C3EC283">
            <w:pPr>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执法依据</w:t>
            </w:r>
          </w:p>
        </w:tc>
        <w:tc>
          <w:tcPr>
            <w:tcW w:w="2342" w:type="dxa"/>
            <w:vMerge w:val="restart"/>
            <w:tcBorders>
              <w:top w:val="single" w:color="000000" w:sz="4" w:space="0"/>
              <w:left w:val="single" w:color="000000" w:sz="4" w:space="0"/>
              <w:right w:val="single" w:color="000000" w:sz="4" w:space="0"/>
            </w:tcBorders>
            <w:noWrap/>
            <w:vAlign w:val="center"/>
          </w:tcPr>
          <w:p w14:paraId="7AB423F5">
            <w:pPr>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执法程序</w:t>
            </w:r>
          </w:p>
        </w:tc>
        <w:tc>
          <w:tcPr>
            <w:tcW w:w="2017" w:type="dxa"/>
            <w:vMerge w:val="restart"/>
            <w:tcBorders>
              <w:top w:val="single" w:color="000000" w:sz="4" w:space="0"/>
              <w:left w:val="single" w:color="000000" w:sz="4" w:space="0"/>
              <w:right w:val="single" w:color="000000" w:sz="4" w:space="0"/>
            </w:tcBorders>
            <w:noWrap/>
            <w:vAlign w:val="center"/>
          </w:tcPr>
          <w:p w14:paraId="555883A0">
            <w:pPr>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办理时限</w:t>
            </w:r>
          </w:p>
        </w:tc>
        <w:tc>
          <w:tcPr>
            <w:tcW w:w="2214" w:type="dxa"/>
            <w:vMerge w:val="restart"/>
            <w:tcBorders>
              <w:top w:val="single" w:color="000000" w:sz="4" w:space="0"/>
              <w:left w:val="single" w:color="000000" w:sz="4" w:space="0"/>
              <w:right w:val="single" w:color="000000" w:sz="4" w:space="0"/>
            </w:tcBorders>
            <w:noWrap/>
            <w:vAlign w:val="center"/>
          </w:tcPr>
          <w:p w14:paraId="01573944">
            <w:pPr>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裁量基准</w:t>
            </w:r>
          </w:p>
        </w:tc>
      </w:tr>
      <w:tr w14:paraId="5E5B36A6">
        <w:tblPrEx>
          <w:tblCellMar>
            <w:top w:w="0" w:type="dxa"/>
            <w:left w:w="108" w:type="dxa"/>
            <w:bottom w:w="0" w:type="dxa"/>
            <w:right w:w="108" w:type="dxa"/>
          </w:tblCellMar>
        </w:tblPrEx>
        <w:trPr>
          <w:trHeight w:val="1020" w:hRule="atLeast"/>
        </w:trPr>
        <w:tc>
          <w:tcPr>
            <w:tcW w:w="2715" w:type="dxa"/>
            <w:tcBorders>
              <w:top w:val="single" w:color="auto" w:sz="4" w:space="0"/>
              <w:left w:val="single" w:color="000000" w:sz="4" w:space="0"/>
              <w:bottom w:val="single" w:color="000000" w:sz="4" w:space="0"/>
              <w:right w:val="single" w:color="auto" w:sz="4" w:space="0"/>
            </w:tcBorders>
            <w:noWrap/>
            <w:vAlign w:val="center"/>
          </w:tcPr>
          <w:p w14:paraId="6D397055">
            <w:pPr>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执法权限</w:t>
            </w:r>
            <w:r>
              <w:rPr>
                <w:rFonts w:hint="eastAsia" w:ascii="仿宋" w:hAnsi="仿宋" w:eastAsia="仿宋" w:cs="仿宋"/>
                <w:b/>
                <w:bCs/>
                <w:color w:val="000000"/>
                <w:sz w:val="32"/>
                <w:szCs w:val="32"/>
                <w:shd w:val="clear" w:color="auto" w:fill="FFFFFF"/>
              </w:rPr>
              <w:br w:type="textWrapping"/>
            </w:r>
            <w:r>
              <w:rPr>
                <w:rFonts w:hint="eastAsia" w:ascii="仿宋" w:hAnsi="仿宋" w:eastAsia="仿宋" w:cs="仿宋"/>
                <w:b/>
                <w:bCs/>
                <w:color w:val="000000"/>
                <w:sz w:val="32"/>
                <w:szCs w:val="32"/>
                <w:shd w:val="clear" w:color="auto" w:fill="FFFFFF"/>
              </w:rPr>
              <w:t>（执法类别）</w:t>
            </w:r>
          </w:p>
        </w:tc>
        <w:tc>
          <w:tcPr>
            <w:tcW w:w="2626" w:type="dxa"/>
            <w:tcBorders>
              <w:top w:val="single" w:color="auto" w:sz="4" w:space="0"/>
              <w:left w:val="single" w:color="auto" w:sz="4" w:space="0"/>
              <w:bottom w:val="single" w:color="000000" w:sz="4" w:space="0"/>
              <w:right w:val="single" w:color="000000" w:sz="4" w:space="0"/>
            </w:tcBorders>
            <w:noWrap/>
            <w:vAlign w:val="center"/>
          </w:tcPr>
          <w:p w14:paraId="22DBAC74">
            <w:pPr>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事项名称</w:t>
            </w:r>
          </w:p>
        </w:tc>
        <w:tc>
          <w:tcPr>
            <w:tcW w:w="2112" w:type="dxa"/>
            <w:vMerge w:val="continue"/>
            <w:tcBorders>
              <w:left w:val="single" w:color="000000" w:sz="4" w:space="0"/>
              <w:bottom w:val="single" w:color="000000" w:sz="4" w:space="0"/>
              <w:right w:val="single" w:color="000000" w:sz="4" w:space="0"/>
            </w:tcBorders>
            <w:noWrap/>
            <w:vAlign w:val="center"/>
          </w:tcPr>
          <w:p w14:paraId="5597BEEE">
            <w:pPr>
              <w:jc w:val="center"/>
              <w:rPr>
                <w:rFonts w:ascii="仿宋" w:hAnsi="仿宋" w:eastAsia="仿宋" w:cs="仿宋"/>
                <w:color w:val="000000"/>
                <w:sz w:val="32"/>
                <w:szCs w:val="32"/>
                <w:shd w:val="clear" w:color="auto" w:fill="FFFFFF"/>
              </w:rPr>
            </w:pPr>
          </w:p>
        </w:tc>
        <w:tc>
          <w:tcPr>
            <w:tcW w:w="2342" w:type="dxa"/>
            <w:vMerge w:val="continue"/>
            <w:tcBorders>
              <w:left w:val="single" w:color="000000" w:sz="4" w:space="0"/>
              <w:bottom w:val="single" w:color="000000" w:sz="4" w:space="0"/>
              <w:right w:val="single" w:color="000000" w:sz="4" w:space="0"/>
            </w:tcBorders>
            <w:noWrap/>
            <w:vAlign w:val="center"/>
          </w:tcPr>
          <w:p w14:paraId="6032CC39">
            <w:pPr>
              <w:jc w:val="center"/>
              <w:rPr>
                <w:rFonts w:ascii="仿宋" w:hAnsi="仿宋" w:eastAsia="仿宋" w:cs="仿宋"/>
                <w:color w:val="000000"/>
                <w:sz w:val="32"/>
                <w:szCs w:val="32"/>
                <w:shd w:val="clear" w:color="auto" w:fill="FFFFFF"/>
              </w:rPr>
            </w:pPr>
          </w:p>
        </w:tc>
        <w:tc>
          <w:tcPr>
            <w:tcW w:w="2017" w:type="dxa"/>
            <w:vMerge w:val="continue"/>
            <w:tcBorders>
              <w:left w:val="single" w:color="000000" w:sz="4" w:space="0"/>
              <w:bottom w:val="single" w:color="000000" w:sz="4" w:space="0"/>
              <w:right w:val="single" w:color="000000" w:sz="4" w:space="0"/>
            </w:tcBorders>
            <w:noWrap/>
            <w:vAlign w:val="center"/>
          </w:tcPr>
          <w:p w14:paraId="0C382528">
            <w:pPr>
              <w:jc w:val="center"/>
              <w:rPr>
                <w:rFonts w:ascii="仿宋" w:hAnsi="仿宋" w:eastAsia="仿宋" w:cs="仿宋"/>
                <w:color w:val="000000"/>
                <w:sz w:val="32"/>
                <w:szCs w:val="32"/>
                <w:shd w:val="clear" w:color="auto" w:fill="FFFFFF"/>
              </w:rPr>
            </w:pPr>
          </w:p>
        </w:tc>
        <w:tc>
          <w:tcPr>
            <w:tcW w:w="2214" w:type="dxa"/>
            <w:vMerge w:val="continue"/>
            <w:tcBorders>
              <w:left w:val="single" w:color="000000" w:sz="4" w:space="0"/>
              <w:bottom w:val="single" w:color="000000" w:sz="4" w:space="0"/>
              <w:right w:val="single" w:color="000000" w:sz="4" w:space="0"/>
            </w:tcBorders>
            <w:noWrap/>
            <w:vAlign w:val="center"/>
          </w:tcPr>
          <w:p w14:paraId="7B10E371">
            <w:pPr>
              <w:jc w:val="center"/>
              <w:rPr>
                <w:rFonts w:ascii="仿宋" w:hAnsi="仿宋" w:eastAsia="仿宋" w:cs="仿宋"/>
                <w:color w:val="000000"/>
                <w:sz w:val="32"/>
                <w:szCs w:val="32"/>
                <w:shd w:val="clear" w:color="auto" w:fill="FFFFFF"/>
              </w:rPr>
            </w:pPr>
          </w:p>
        </w:tc>
      </w:tr>
      <w:tr w14:paraId="19E97FCB">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2877BD58">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行政检查</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00EB9CE1">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贯彻执行有关安全生产法律、法规、规章、标准和规程</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7FC0B89C">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《安全生产法》、《山东省安全生产条例》等法律法规</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237B6BB1">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54EE59B9">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5日内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1917EFB">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0926EEDB">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303614F8">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010394E1">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对未取得安全生产许可证擅自进行生产的处罚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610B780F">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《安全生产法》（2002年6月29日通过，20</w:t>
            </w:r>
            <w:r>
              <w:rPr>
                <w:rFonts w:hint="eastAsia" w:ascii="仿宋" w:hAnsi="仿宋" w:eastAsia="仿宋" w:cs="仿宋"/>
                <w:color w:val="000000"/>
                <w:sz w:val="22"/>
                <w:szCs w:val="22"/>
                <w:shd w:val="clear" w:color="auto" w:fill="FFFFFF"/>
                <w:lang w:val="en-US" w:eastAsia="zh-CN"/>
              </w:rPr>
              <w:t>21</w:t>
            </w:r>
            <w:r>
              <w:rPr>
                <w:rFonts w:hint="eastAsia" w:ascii="仿宋" w:hAnsi="仿宋" w:eastAsia="仿宋" w:cs="仿宋"/>
                <w:color w:val="000000"/>
                <w:sz w:val="22"/>
                <w:szCs w:val="22"/>
                <w:shd w:val="clear" w:color="auto" w:fill="FFFFFF"/>
              </w:rPr>
              <w:t>年</w:t>
            </w:r>
            <w:r>
              <w:rPr>
                <w:rFonts w:hint="eastAsia" w:ascii="仿宋" w:hAnsi="仿宋" w:eastAsia="仿宋" w:cs="仿宋"/>
                <w:color w:val="000000"/>
                <w:sz w:val="22"/>
                <w:szCs w:val="22"/>
                <w:shd w:val="clear" w:color="auto" w:fill="FFFFFF"/>
                <w:lang w:val="en-US" w:eastAsia="zh-CN"/>
              </w:rPr>
              <w:t>9</w:t>
            </w:r>
            <w:r>
              <w:rPr>
                <w:rFonts w:hint="eastAsia" w:ascii="仿宋" w:hAnsi="仿宋" w:eastAsia="仿宋" w:cs="仿宋"/>
                <w:color w:val="000000"/>
                <w:sz w:val="22"/>
                <w:szCs w:val="22"/>
                <w:shd w:val="clear" w:color="auto" w:fill="FFFFFF"/>
              </w:rPr>
              <w:t>月</w:t>
            </w:r>
            <w:r>
              <w:rPr>
                <w:rFonts w:hint="eastAsia" w:ascii="仿宋" w:hAnsi="仿宋" w:eastAsia="仿宋" w:cs="仿宋"/>
                <w:color w:val="000000"/>
                <w:sz w:val="22"/>
                <w:szCs w:val="22"/>
                <w:shd w:val="clear" w:color="auto" w:fill="FFFFFF"/>
                <w:lang w:eastAsia="zh-CN"/>
              </w:rPr>
              <w:t>修正</w:t>
            </w:r>
            <w:r>
              <w:rPr>
                <w:rFonts w:hint="eastAsia" w:ascii="仿宋" w:hAnsi="仿宋" w:eastAsia="仿宋" w:cs="仿宋"/>
                <w:color w:val="000000"/>
                <w:sz w:val="22"/>
                <w:szCs w:val="22"/>
                <w:shd w:val="clear" w:color="auto" w:fill="FFFFFF"/>
              </w:rPr>
              <w:t>）第九十七条：“未经依法批准，擅自生产、经营、运输、储存、使用危险物品或者处置废弃危险物品的，依照有关危险物品安全管理的法律、行政法规的规定予以处罚；构成犯罪的，依照刑法有关规定追究刑事责任。”</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4BDECD68">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3F64682">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5357E65D">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3A7C4B15">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7EE178C5">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461FF4ED">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对超出许可的品种、数量，生产、经营非药品类易制毒化学品的处罚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38DA26B4">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易制毒化学品管理条例》（国务院令第445号）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三）超出许可的品种、数量生产、经营、购买易制毒化学品的。”</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7B42129F">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1D4850A">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F413634">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0E82A3D7">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030F9F24">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6C2253E7">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对生产经营单位未按规定设置安全总监、安全生产委员会的处罚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14C80560">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山东省安全生产条例》（2017年1月通过）第四十二条：“违反本条例规定，生产经营单位有下列行为之一的，责令限期改正，可以处一万元以上五万元以下罚款；逾期未改正的，责令停产停业整顿，并处五万元以上十万元以下罚款，对其主要负责人、直接负责的主管人员和其他直接责任人员处一万元以上二万元以下罚款：（二)未按照规定设置安全总监、安全生产委员会的；”</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5639481A">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0A51086">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507D6D0">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153256DB">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621320CA">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05293ED4">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对危险物品的生产、经营、储存单位以及矿山、金属冶炼单位的主要负责人和安全生产管理人员未按照规定经考核合格的处罚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1C389795">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《安全生产法》（2002年6月通过，20</w:t>
            </w:r>
            <w:r>
              <w:rPr>
                <w:rFonts w:hint="eastAsia" w:ascii="仿宋" w:hAnsi="仿宋" w:eastAsia="仿宋" w:cs="仿宋"/>
                <w:color w:val="000000"/>
                <w:sz w:val="22"/>
                <w:szCs w:val="22"/>
                <w:shd w:val="clear" w:color="auto" w:fill="FFFFFF"/>
                <w:lang w:val="en-US" w:eastAsia="zh-CN"/>
              </w:rPr>
              <w:t>21</w:t>
            </w:r>
            <w:r>
              <w:rPr>
                <w:rFonts w:hint="eastAsia" w:ascii="仿宋" w:hAnsi="仿宋" w:eastAsia="仿宋" w:cs="仿宋"/>
                <w:color w:val="000000"/>
                <w:sz w:val="22"/>
                <w:szCs w:val="22"/>
                <w:shd w:val="clear" w:color="auto" w:fill="FFFFFF"/>
              </w:rPr>
              <w:t>年</w:t>
            </w:r>
            <w:r>
              <w:rPr>
                <w:rFonts w:hint="eastAsia" w:ascii="仿宋" w:hAnsi="仿宋" w:eastAsia="仿宋" w:cs="仿宋"/>
                <w:color w:val="000000"/>
                <w:sz w:val="22"/>
                <w:szCs w:val="22"/>
                <w:shd w:val="clear" w:color="auto" w:fill="FFFFFF"/>
                <w:lang w:val="en-US" w:eastAsia="zh-CN"/>
              </w:rPr>
              <w:t>9</w:t>
            </w:r>
            <w:r>
              <w:rPr>
                <w:rFonts w:hint="eastAsia" w:ascii="仿宋" w:hAnsi="仿宋" w:eastAsia="仿宋" w:cs="仿宋"/>
                <w:color w:val="000000"/>
                <w:sz w:val="22"/>
                <w:szCs w:val="22"/>
                <w:shd w:val="clear" w:color="auto" w:fill="FFFFFF"/>
              </w:rPr>
              <w:t>月</w:t>
            </w:r>
            <w:r>
              <w:rPr>
                <w:rFonts w:hint="eastAsia" w:ascii="仿宋" w:hAnsi="仿宋" w:eastAsia="仿宋" w:cs="仿宋"/>
                <w:color w:val="000000"/>
                <w:sz w:val="22"/>
                <w:szCs w:val="22"/>
                <w:shd w:val="clear" w:color="auto" w:fill="FFFFFF"/>
                <w:lang w:eastAsia="zh-CN"/>
              </w:rPr>
              <w:t>修正</w:t>
            </w:r>
            <w:r>
              <w:rPr>
                <w:rFonts w:hint="eastAsia" w:ascii="仿宋" w:hAnsi="仿宋" w:eastAsia="仿宋" w:cs="仿宋"/>
                <w:color w:val="000000"/>
                <w:sz w:val="22"/>
                <w:szCs w:val="22"/>
                <w:shd w:val="clear" w:color="auto" w:fill="FFFFFF"/>
              </w:rPr>
              <w:t>）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二)危险物品的生产、经营、储存单位以及矿山、金属冶炼、建筑施工、道路运输单位的主要负责人和安全生产管理人员未按照规定经考核合格的；” </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7BD9FB56">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42037577">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2359E33">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5EF9CE4A">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50364DF7">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4DC49BB8">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对生产、储存、使用危险化学品的单位未依照《危险化学品安全管理条例》规定对其安全生产条件定期进行安全评价的处罚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2DDC8260">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危险化学品安全管理条例》（国务院令第591号，2013年12月修改）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三）未依照本条例规定对其安全生产条件定期进行安全评价的；”    </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34C34116">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A32BEF2">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BF4A91C">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76EF6CA4">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64CB70F6">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7E4042AC">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对生产经营单位未按规定开展安全生产标准化建设活动的处罚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72A91A31">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《山东省生产经营单位安全生产主体责任规定》（省政府令第260号，2018年1月24日修订） 第三十五条：“生产经营单位有下列行为之一的，由负有安全生产监督管理职责的部门责令限期改正，可处以5000元以上2万元以下的罚款，对其主要负责人处以1000元以上1万元以下的罚款；逾期不改正的，责令限期整顿，可处以2万元以上3万元以下的罚款，对其主要负责人处以1万元以上2万元以下的罚款；涉嫌犯罪的，依法追究刑事责任：(五)未按规定开展安全生产标准化建设活动的；”</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70A30382">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7A26A2D4">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05DC6CE5">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1E2BFF92">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62F82068">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1CBCD824">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对危险化学品生产、储存和使用单位未建立并执行检维修和动火、有限空间等特殊作业安全管理制度的处罚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2434358F">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山东省危险化学品安全管理办法》（省政府令第309号）第四十二条：“危险化学品生产、储存和使用单位违反本办法，有下列情形之一的，由安全生产监督管理部门责令改正，处以1万元以上3万元以下的罚款；构成犯罪的，依法追究刑事责任：（四）未建立并执行检维修和动火、有限空间等特殊作业安全管理制度的。”</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590B372F">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43A45DA5">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52BDA88B">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257F80B1">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2FF74E4B">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02EC0080">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对未如实记录安全生产教育和培训情况的处罚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1DAD8CDF">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《安全生产法》（2002年6月29日通过，20</w:t>
            </w:r>
            <w:r>
              <w:rPr>
                <w:rFonts w:hint="eastAsia" w:ascii="仿宋" w:hAnsi="仿宋" w:eastAsia="仿宋" w:cs="仿宋"/>
                <w:color w:val="000000"/>
                <w:sz w:val="22"/>
                <w:szCs w:val="22"/>
                <w:shd w:val="clear" w:color="auto" w:fill="FFFFFF"/>
                <w:lang w:val="en-US" w:eastAsia="zh-CN"/>
              </w:rPr>
              <w:t>21</w:t>
            </w:r>
            <w:r>
              <w:rPr>
                <w:rFonts w:hint="eastAsia" w:ascii="仿宋" w:hAnsi="仿宋" w:eastAsia="仿宋" w:cs="仿宋"/>
                <w:color w:val="000000"/>
                <w:sz w:val="22"/>
                <w:szCs w:val="22"/>
                <w:shd w:val="clear" w:color="auto" w:fill="FFFFFF"/>
              </w:rPr>
              <w:t>年</w:t>
            </w:r>
            <w:r>
              <w:rPr>
                <w:rFonts w:hint="eastAsia" w:ascii="仿宋" w:hAnsi="仿宋" w:eastAsia="仿宋" w:cs="仿宋"/>
                <w:color w:val="000000"/>
                <w:sz w:val="22"/>
                <w:szCs w:val="22"/>
                <w:shd w:val="clear" w:color="auto" w:fill="FFFFFF"/>
                <w:lang w:val="en-US" w:eastAsia="zh-CN"/>
              </w:rPr>
              <w:t>9</w:t>
            </w:r>
            <w:r>
              <w:rPr>
                <w:rFonts w:hint="eastAsia" w:ascii="仿宋" w:hAnsi="仿宋" w:eastAsia="仿宋" w:cs="仿宋"/>
                <w:color w:val="000000"/>
                <w:sz w:val="22"/>
                <w:szCs w:val="22"/>
                <w:shd w:val="clear" w:color="auto" w:fill="FFFFFF"/>
              </w:rPr>
              <w:t>月</w:t>
            </w:r>
            <w:r>
              <w:rPr>
                <w:rFonts w:hint="eastAsia" w:ascii="仿宋" w:hAnsi="仿宋" w:eastAsia="仿宋" w:cs="仿宋"/>
                <w:color w:val="000000"/>
                <w:sz w:val="22"/>
                <w:szCs w:val="22"/>
                <w:shd w:val="clear" w:color="auto" w:fill="FFFFFF"/>
                <w:lang w:eastAsia="zh-CN"/>
              </w:rPr>
              <w:t>修正</w:t>
            </w:r>
            <w:r>
              <w:rPr>
                <w:rFonts w:hint="eastAsia" w:ascii="仿宋" w:hAnsi="仿宋" w:eastAsia="仿宋" w:cs="仿宋"/>
                <w:color w:val="000000"/>
                <w:sz w:val="22"/>
                <w:szCs w:val="22"/>
                <w:shd w:val="clear" w:color="auto" w:fill="FFFFFF"/>
              </w:rPr>
              <w:t>）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四)未如实记录安全生产教育和培训情况的；”</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6C776C40">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2D79D3F">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6912FC20">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5D84C26C">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636E8A64">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731FD4E0">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对生产经营单位未按规定使用安全生产资金投入的处罚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350CD7D0">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《山东省生产经营单位安全生产主体责任规定》（省政府令第260号，2018年1月24日修订） 第三十五条：“生产经营单位有下列行为之一的，由负有安全生产监督管理职责的部门责令限期改正，可处以5000元以上2万元以下的罚款，对其主要负责人处以1000元以上1万元以下的罚款；逾期不改正的，责令限期整顿，可处以2万元以上3万元以下的罚款，对其主要负责人处以1万元以上2万元以下的罚款；涉嫌犯罪的，依法追究刑事责任：(一)未按规定使用安全生产资金投入的；”</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4C4B33CC">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767199E0">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6D2CDDCB">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00CE4F45">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3C44CE41">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行政处罚</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30977483">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对生产经营单位未采取措施消除事故隐患的处罚</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0C7C41D4">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《安全生产法》（2002年6月通过，20</w:t>
            </w:r>
            <w:r>
              <w:rPr>
                <w:rFonts w:hint="eastAsia" w:ascii="仿宋" w:hAnsi="仿宋" w:eastAsia="仿宋" w:cs="仿宋"/>
                <w:color w:val="000000"/>
                <w:sz w:val="22"/>
                <w:szCs w:val="22"/>
                <w:shd w:val="clear" w:color="auto" w:fill="FFFFFF"/>
                <w:lang w:val="en-US" w:eastAsia="zh-CN"/>
              </w:rPr>
              <w:t>21</w:t>
            </w:r>
            <w:r>
              <w:rPr>
                <w:rFonts w:hint="eastAsia" w:ascii="仿宋" w:hAnsi="仿宋" w:eastAsia="仿宋" w:cs="仿宋"/>
                <w:color w:val="000000"/>
                <w:sz w:val="22"/>
                <w:szCs w:val="22"/>
                <w:shd w:val="clear" w:color="auto" w:fill="FFFFFF"/>
              </w:rPr>
              <w:t>年</w:t>
            </w:r>
            <w:r>
              <w:rPr>
                <w:rFonts w:hint="eastAsia" w:ascii="仿宋" w:hAnsi="仿宋" w:eastAsia="仿宋" w:cs="仿宋"/>
                <w:color w:val="000000"/>
                <w:sz w:val="22"/>
                <w:szCs w:val="22"/>
                <w:shd w:val="clear" w:color="auto" w:fill="FFFFFF"/>
                <w:lang w:val="en-US" w:eastAsia="zh-CN"/>
              </w:rPr>
              <w:t>9</w:t>
            </w:r>
            <w:r>
              <w:rPr>
                <w:rFonts w:hint="eastAsia" w:ascii="仿宋" w:hAnsi="仿宋" w:eastAsia="仿宋" w:cs="仿宋"/>
                <w:color w:val="000000"/>
                <w:sz w:val="22"/>
                <w:szCs w:val="22"/>
                <w:shd w:val="clear" w:color="auto" w:fill="FFFFFF"/>
              </w:rPr>
              <w:t>月</w:t>
            </w:r>
            <w:r>
              <w:rPr>
                <w:rFonts w:hint="eastAsia" w:ascii="仿宋" w:hAnsi="仿宋" w:eastAsia="仿宋" w:cs="仿宋"/>
                <w:color w:val="000000"/>
                <w:sz w:val="22"/>
                <w:szCs w:val="22"/>
                <w:shd w:val="clear" w:color="auto" w:fill="FFFFFF"/>
                <w:lang w:eastAsia="zh-CN"/>
              </w:rPr>
              <w:t>修正</w:t>
            </w:r>
            <w:r>
              <w:rPr>
                <w:rFonts w:hint="eastAsia" w:ascii="仿宋" w:hAnsi="仿宋" w:eastAsia="仿宋" w:cs="仿宋"/>
                <w:color w:val="000000"/>
                <w:sz w:val="22"/>
                <w:szCs w:val="22"/>
                <w:shd w:val="clear" w:color="auto" w:fill="FFFFFF"/>
              </w:rPr>
              <w:t>）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46C82018">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3C26ED4D">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32C6045">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r w14:paraId="2D42AE72">
        <w:tblPrEx>
          <w:tblCellMar>
            <w:top w:w="0" w:type="dxa"/>
            <w:left w:w="108" w:type="dxa"/>
            <w:bottom w:w="0" w:type="dxa"/>
            <w:right w:w="108" w:type="dxa"/>
          </w:tblCellMar>
        </w:tblPrEx>
        <w:trPr>
          <w:trHeight w:val="920" w:hRule="atLeast"/>
        </w:trPr>
        <w:tc>
          <w:tcPr>
            <w:tcW w:w="2715" w:type="dxa"/>
            <w:tcBorders>
              <w:top w:val="single" w:color="000000" w:sz="4" w:space="0"/>
              <w:left w:val="single" w:color="000000" w:sz="4" w:space="0"/>
              <w:bottom w:val="single" w:color="000000" w:sz="4" w:space="0"/>
              <w:right w:val="single" w:color="auto" w:sz="4" w:space="0"/>
            </w:tcBorders>
            <w:noWrap/>
            <w:vAlign w:val="center"/>
          </w:tcPr>
          <w:p w14:paraId="3F4A3E42">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行政强制</w:t>
            </w:r>
          </w:p>
        </w:tc>
        <w:tc>
          <w:tcPr>
            <w:tcW w:w="2626" w:type="dxa"/>
            <w:tcBorders>
              <w:top w:val="single" w:color="000000" w:sz="4" w:space="0"/>
              <w:left w:val="single" w:color="auto" w:sz="4" w:space="0"/>
              <w:bottom w:val="single" w:color="000000" w:sz="4" w:space="0"/>
              <w:right w:val="single" w:color="000000" w:sz="4" w:space="0"/>
            </w:tcBorders>
            <w:noWrap/>
            <w:vAlign w:val="center"/>
          </w:tcPr>
          <w:p w14:paraId="00BAB008">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查封场所，查封或扣押设施、设备、器材、物品、原材料、运输工具</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7C3930C4">
            <w:pPr>
              <w:jc w:val="center"/>
              <w:rPr>
                <w:rFonts w:ascii="仿宋" w:hAnsi="仿宋" w:eastAsia="仿宋" w:cs="仿宋"/>
                <w:color w:val="000000"/>
                <w:sz w:val="22"/>
                <w:szCs w:val="22"/>
                <w:shd w:val="clear" w:color="auto" w:fill="FFFFFF"/>
              </w:rPr>
            </w:pPr>
            <w:r>
              <w:rPr>
                <w:rFonts w:hint="eastAsia" w:ascii="仿宋" w:hAnsi="仿宋" w:eastAsia="仿宋" w:cs="仿宋"/>
                <w:color w:val="000000"/>
                <w:sz w:val="22"/>
                <w:szCs w:val="22"/>
                <w:shd w:val="clear" w:color="auto" w:fill="FFFFFF"/>
              </w:rPr>
              <w:t>《安全生产法》（2002年6月通过，20</w:t>
            </w:r>
            <w:r>
              <w:rPr>
                <w:rFonts w:hint="eastAsia" w:ascii="仿宋" w:hAnsi="仿宋" w:eastAsia="仿宋" w:cs="仿宋"/>
                <w:color w:val="000000"/>
                <w:sz w:val="22"/>
                <w:szCs w:val="22"/>
                <w:shd w:val="clear" w:color="auto" w:fill="FFFFFF"/>
                <w:lang w:val="en-US" w:eastAsia="zh-CN"/>
              </w:rPr>
              <w:t>21</w:t>
            </w:r>
            <w:r>
              <w:rPr>
                <w:rFonts w:hint="eastAsia" w:ascii="仿宋" w:hAnsi="仿宋" w:eastAsia="仿宋" w:cs="仿宋"/>
                <w:color w:val="000000"/>
                <w:sz w:val="22"/>
                <w:szCs w:val="22"/>
                <w:shd w:val="clear" w:color="auto" w:fill="FFFFFF"/>
              </w:rPr>
              <w:t>年</w:t>
            </w:r>
            <w:r>
              <w:rPr>
                <w:rFonts w:hint="eastAsia" w:ascii="仿宋" w:hAnsi="仿宋" w:eastAsia="仿宋" w:cs="仿宋"/>
                <w:color w:val="000000"/>
                <w:sz w:val="22"/>
                <w:szCs w:val="22"/>
                <w:shd w:val="clear" w:color="auto" w:fill="FFFFFF"/>
                <w:lang w:val="en-US" w:eastAsia="zh-CN"/>
              </w:rPr>
              <w:t>9</w:t>
            </w:r>
            <w:r>
              <w:rPr>
                <w:rFonts w:hint="eastAsia" w:ascii="仿宋" w:hAnsi="仿宋" w:eastAsia="仿宋" w:cs="仿宋"/>
                <w:color w:val="000000"/>
                <w:sz w:val="22"/>
                <w:szCs w:val="22"/>
                <w:shd w:val="clear" w:color="auto" w:fill="FFFFFF"/>
              </w:rPr>
              <w:t>月</w:t>
            </w:r>
            <w:r>
              <w:rPr>
                <w:rFonts w:hint="eastAsia" w:ascii="仿宋" w:hAnsi="仿宋" w:eastAsia="仿宋" w:cs="仿宋"/>
                <w:color w:val="000000"/>
                <w:sz w:val="22"/>
                <w:szCs w:val="22"/>
                <w:shd w:val="clear" w:color="auto" w:fill="FFFFFF"/>
                <w:lang w:eastAsia="zh-CN"/>
              </w:rPr>
              <w:t>修正</w:t>
            </w:r>
            <w:r>
              <w:rPr>
                <w:rFonts w:hint="eastAsia" w:ascii="仿宋" w:hAnsi="仿宋" w:eastAsia="仿宋" w:cs="仿宋"/>
                <w:color w:val="000000"/>
                <w:sz w:val="22"/>
                <w:szCs w:val="22"/>
                <w:shd w:val="clear" w:color="auto" w:fill="FFFFFF"/>
              </w:rPr>
              <w:t>）第六十二条：“负有安全生产监督管理职责的部门依法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  </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73162966">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《安全生产执法程序规定》安监总政法〔2016〕72号</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5A1521C7">
            <w:pPr>
              <w:widowControl/>
              <w:jc w:val="left"/>
              <w:rPr>
                <w:rFonts w:ascii="微软雅黑" w:hAnsi="微软雅黑" w:eastAsia="微软雅黑" w:cs="微软雅黑"/>
                <w:color w:val="000000"/>
                <w:sz w:val="15"/>
                <w:szCs w:val="15"/>
              </w:rPr>
            </w:pPr>
            <w:r>
              <w:rPr>
                <w:rFonts w:hint="eastAsia" w:ascii="微软雅黑" w:hAnsi="微软雅黑" w:eastAsia="微软雅黑" w:cs="微软雅黑"/>
                <w:color w:val="000000"/>
                <w:kern w:val="0"/>
                <w:sz w:val="15"/>
                <w:szCs w:val="15"/>
              </w:rPr>
              <w:t>90日内</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F8ED5B7">
            <w:pPr>
              <w:rPr>
                <w:rFonts w:ascii="仿宋" w:hAnsi="仿宋" w:eastAsia="仿宋" w:cs="仿宋"/>
                <w:color w:val="000000"/>
                <w:sz w:val="32"/>
                <w:szCs w:val="32"/>
                <w:shd w:val="clear" w:color="auto" w:fill="FFFFFF"/>
              </w:rPr>
            </w:pPr>
            <w:r>
              <w:rPr>
                <w:rFonts w:hint="eastAsia" w:ascii="仿宋" w:hAnsi="仿宋" w:eastAsia="仿宋" w:cs="仿宋"/>
                <w:color w:val="000000"/>
                <w:sz w:val="22"/>
                <w:szCs w:val="22"/>
                <w:shd w:val="clear" w:color="auto" w:fill="FFFFFF"/>
              </w:rPr>
              <w:t>《山东省安全生产行政处罚自由裁量基准》（</w:t>
            </w:r>
            <w:r>
              <w:rPr>
                <w:rFonts w:hint="eastAsia" w:ascii="仿宋" w:hAnsi="仿宋" w:eastAsia="仿宋" w:cs="仿宋"/>
                <w:color w:val="000000"/>
                <w:sz w:val="22"/>
                <w:szCs w:val="22"/>
                <w:shd w:val="clear" w:color="auto" w:fill="FFFFFF"/>
                <w:lang w:eastAsia="zh-CN"/>
              </w:rPr>
              <w:t>鲁应急发〔2022〕1号</w:t>
            </w:r>
            <w:r>
              <w:rPr>
                <w:rFonts w:hint="eastAsia" w:ascii="仿宋" w:hAnsi="仿宋" w:eastAsia="仿宋" w:cs="仿宋"/>
                <w:color w:val="000000"/>
                <w:sz w:val="22"/>
                <w:szCs w:val="22"/>
                <w:shd w:val="clear" w:color="auto" w:fill="FFFFFF"/>
              </w:rPr>
              <w:t>）</w:t>
            </w:r>
          </w:p>
        </w:tc>
      </w:tr>
    </w:tbl>
    <w:p w14:paraId="1C1D2DF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ODBiZGM0YTU2OTk5ZWM3ZmJlYmQ3M2Q2Nzg4ZTIifQ=="/>
  </w:docVars>
  <w:rsids>
    <w:rsidRoot w:val="16B620C1"/>
    <w:rsid w:val="001A6F41"/>
    <w:rsid w:val="002558BE"/>
    <w:rsid w:val="00AA50B5"/>
    <w:rsid w:val="00CB0CC3"/>
    <w:rsid w:val="00EE7DA1"/>
    <w:rsid w:val="00FF0B74"/>
    <w:rsid w:val="0D5641FB"/>
    <w:rsid w:val="0ED6723C"/>
    <w:rsid w:val="161E6A79"/>
    <w:rsid w:val="16B620C1"/>
    <w:rsid w:val="19360EB3"/>
    <w:rsid w:val="1BFC59B6"/>
    <w:rsid w:val="467C4AB1"/>
    <w:rsid w:val="54314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3093</Words>
  <Characters>3258</Characters>
  <Lines>2</Lines>
  <Paragraphs>6</Paragraphs>
  <TotalTime>4</TotalTime>
  <ScaleCrop>false</ScaleCrop>
  <LinksUpToDate>false</LinksUpToDate>
  <CharactersWithSpaces>3267</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2022-06-14T07:16:00Z</dcterms:created>
  <dc:creator>dm1388123269</dc:creator>
  <cp:lastModifiedBy>Gen.G</cp:lastModifiedBy>
  <dcterms:modified xsi:type="dcterms:W3CDTF">2024-11-07T00:36:01Z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71AA5AEC1A9B48D88E851C58DE185408_13</vt:lpwstr>
  </property>
  <property fmtid="{D5CDD505-2E9C-101B-9397-08002B2CF9AE}" pid="4" name="commondata">
    <vt:lpwstr>eyJoZGlkIjoiN2UxY2U2YmUwMzZkNGI5NDYwZmE0NWFkYzY2MzAxMzcifQ==</vt:lpwstr>
  </property>
</Properties>
</file>