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333333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333333"/>
          <w:sz w:val="36"/>
          <w:szCs w:val="36"/>
        </w:rPr>
        <w:t>沂源县畜牧渔业服务中心</w:t>
      </w:r>
    </w:p>
    <w:p>
      <w:pPr>
        <w:jc w:val="center"/>
        <w:rPr>
          <w:rFonts w:hint="default" w:ascii="Times New Roman" w:hAnsi="Times New Roman" w:eastAsia="方正小标宋简体" w:cs="Times New Roman"/>
          <w:color w:val="333333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333333"/>
          <w:sz w:val="36"/>
          <w:szCs w:val="36"/>
        </w:rPr>
        <w:t>20</w:t>
      </w:r>
      <w:r>
        <w:rPr>
          <w:rFonts w:hint="default" w:ascii="Times New Roman" w:hAnsi="Times New Roman" w:eastAsia="方正小标宋简体" w:cs="Times New Roman"/>
          <w:color w:val="333333"/>
          <w:sz w:val="36"/>
          <w:szCs w:val="36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color w:val="333333"/>
          <w:sz w:val="36"/>
          <w:szCs w:val="36"/>
        </w:rPr>
        <w:t>年度政府信息公开工作年度报告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根据《中华人民共和国政府信息公开条例》和各级政府有关信息公开的要求，结合县畜牧渔业服务中心政府信息公开工作实际，现向社会公开县畜牧渔业服务中心20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年政府信息公开年度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报告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  <w:t>总体情况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b w:val="0"/>
          <w:i w:val="0"/>
          <w:color w:val="3D3D3D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i w:val="0"/>
          <w:color w:val="323232"/>
          <w:spacing w:val="0"/>
          <w:sz w:val="32"/>
          <w:szCs w:val="32"/>
        </w:rPr>
        <w:t xml:space="preserve"> 20</w:t>
      </w:r>
      <w:r>
        <w:rPr>
          <w:rFonts w:hint="default" w:ascii="Times New Roman" w:hAnsi="Times New Roman" w:eastAsia="仿宋_GB2312" w:cs="Times New Roman"/>
          <w:b w:val="0"/>
          <w:i w:val="0"/>
          <w:color w:val="323232"/>
          <w:spacing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i w:val="0"/>
          <w:color w:val="323232"/>
          <w:spacing w:val="0"/>
          <w:sz w:val="32"/>
          <w:szCs w:val="32"/>
        </w:rPr>
        <w:t>年，</w:t>
      </w:r>
      <w:r>
        <w:rPr>
          <w:rFonts w:hint="default" w:ascii="Times New Roman" w:hAnsi="Times New Roman" w:eastAsia="仿宋_GB2312" w:cs="Times New Roman"/>
          <w:b w:val="0"/>
          <w:i w:val="0"/>
          <w:color w:val="333333"/>
          <w:sz w:val="32"/>
          <w:szCs w:val="32"/>
        </w:rPr>
        <w:t>县畜牧渔业服务中心</w:t>
      </w:r>
      <w:r>
        <w:rPr>
          <w:rFonts w:hint="default" w:ascii="Times New Roman" w:hAnsi="Times New Roman" w:eastAsia="仿宋_GB2312" w:cs="Times New Roman"/>
          <w:b w:val="0"/>
          <w:i w:val="0"/>
          <w:color w:val="3D3D3D"/>
          <w:spacing w:val="0"/>
          <w:sz w:val="32"/>
          <w:szCs w:val="32"/>
        </w:rPr>
        <w:t>高度重视信息公开工作，</w:t>
      </w:r>
      <w:r>
        <w:rPr>
          <w:rFonts w:hint="default" w:ascii="Times New Roman" w:hAnsi="Times New Roman" w:eastAsia="仿宋_GB2312" w:cs="Times New Roman"/>
          <w:b w:val="0"/>
          <w:i w:val="0"/>
          <w:color w:val="3D3D3D"/>
          <w:spacing w:val="0"/>
          <w:sz w:val="32"/>
          <w:szCs w:val="32"/>
          <w:shd w:val="clear" w:fill="FFFFFF"/>
        </w:rPr>
        <w:t>按照县委、县政府的总体部署和工作要求，深入贯彻实施《中华人民共和国政府信息公开条例》</w:t>
      </w:r>
      <w:r>
        <w:rPr>
          <w:rFonts w:hint="default" w:ascii="Times New Roman" w:hAnsi="Times New Roman" w:eastAsia="仿宋_GB2312" w:cs="Times New Roman"/>
          <w:b w:val="0"/>
          <w:i w:val="0"/>
          <w:color w:val="3D3D3D"/>
          <w:spacing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i w:val="0"/>
          <w:color w:val="323232"/>
          <w:spacing w:val="0"/>
          <w:sz w:val="32"/>
          <w:szCs w:val="32"/>
        </w:rPr>
        <w:t>按照</w:t>
      </w:r>
      <w:r>
        <w:rPr>
          <w:rFonts w:hint="default" w:ascii="Times New Roman" w:hAnsi="Times New Roman" w:eastAsia="仿宋_GB2312" w:cs="Times New Roman"/>
          <w:b w:val="0"/>
          <w:i w:val="0"/>
          <w:color w:val="3D3D3D"/>
          <w:spacing w:val="0"/>
          <w:sz w:val="32"/>
          <w:szCs w:val="32"/>
        </w:rPr>
        <w:t>合法、及时、公正和便民的原则，积极做好政府信息的收集、整理，并定期对本单位的公开信息进行更新</w:t>
      </w:r>
      <w:r>
        <w:rPr>
          <w:rFonts w:hint="default" w:ascii="Times New Roman" w:hAnsi="Times New Roman" w:eastAsia="仿宋_GB2312" w:cs="Times New Roman"/>
          <w:b w:val="0"/>
          <w:i w:val="0"/>
          <w:color w:val="3D3D3D"/>
          <w:spacing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楷体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  <w:t>（一）主动公开信息情况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  <w:t>2020年1月1日至12月31日，县畜牧渔业服务中心累计主动公开政府信息14条，其中机构职能3条、政策法规1条、政府会议3条、政务公开组织领导1条、信息公开指南1条、信息公开年度报告1条、政务公开培训2条、主动公开基本目录2条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楷体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  <w:t>（二）依申请公开情况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  <w:t>2020年，未通过各种渠道收到有关政府信息公开申请。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楷体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  <w:t>（三）政府信息管理情况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  <w:t>加强政府信息公开工作的组织领导，形成了中心主任亲自抓，分管领导具体抓，各科室分工负责的工作格局。根据机构改革后机构设置和职能调整，重新调整充实了政务公开工作领导小组，保证专人负责。按照“谁主管、谁负责”的原则，将信息公开责任落实到各科室具体责任人，完善责任机制。建立政府信息管理制度，定期公开制度、公开审查制度、依申请办理制度等，对政府信息分门别类建立工作台账，认真保存，及时归档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楷体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  <w:t>（四）政府信息公开平台、机构建设和人员情况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  <w:t>充分发挥沂源县人民政府网站的平台作用，及时发布机构职能、领导分工、政府文件、部门文件、重点领域公开、等信息，确保应当公开的内容及时公开。建立“谁提供、谁发布、谁负责”的工作机制，要求对平台内容及时更新补充完善。对县政府要求和文件进行落实。中心抽调专门人员进行政务公开工作，及时对平台建设和信息发布近视反馈和督促，确保政务信息公开到位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楷体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  <w:t>（五）监督保障情况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  <w:t>建立政府信息监督考核保障机制，遵循“谁公开，谁审查，谁负责”的原则，保证政府信息公开的安全。中心各科室是政务公开信息发布的直接责任主体，起到第一道防线的作用。中心牵头科室是协调综合部门，起到查漏补缺的作用，对发现的政务公开的问题和错误及时进行纠正。对县大数据中心发现督导的问题，及时进行整改落实反馈，做到立查立改。建立社会评议制度，对法定公开内容进行主动公开，接受社会群众监督，对评议中反馈的问题和建议，要梳理汇总，逐条分析，建立解决和应对长效机制，并将评议结果整改措施及时进行反馈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楷体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  <w:t>（六）建议提案办理结果公开情况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  <w:t> 本年度我单位无建议提案办理。</w:t>
      </w:r>
    </w:p>
    <w:p>
      <w:pPr>
        <w:numPr>
          <w:ilvl w:val="0"/>
          <w:numId w:val="1"/>
        </w:numPr>
        <w:ind w:left="0" w:leftChars="0" w:firstLine="640" w:firstLineChars="200"/>
        <w:jc w:val="left"/>
        <w:rPr>
          <w:rFonts w:hint="default" w:ascii="Times New Roman" w:hAnsi="Times New Roman" w:eastAsia="黑体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  <w:t>主动公开政府信息情况</w:t>
      </w:r>
    </w:p>
    <w:tbl>
      <w:tblPr>
        <w:tblStyle w:val="3"/>
        <w:tblW w:w="82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9"/>
        <w:gridCol w:w="1842"/>
        <w:gridCol w:w="1888"/>
        <w:gridCol w:w="19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234" w:type="dxa"/>
            <w:gridSpan w:val="4"/>
            <w:tcBorders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本年新制作数量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本年新公开数量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对外公开总数量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规章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规范性文件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本年增/减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行政许可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其他对外管理服务事项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本年增/减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行政处罚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行政强制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上一年项目数量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本年增/减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行政事业性收费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第二十条第（九）项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采购项目数量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采购总金额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政府集中采购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left="0" w:leftChars="0" w:firstLine="640" w:firstLineChars="200"/>
        <w:jc w:val="left"/>
        <w:rPr>
          <w:rFonts w:hint="default" w:ascii="Times New Roman" w:hAnsi="Times New Roman" w:eastAsia="黑体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  <w:t>收到和处理政府信息公开申请情况</w:t>
      </w:r>
    </w:p>
    <w:p>
      <w:pPr>
        <w:numPr>
          <w:ilvl w:val="0"/>
          <w:numId w:val="0"/>
        </w:numPr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  <w:t>     自2020年1月1日至2020年12月31日县畜牧渔业服务中心未接到书面申请公开政府信息的申请。</w:t>
      </w:r>
    </w:p>
    <w:tbl>
      <w:tblPr>
        <w:tblStyle w:val="4"/>
        <w:tblpPr w:leftFromText="181" w:rightFromText="181" w:vertAnchor="text" w:horzAnchor="page" w:tblpXSpec="center" w:tblpY="284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133"/>
        <w:gridCol w:w="1882"/>
        <w:gridCol w:w="567"/>
        <w:gridCol w:w="636"/>
        <w:gridCol w:w="636"/>
        <w:gridCol w:w="776"/>
        <w:gridCol w:w="776"/>
        <w:gridCol w:w="497"/>
        <w:gridCol w:w="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137" w:type="dxa"/>
            <w:gridSpan w:val="3"/>
            <w:vMerge w:val="restart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85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137" w:type="dxa"/>
            <w:gridSpan w:val="3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自然人</w:t>
            </w:r>
          </w:p>
        </w:tc>
        <w:tc>
          <w:tcPr>
            <w:tcW w:w="332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法人或其他组织</w:t>
            </w:r>
          </w:p>
        </w:tc>
        <w:tc>
          <w:tcPr>
            <w:tcW w:w="497" w:type="dxa"/>
            <w:vMerge w:val="restart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4137" w:type="dxa"/>
            <w:gridSpan w:val="3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36" w:type="dxa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商业企业</w:t>
            </w:r>
          </w:p>
        </w:tc>
        <w:tc>
          <w:tcPr>
            <w:tcW w:w="636" w:type="dxa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科研机构</w:t>
            </w:r>
          </w:p>
        </w:tc>
        <w:tc>
          <w:tcPr>
            <w:tcW w:w="776" w:type="dxa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社会公益组织</w:t>
            </w:r>
          </w:p>
        </w:tc>
        <w:tc>
          <w:tcPr>
            <w:tcW w:w="776" w:type="dxa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法律服务机构</w:t>
            </w:r>
          </w:p>
        </w:tc>
        <w:tc>
          <w:tcPr>
            <w:tcW w:w="497" w:type="dxa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其他</w:t>
            </w:r>
          </w:p>
        </w:tc>
        <w:tc>
          <w:tcPr>
            <w:tcW w:w="497" w:type="dxa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4137" w:type="dxa"/>
            <w:gridSpan w:val="3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37" w:type="dxa"/>
            <w:gridSpan w:val="3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22" w:type="dxa"/>
            <w:vMerge w:val="restart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三、本年度办理结果</w:t>
            </w:r>
          </w:p>
        </w:tc>
        <w:tc>
          <w:tcPr>
            <w:tcW w:w="3015" w:type="dxa"/>
            <w:gridSpan w:val="2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（一）予以公开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22" w:type="dxa"/>
            <w:vMerge w:val="continue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3015" w:type="dxa"/>
            <w:gridSpan w:val="2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22" w:type="dxa"/>
            <w:vMerge w:val="continue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（三）不予公开</w:t>
            </w:r>
          </w:p>
        </w:tc>
        <w:tc>
          <w:tcPr>
            <w:tcW w:w="1882" w:type="dxa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1．属于国家秘密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2" w:type="dxa"/>
            <w:vMerge w:val="continue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882" w:type="dxa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2．其他法律行政法规禁止公开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22" w:type="dxa"/>
            <w:vMerge w:val="continue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882" w:type="dxa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3．危及“三安全一稳定”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22" w:type="dxa"/>
            <w:vMerge w:val="continue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882" w:type="dxa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4．保护第三方合法权益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22" w:type="dxa"/>
            <w:vMerge w:val="continue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882" w:type="dxa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5．属于三类内部事务信息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22" w:type="dxa"/>
            <w:vMerge w:val="continue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882" w:type="dxa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6．属于四类过程性信息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22" w:type="dxa"/>
            <w:vMerge w:val="continue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882" w:type="dxa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7．属于行政执法案卷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22" w:type="dxa"/>
            <w:vMerge w:val="continue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882" w:type="dxa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8．属于行政查询事项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2" w:type="dxa"/>
            <w:vMerge w:val="continue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（四）无法提供</w:t>
            </w:r>
          </w:p>
        </w:tc>
        <w:tc>
          <w:tcPr>
            <w:tcW w:w="1882" w:type="dxa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1．本单位不掌握相关政府信息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22" w:type="dxa"/>
            <w:vMerge w:val="continue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882" w:type="dxa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2．没有现成信息需要另行制作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22" w:type="dxa"/>
            <w:vMerge w:val="continue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882" w:type="dxa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3．补正后申请内容仍不明确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22" w:type="dxa"/>
            <w:vMerge w:val="continue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（五）不予处理</w:t>
            </w:r>
          </w:p>
        </w:tc>
        <w:tc>
          <w:tcPr>
            <w:tcW w:w="1882" w:type="dxa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1．信访举报投诉类申请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22" w:type="dxa"/>
            <w:vMerge w:val="continue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133" w:type="dxa"/>
            <w:vMerge w:val="continue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882" w:type="dxa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2．重复申请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22" w:type="dxa"/>
            <w:vMerge w:val="continue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133" w:type="dxa"/>
            <w:vMerge w:val="continue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882" w:type="dxa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3．要求提供公开出版物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22" w:type="dxa"/>
            <w:vMerge w:val="continue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133" w:type="dxa"/>
            <w:vMerge w:val="continue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882" w:type="dxa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4．无正当理由大量反复申请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22" w:type="dxa"/>
            <w:vMerge w:val="continue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133" w:type="dxa"/>
            <w:vMerge w:val="continue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1882" w:type="dxa"/>
          </w:tcPr>
          <w:p>
            <w:pPr>
              <w:ind w:left="210" w:hanging="210" w:hangingChars="100"/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5．要求行政机关确认或重新出具已获取信息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22" w:type="dxa"/>
            <w:vMerge w:val="continue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3015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（六）其他处理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22" w:type="dxa"/>
            <w:vMerge w:val="continue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</w:p>
        </w:tc>
        <w:tc>
          <w:tcPr>
            <w:tcW w:w="3015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（七）总计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137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四、结转下年度继续办理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  <w:t>政府信息公开行政复议、行政诉讼情况</w:t>
      </w:r>
    </w:p>
    <w:tbl>
      <w:tblPr>
        <w:tblStyle w:val="4"/>
        <w:tblpPr w:leftFromText="180" w:rightFromText="180" w:vertAnchor="text" w:horzAnchor="page" w:tblpX="1890" w:tblpY="45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594"/>
        <w:gridCol w:w="594"/>
        <w:gridCol w:w="463"/>
        <w:gridCol w:w="594"/>
        <w:gridCol w:w="594"/>
        <w:gridCol w:w="594"/>
        <w:gridCol w:w="594"/>
        <w:gridCol w:w="463"/>
        <w:gridCol w:w="595"/>
        <w:gridCol w:w="595"/>
        <w:gridCol w:w="595"/>
        <w:gridCol w:w="595"/>
        <w:gridCol w:w="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39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  <w:t>行政复议</w:t>
            </w:r>
          </w:p>
        </w:tc>
        <w:tc>
          <w:tcPr>
            <w:tcW w:w="5683" w:type="dxa"/>
            <w:gridSpan w:val="10"/>
            <w:vAlign w:val="center"/>
          </w:tcPr>
          <w:p>
            <w:pPr>
              <w:autoSpaceDE/>
              <w:autoSpaceDN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94" w:type="dxa"/>
            <w:vMerge w:val="restart"/>
            <w:vAlign w:val="center"/>
          </w:tcPr>
          <w:p>
            <w:pPr>
              <w:autoSpaceDE/>
              <w:autoSpaceDN/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autoSpaceDE/>
              <w:autoSpaceDN/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autoSpaceDE/>
              <w:autoSpaceDN/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autoSpaceDE/>
              <w:autoSpaceDN/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463" w:type="dxa"/>
            <w:vMerge w:val="restart"/>
            <w:vAlign w:val="center"/>
          </w:tcPr>
          <w:p>
            <w:pPr>
              <w:autoSpaceDE/>
              <w:autoSpaceDN/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2839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  <w:t>未经复议直接起诉</w:t>
            </w:r>
          </w:p>
        </w:tc>
        <w:tc>
          <w:tcPr>
            <w:tcW w:w="2844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594" w:type="dxa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594" w:type="dxa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594" w:type="dxa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463" w:type="dxa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595" w:type="dxa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595" w:type="dxa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595" w:type="dxa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595" w:type="dxa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464" w:type="dxa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ind w:left="0" w:leftChars="0" w:firstLine="640" w:firstLineChars="200"/>
        <w:jc w:val="left"/>
        <w:rPr>
          <w:rFonts w:hint="default" w:ascii="Times New Roman" w:hAnsi="Times New Roman" w:eastAsia="黑体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  <w:t>五、存在的主要问题及改进情况</w:t>
      </w:r>
    </w:p>
    <w:p>
      <w:pPr>
        <w:numPr>
          <w:ilvl w:val="0"/>
          <w:numId w:val="0"/>
        </w:numPr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  <w:t>县畜牧渔业服务中心政府信息公开工作还存在着信息更新不够及时、信息公开的范围相对狭窄、业务能力欠缺等问题。下一步，县畜牧渔业服务中心将进一步梳理本单位所掌握的政府信息，及时提供，定期维护，确保政府信息公开工作能按照既定的工作流程有效运作，公众能够方便查询。同时，加强业务学习培训，提升技术支持，进一步梳理政府信息，逐步扩大公开内容，对原有的政府信息公开目录进行补充完善，保证公开信息的完整性和准确性。</w:t>
      </w:r>
    </w:p>
    <w:p>
      <w:pPr>
        <w:numPr>
          <w:ilvl w:val="0"/>
          <w:numId w:val="0"/>
        </w:numPr>
        <w:ind w:left="0" w:leftChars="0" w:firstLine="640" w:firstLineChars="200"/>
        <w:jc w:val="left"/>
        <w:rPr>
          <w:rFonts w:hint="default" w:ascii="Times New Roman" w:hAnsi="Times New Roman" w:eastAsia="黑体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  <w:t>六、其他需要报告的事项 </w:t>
      </w:r>
    </w:p>
    <w:p>
      <w:pPr>
        <w:numPr>
          <w:ilvl w:val="0"/>
          <w:numId w:val="0"/>
        </w:numPr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3D3D3D"/>
          <w:spacing w:val="0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3000509000000000000"/>
    <w:charset w:val="86"/>
    <w:family w:val="auto"/>
    <w:pitch w:val="default"/>
    <w:sig w:usb0="A00002BF" w:usb1="184F6CFA" w:usb2="00000012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1A632"/>
    <w:multiLevelType w:val="singleLevel"/>
    <w:tmpl w:val="4961A6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F7"/>
    <w:rsid w:val="007818F7"/>
    <w:rsid w:val="41056749"/>
    <w:rsid w:val="4A5961D0"/>
    <w:rsid w:val="76E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2021-01-20T07:07:00Z</dcterms:created>
  <dc:creator>人民币玩家</dc:creator>
  <cp:lastModifiedBy>人民币玩家</cp:lastModifiedBy>
  <dcterms:modified xsi:type="dcterms:W3CDTF">2021-01-21T05:53:29Z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