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沂源县统计局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关于2020年度行政事业性国有资产情况的报告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楷体_GB2312" w:hAnsi="Times New Roman" w:eastAsia="楷体_GB2312" w:cs="楷体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bookmarkStart w:id="0" w:name="_GoBack"/>
      <w:bookmarkEnd w:id="0"/>
      <w:r>
        <w:rPr>
          <w:rFonts w:ascii="楷体_GB2312" w:hAnsi="Times New Roman" w:eastAsia="楷体_GB2312" w:cs="楷体_GB2312"/>
          <w:sz w:val="32"/>
          <w:szCs w:val="32"/>
        </w:rPr>
        <w:t>源统发〔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楷体_GB2312" w:hAnsi="Times New Roman" w:eastAsia="楷体_GB2312" w:cs="楷体_GB2312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eastAsia" w:ascii="楷体_GB2312" w:hAnsi="Times New Roman" w:eastAsia="楷体_GB2312" w:cs="楷体_GB2312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</w:pPr>
      <w:r>
        <w:rPr>
          <w:rFonts w:ascii="仿宋_GB2312" w:hAnsi="Times New Roman" w:eastAsia="仿宋_GB2312" w:cs="仿宋_GB2312"/>
          <w:sz w:val="32"/>
          <w:szCs w:val="32"/>
        </w:rPr>
        <w:t>沂源县统计局：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为加强行政事业单位国有资产管理，完善行政事业单位资产基础信息，夯实资产管理工作基础</w:t>
      </w:r>
      <w:r>
        <w:rPr>
          <w:rFonts w:hint="default" w:ascii="Times New Roman" w:hAnsi="Times New Roman" w:cs="Times New Roman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根据《淄博市财政局关于转发</w:t>
      </w:r>
      <w:r>
        <w:rPr>
          <w:rFonts w:hint="default" w:ascii="Times New Roman" w:hAnsi="Times New Roman" w:cs="Times New Roman"/>
          <w:sz w:val="32"/>
          <w:szCs w:val="32"/>
        </w:rPr>
        <w:t>&lt;</w:t>
      </w:r>
      <w:r>
        <w:rPr>
          <w:rFonts w:hint="eastAsia" w:ascii="仿宋_GB2312" w:hAnsi="Times New Roman" w:eastAsia="仿宋_GB2312" w:cs="仿宋_GB2312"/>
          <w:sz w:val="32"/>
          <w:szCs w:val="32"/>
        </w:rPr>
        <w:t>山东省财政厅关于做好</w:t>
      </w:r>
      <w:r>
        <w:rPr>
          <w:rFonts w:hint="default" w:ascii="Times New Roman" w:hAnsi="Times New Roman" w:cs="Times New Roman"/>
          <w:sz w:val="32"/>
          <w:szCs w:val="32"/>
        </w:rPr>
        <w:t>2020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年度全省行政事业性国有资产报告和产权登记工作的通知</w:t>
      </w:r>
      <w:r>
        <w:rPr>
          <w:rFonts w:hint="default" w:ascii="Times New Roman" w:hAnsi="Times New Roman" w:cs="Times New Roman"/>
          <w:sz w:val="32"/>
          <w:szCs w:val="32"/>
        </w:rPr>
        <w:t>&gt;</w:t>
      </w:r>
      <w:r>
        <w:rPr>
          <w:rFonts w:hint="eastAsia" w:ascii="仿宋_GB2312" w:hAnsi="Times New Roman" w:eastAsia="仿宋_GB2312" w:cs="仿宋_GB2312"/>
          <w:sz w:val="32"/>
          <w:szCs w:val="32"/>
        </w:rPr>
        <w:t>的通知》（淄财资〔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号）要求，沂源县统计局开展了</w:t>
      </w:r>
      <w:r>
        <w:rPr>
          <w:rFonts w:hint="default" w:ascii="Times New Roman" w:hAnsi="Times New Roman" w:cs="Times New Roman"/>
          <w:sz w:val="32"/>
          <w:szCs w:val="32"/>
        </w:rPr>
        <w:t>2020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年度行政事业单位资产报表编报及信息统计分析工作</w:t>
      </w:r>
      <w:r>
        <w:rPr>
          <w:rFonts w:hint="default" w:ascii="Times New Roman" w:hAnsi="Times New Roman" w:cs="Times New Roman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通过数据治理、资产清查盘点、数据填报、审核分析等步骤</w:t>
      </w:r>
      <w:r>
        <w:rPr>
          <w:rFonts w:hint="default" w:ascii="Times New Roman" w:hAnsi="Times New Roman" w:cs="Times New Roman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进一步夯实资产报表数据质量</w:t>
      </w:r>
      <w:r>
        <w:rPr>
          <w:rFonts w:hint="default" w:ascii="Times New Roman" w:hAnsi="Times New Roman" w:cs="Times New Roman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目前该项工作已顺利完成。现将资产报表、填报说明及信息分析报告呈上</w:t>
      </w:r>
      <w:r>
        <w:rPr>
          <w:rFonts w:hint="default" w:ascii="Times New Roman" w:hAnsi="Times New Roman" w:cs="Times New Roman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请审查。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特此报告。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附件：沂源县统计局国有资产报表分析报告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5440"/>
        <w:jc w:val="right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02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02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1B920632"/>
    <w:rsid w:val="1B920632"/>
    <w:rsid w:val="56D2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312</Characters>
  <Lines>0</Lines>
  <Paragraphs>0</Paragraphs>
  <TotalTime>1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2023-05-18T03:24:00Z</dcterms:created>
  <dc:creator>白白白白</dc:creator>
  <cp:lastModifiedBy>白白白白</cp:lastModifiedBy>
  <dcterms:modified xsi:type="dcterms:W3CDTF">2023-05-18T03:25:56Z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33A256725BB94697A33083BE58FD20C1_11</vt:lpwstr>
  </property>
</Properties>
</file>