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rPr>
          <w:rStyle w:val="5"/>
          <w:rFonts w:hint="eastAsia" w:ascii="宋体" w:hAnsi="宋体" w:eastAsia="宋体" w:cs="宋体"/>
          <w:caps w:val="0"/>
          <w:color w:val="000000"/>
          <w:spacing w:val="0"/>
          <w:sz w:val="24"/>
          <w:szCs w:val="24"/>
          <w:shd w:val="clear" w:fill="FFFFFF"/>
        </w:rPr>
        <w:t>一、行政处罚权力事项清单表：</w:t>
      </w:r>
      <w:bookmarkStart w:id="0" w:name="_GoBack"/>
      <w:r>
        <w:rPr>
          <w:rStyle w:val="5"/>
          <w:rFonts w:hint="eastAsia" w:ascii="宋体" w:hAnsi="宋体" w:eastAsia="宋体" w:cs="宋体"/>
          <w:caps w:val="0"/>
          <w:color w:val="000000"/>
          <w:spacing w:val="0"/>
          <w:sz w:val="24"/>
          <w:szCs w:val="24"/>
          <w:shd w:val="clear" w:fill="FFFFFF"/>
        </w:rPr>
        <w:t>沂源县审计局行政处罚权力事项清单</w:t>
      </w:r>
      <w:bookmarkEnd w:id="0"/>
    </w:p>
    <w:tbl>
      <w:tblPr>
        <w:tblW w:w="1318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884"/>
        <w:gridCol w:w="1884"/>
        <w:gridCol w:w="3278"/>
        <w:gridCol w:w="810"/>
        <w:gridCol w:w="1395"/>
        <w:gridCol w:w="945"/>
        <w:gridCol w:w="299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27" w:hRule="atLeast"/>
        </w:trPr>
        <w:tc>
          <w:tcPr>
            <w:tcW w:w="1884"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序号</w:t>
            </w:r>
          </w:p>
        </w:tc>
        <w:tc>
          <w:tcPr>
            <w:tcW w:w="1884"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事项名称</w:t>
            </w:r>
          </w:p>
        </w:tc>
        <w:tc>
          <w:tcPr>
            <w:tcW w:w="327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法律依据</w:t>
            </w:r>
          </w:p>
        </w:tc>
        <w:tc>
          <w:tcPr>
            <w:tcW w:w="810"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法定期限</w:t>
            </w:r>
          </w:p>
        </w:tc>
        <w:tc>
          <w:tcPr>
            <w:tcW w:w="139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业务类型</w:t>
            </w:r>
          </w:p>
        </w:tc>
        <w:tc>
          <w:tcPr>
            <w:tcW w:w="94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处罚适用种类</w:t>
            </w:r>
          </w:p>
        </w:tc>
        <w:tc>
          <w:tcPr>
            <w:tcW w:w="299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执法机构、执法类别及救济渠道</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75" w:hRule="atLeast"/>
        </w:trPr>
        <w:tc>
          <w:tcPr>
            <w:tcW w:w="18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1</w:t>
            </w:r>
          </w:p>
        </w:tc>
        <w:tc>
          <w:tcPr>
            <w:tcW w:w="188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21"/>
                <w:szCs w:val="21"/>
              </w:rPr>
              <w:t>对拒绝、阻碍审计检查或者提供虚假审计资料的处罚</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21"/>
                <w:szCs w:val="21"/>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21"/>
                <w:szCs w:val="21"/>
              </w:rPr>
              <w:t> </w:t>
            </w:r>
          </w:p>
        </w:tc>
        <w:tc>
          <w:tcPr>
            <w:tcW w:w="3278"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left"/>
            </w:pPr>
            <w:r>
              <w:rPr>
                <w:rFonts w:ascii="TimesNewRomanPSMT" w:hAnsi="TimesNewRomanPSMT" w:eastAsia="TimesNewRomanPSMT" w:cs="TimesNewRomanPSMT"/>
                <w:sz w:val="18"/>
                <w:szCs w:val="18"/>
              </w:rPr>
              <w:t>1.</w:t>
            </w:r>
            <w:r>
              <w:rPr>
                <w:rFonts w:hint="eastAsia" w:ascii="宋体" w:hAnsi="宋体" w:eastAsia="宋体" w:cs="宋体"/>
                <w:sz w:val="18"/>
                <w:szCs w:val="18"/>
              </w:rPr>
              <w:t>《审计法》（</w:t>
            </w:r>
            <w:r>
              <w:rPr>
                <w:rFonts w:hint="default" w:ascii="TimesNewRomanPSMT" w:hAnsi="TimesNewRomanPSMT" w:eastAsia="TimesNewRomanPSMT" w:cs="TimesNewRomanPSMT"/>
                <w:sz w:val="18"/>
                <w:szCs w:val="18"/>
              </w:rPr>
              <w:t>1994 </w:t>
            </w:r>
            <w:r>
              <w:rPr>
                <w:rFonts w:hint="eastAsia" w:ascii="宋体" w:hAnsi="宋体" w:eastAsia="宋体" w:cs="宋体"/>
                <w:sz w:val="18"/>
                <w:szCs w:val="18"/>
              </w:rPr>
              <w:t>年</w:t>
            </w:r>
            <w:r>
              <w:rPr>
                <w:rFonts w:hint="default" w:ascii="TimesNewRomanPSMT" w:hAnsi="TimesNewRomanPSMT" w:eastAsia="TimesNewRomanPSMT" w:cs="TimesNewRomanPSMT"/>
                <w:sz w:val="18"/>
                <w:szCs w:val="18"/>
              </w:rPr>
              <w:t>8 </w:t>
            </w:r>
            <w:r>
              <w:rPr>
                <w:rFonts w:hint="eastAsia" w:ascii="宋体" w:hAnsi="宋体" w:eastAsia="宋体" w:cs="宋体"/>
                <w:sz w:val="18"/>
                <w:szCs w:val="18"/>
              </w:rPr>
              <w:t>月通过，</w:t>
            </w:r>
            <w:r>
              <w:rPr>
                <w:rFonts w:hint="default" w:ascii="TimesNewRomanPSMT" w:hAnsi="TimesNewRomanPSMT" w:eastAsia="TimesNewRomanPSMT" w:cs="TimesNewRomanPSMT"/>
                <w:sz w:val="18"/>
                <w:szCs w:val="18"/>
              </w:rPr>
              <w:t>2006 </w:t>
            </w:r>
            <w:r>
              <w:rPr>
                <w:rFonts w:hint="eastAsia" w:ascii="宋体" w:hAnsi="宋体" w:eastAsia="宋体" w:cs="宋体"/>
                <w:sz w:val="18"/>
                <w:szCs w:val="18"/>
              </w:rPr>
              <w:t>年</w:t>
            </w:r>
            <w:r>
              <w:rPr>
                <w:rFonts w:hint="default" w:ascii="TimesNewRomanPSMT" w:hAnsi="TimesNewRomanPSMT" w:eastAsia="TimesNewRomanPSMT" w:cs="TimesNewRomanPSMT"/>
                <w:sz w:val="18"/>
                <w:szCs w:val="18"/>
              </w:rPr>
              <w:t>2 </w:t>
            </w:r>
            <w:r>
              <w:rPr>
                <w:rFonts w:hint="eastAsia" w:ascii="宋体" w:hAnsi="宋体" w:eastAsia="宋体" w:cs="宋体"/>
                <w:sz w:val="18"/>
                <w:szCs w:val="18"/>
              </w:rPr>
              <w:t>月修订）第四十三条：“被审计单位违反本法规定，拒绝或者拖延提供与审计事项有关的资料的，或者提供的资料不真实、不完整的，或者拒绝、阻碍检查的，由审计机关责令改正，可以通报批评，给予警告；拒不改正的，依法追究责任。”</w:t>
            </w:r>
          </w:p>
          <w:p>
            <w:pPr>
              <w:pStyle w:val="2"/>
              <w:keepNext w:val="0"/>
              <w:keepLines w:val="0"/>
              <w:widowControl/>
              <w:suppressLineNumbers w:val="0"/>
              <w:spacing w:before="0" w:beforeAutospacing="0" w:after="0" w:afterAutospacing="0"/>
              <w:ind w:left="0" w:right="0"/>
              <w:jc w:val="left"/>
            </w:pPr>
            <w:r>
              <w:rPr>
                <w:rFonts w:hint="default" w:ascii="TimesNewRomanPSMT" w:hAnsi="TimesNewRomanPSMT" w:eastAsia="TimesNewRomanPSMT" w:cs="TimesNewRomanPSMT"/>
                <w:sz w:val="18"/>
                <w:szCs w:val="18"/>
              </w:rPr>
              <w:t>2.</w:t>
            </w:r>
            <w:r>
              <w:rPr>
                <w:rFonts w:hint="eastAsia" w:ascii="宋体" w:hAnsi="宋体" w:eastAsia="宋体" w:cs="宋体"/>
                <w:sz w:val="18"/>
                <w:szCs w:val="18"/>
              </w:rPr>
              <w:t>《审计法实施条例》（</w:t>
            </w:r>
            <w:r>
              <w:rPr>
                <w:rFonts w:hint="default" w:ascii="TimesNewRomanPSMT" w:hAnsi="TimesNewRomanPSMT" w:eastAsia="TimesNewRomanPSMT" w:cs="TimesNewRomanPSMT"/>
                <w:sz w:val="18"/>
                <w:szCs w:val="18"/>
              </w:rPr>
              <w:t>1997 </w:t>
            </w:r>
            <w:r>
              <w:rPr>
                <w:rFonts w:hint="eastAsia" w:ascii="宋体" w:hAnsi="宋体" w:eastAsia="宋体" w:cs="宋体"/>
                <w:sz w:val="18"/>
                <w:szCs w:val="18"/>
              </w:rPr>
              <w:t>年</w:t>
            </w:r>
            <w:r>
              <w:rPr>
                <w:rFonts w:hint="default" w:ascii="TimesNewRomanPSMT" w:hAnsi="TimesNewRomanPSMT" w:eastAsia="TimesNewRomanPSMT" w:cs="TimesNewRomanPSMT"/>
                <w:sz w:val="18"/>
                <w:szCs w:val="18"/>
              </w:rPr>
              <w:t>10 </w:t>
            </w:r>
            <w:r>
              <w:rPr>
                <w:rFonts w:hint="eastAsia" w:ascii="宋体" w:hAnsi="宋体" w:eastAsia="宋体" w:cs="宋体"/>
                <w:sz w:val="18"/>
                <w:szCs w:val="18"/>
              </w:rPr>
              <w:t>月国务院令第</w:t>
            </w:r>
            <w:r>
              <w:rPr>
                <w:rFonts w:hint="default" w:ascii="TimesNewRomanPSMT" w:hAnsi="TimesNewRomanPSMT" w:eastAsia="TimesNewRomanPSMT" w:cs="TimesNewRomanPSMT"/>
                <w:sz w:val="18"/>
                <w:szCs w:val="18"/>
              </w:rPr>
              <w:t>231</w:t>
            </w:r>
            <w:r>
              <w:rPr>
                <w:rFonts w:hint="eastAsia" w:ascii="宋体" w:hAnsi="宋体" w:eastAsia="宋体" w:cs="宋体"/>
                <w:sz w:val="18"/>
                <w:szCs w:val="18"/>
              </w:rPr>
              <w:t>号，</w:t>
            </w:r>
            <w:r>
              <w:rPr>
                <w:rFonts w:hint="default" w:ascii="TimesNewRomanPSMT" w:hAnsi="TimesNewRomanPSMT" w:eastAsia="TimesNewRomanPSMT" w:cs="TimesNewRomanPSMT"/>
                <w:sz w:val="18"/>
                <w:szCs w:val="18"/>
              </w:rPr>
              <w:t>2010 </w:t>
            </w:r>
            <w:r>
              <w:rPr>
                <w:rFonts w:hint="eastAsia" w:ascii="宋体" w:hAnsi="宋体" w:eastAsia="宋体" w:cs="宋体"/>
                <w:sz w:val="18"/>
                <w:szCs w:val="18"/>
              </w:rPr>
              <w:t>年</w:t>
            </w:r>
            <w:r>
              <w:rPr>
                <w:rFonts w:hint="default" w:ascii="TimesNewRomanPSMT" w:hAnsi="TimesNewRomanPSMT" w:eastAsia="TimesNewRomanPSMT" w:cs="TimesNewRomanPSMT"/>
                <w:sz w:val="18"/>
                <w:szCs w:val="18"/>
              </w:rPr>
              <w:t>2 </w:t>
            </w:r>
            <w:r>
              <w:rPr>
                <w:rFonts w:hint="eastAsia" w:ascii="宋体" w:hAnsi="宋体" w:eastAsia="宋体" w:cs="宋体"/>
                <w:sz w:val="18"/>
                <w:szCs w:val="18"/>
              </w:rPr>
              <w:t>月修订）第四十七条：“被审计单位违反审计法和本条例的规定，拒绝、拖延提供与审计事项有关的资料，或者提供的资料不真实、不完整，或者拒绝、阻碍检查的，由审计机关责令改正，可以通报批评，给予警告；拒不改正的，对被审计单位可以处</w:t>
            </w:r>
            <w:r>
              <w:rPr>
                <w:rFonts w:hint="default" w:ascii="TimesNewRomanPSMT" w:hAnsi="TimesNewRomanPSMT" w:eastAsia="TimesNewRomanPSMT" w:cs="TimesNewRomanPSMT"/>
                <w:sz w:val="18"/>
                <w:szCs w:val="18"/>
              </w:rPr>
              <w:t>5 </w:t>
            </w:r>
            <w:r>
              <w:rPr>
                <w:rFonts w:hint="eastAsia" w:ascii="宋体" w:hAnsi="宋体" w:eastAsia="宋体" w:cs="宋体"/>
                <w:sz w:val="18"/>
                <w:szCs w:val="18"/>
              </w:rPr>
              <w:t>万元以下的罚款，对直接负责的主管人员和其他直接责任人员，可以处</w:t>
            </w:r>
            <w:r>
              <w:rPr>
                <w:rFonts w:hint="default" w:ascii="TimesNewRomanPSMT" w:hAnsi="TimesNewRomanPSMT" w:eastAsia="TimesNewRomanPSMT" w:cs="TimesNewRomanPSMT"/>
                <w:sz w:val="18"/>
                <w:szCs w:val="18"/>
              </w:rPr>
              <w:t>2 </w:t>
            </w:r>
            <w:r>
              <w:rPr>
                <w:rFonts w:hint="eastAsia" w:ascii="宋体" w:hAnsi="宋体" w:eastAsia="宋体" w:cs="宋体"/>
                <w:sz w:val="18"/>
                <w:szCs w:val="18"/>
              </w:rPr>
              <w:t>万元以下的罚款，审计机关认为应该给予处分的，向有关主管机关、单位提出给予处分的建议；构成犯罪的，依法追究刑事责任。”</w:t>
            </w:r>
          </w:p>
          <w:p>
            <w:pPr>
              <w:pStyle w:val="2"/>
              <w:keepNext w:val="0"/>
              <w:keepLines w:val="0"/>
              <w:widowControl/>
              <w:suppressLineNumbers w:val="0"/>
              <w:spacing w:before="0" w:beforeAutospacing="0" w:after="0" w:afterAutospacing="0"/>
              <w:ind w:left="0" w:right="0"/>
              <w:jc w:val="left"/>
            </w:pPr>
            <w:r>
              <w:rPr>
                <w:rFonts w:hint="default" w:ascii="TimesNewRomanPSMT" w:hAnsi="TimesNewRomanPSMT" w:eastAsia="TimesNewRomanPSMT" w:cs="TimesNewRomanPSMT"/>
                <w:sz w:val="18"/>
                <w:szCs w:val="18"/>
              </w:rPr>
              <w:t>3.</w:t>
            </w:r>
            <w:r>
              <w:rPr>
                <w:rFonts w:hint="eastAsia" w:ascii="宋体" w:hAnsi="宋体" w:eastAsia="宋体" w:cs="宋体"/>
                <w:sz w:val="18"/>
                <w:szCs w:val="18"/>
              </w:rPr>
              <w:t>《山东省审计监督条例》（</w:t>
            </w:r>
            <w:r>
              <w:rPr>
                <w:rFonts w:hint="default" w:ascii="TimesNewRomanPSMT" w:hAnsi="TimesNewRomanPSMT" w:eastAsia="TimesNewRomanPSMT" w:cs="TimesNewRomanPSMT"/>
                <w:sz w:val="18"/>
                <w:szCs w:val="18"/>
              </w:rPr>
              <w:t>2012 </w:t>
            </w:r>
            <w:r>
              <w:rPr>
                <w:rFonts w:hint="eastAsia" w:ascii="宋体" w:hAnsi="宋体" w:eastAsia="宋体" w:cs="宋体"/>
                <w:sz w:val="18"/>
                <w:szCs w:val="18"/>
              </w:rPr>
              <w:t>年</w:t>
            </w:r>
            <w:r>
              <w:rPr>
                <w:rFonts w:hint="default" w:ascii="TimesNewRomanPSMT" w:hAnsi="TimesNewRomanPSMT" w:eastAsia="TimesNewRomanPSMT" w:cs="TimesNewRomanPSMT"/>
                <w:sz w:val="18"/>
                <w:szCs w:val="18"/>
              </w:rPr>
              <w:t>11 </w:t>
            </w:r>
            <w:r>
              <w:rPr>
                <w:rFonts w:hint="eastAsia" w:ascii="宋体" w:hAnsi="宋体" w:eastAsia="宋体" w:cs="宋体"/>
                <w:sz w:val="18"/>
                <w:szCs w:val="18"/>
              </w:rPr>
              <w:t>月省人大常委会公告第</w:t>
            </w:r>
            <w:r>
              <w:rPr>
                <w:rFonts w:hint="default" w:ascii="TimesNewRomanPSMT" w:hAnsi="TimesNewRomanPSMT" w:eastAsia="TimesNewRomanPSMT" w:cs="TimesNewRomanPSMT"/>
                <w:sz w:val="18"/>
                <w:szCs w:val="18"/>
              </w:rPr>
              <w:t>138 </w:t>
            </w:r>
            <w:r>
              <w:rPr>
                <w:rFonts w:hint="eastAsia" w:ascii="宋体" w:hAnsi="宋体" w:eastAsia="宋体" w:cs="宋体"/>
                <w:sz w:val="18"/>
                <w:szCs w:val="18"/>
              </w:rPr>
              <w:t>号）第四十五条：“违反本条例规定，被审计单位负责人拒绝对本单位提供资料的真实性和完整性作出书面承诺的，由审计机关责令改正，可以通报批评，给予警告；拒不改正的，审计机关可以向有关主管机关、单位提出给予处分的建议。” 第四十六条：“违反本条例规定，被调查单位和个人不配合审计机关调查的，由审计机关责令改正，可以通报批评，给予警告；拒不改正的，审计机关可以向有关主管机关、单位提出给予处分的建议。”</w:t>
            </w:r>
          </w:p>
        </w:tc>
        <w:tc>
          <w:tcPr>
            <w:tcW w:w="81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无</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 </w:t>
            </w:r>
          </w:p>
        </w:tc>
        <w:tc>
          <w:tcPr>
            <w:tcW w:w="139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一般程序</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 </w:t>
            </w:r>
          </w:p>
        </w:tc>
        <w:tc>
          <w:tcPr>
            <w:tcW w:w="94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警告、罚款</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 </w:t>
            </w:r>
          </w:p>
        </w:tc>
        <w:tc>
          <w:tcPr>
            <w:tcW w:w="2992"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firstLine="420"/>
              <w:jc w:val="left"/>
            </w:pPr>
            <w:r>
              <w:rPr>
                <w:rFonts w:hint="eastAsia" w:ascii="宋体" w:hAnsi="宋体" w:eastAsia="宋体" w:cs="宋体"/>
                <w:color w:val="000000"/>
                <w:sz w:val="21"/>
                <w:szCs w:val="21"/>
              </w:rPr>
              <w:t>执法机构：沂源县审计局。</w:t>
            </w:r>
          </w:p>
          <w:p>
            <w:pPr>
              <w:pStyle w:val="2"/>
              <w:keepNext w:val="0"/>
              <w:keepLines w:val="0"/>
              <w:widowControl/>
              <w:suppressLineNumbers w:val="0"/>
              <w:spacing w:before="0" w:beforeAutospacing="0" w:after="0" w:afterAutospacing="0"/>
              <w:ind w:left="0" w:right="0" w:firstLine="420"/>
              <w:jc w:val="left"/>
            </w:pPr>
            <w:r>
              <w:rPr>
                <w:rFonts w:hint="eastAsia" w:ascii="宋体" w:hAnsi="宋体" w:eastAsia="宋体" w:cs="宋体"/>
                <w:color w:val="000000"/>
                <w:sz w:val="21"/>
                <w:szCs w:val="21"/>
              </w:rPr>
              <w:t>执法类别：行政处罚。</w:t>
            </w:r>
          </w:p>
          <w:p>
            <w:pPr>
              <w:pStyle w:val="2"/>
              <w:keepNext w:val="0"/>
              <w:keepLines w:val="0"/>
              <w:widowControl/>
              <w:suppressLineNumbers w:val="0"/>
              <w:spacing w:before="0" w:beforeAutospacing="0" w:after="0" w:afterAutospacing="0"/>
              <w:ind w:left="0" w:right="0" w:firstLine="420"/>
              <w:jc w:val="left"/>
            </w:pPr>
            <w:r>
              <w:rPr>
                <w:rFonts w:hint="eastAsia" w:ascii="宋体" w:hAnsi="宋体" w:eastAsia="宋体" w:cs="宋体"/>
                <w:color w:val="000000"/>
                <w:sz w:val="21"/>
                <w:szCs w:val="21"/>
              </w:rPr>
              <w:t>救济渠道：对审计处罚决定不服的，可以在收到审计处罚决定书之日起60日内向沂源县人民政府申请行政复议或者6个月内向沂源县人民法院提起行政诉讼。</w:t>
            </w:r>
          </w:p>
          <w:p>
            <w:pPr>
              <w:pStyle w:val="2"/>
              <w:keepNext w:val="0"/>
              <w:keepLines w:val="0"/>
              <w:widowControl/>
              <w:suppressLineNumbers w:val="0"/>
              <w:spacing w:before="0" w:beforeAutospacing="0" w:after="0" w:afterAutospacing="0"/>
              <w:ind w:left="0" w:right="0" w:firstLine="420"/>
              <w:jc w:val="left"/>
            </w:pPr>
            <w:r>
              <w:rPr>
                <w:rFonts w:hint="eastAsia" w:ascii="宋体" w:hAnsi="宋体" w:eastAsia="宋体" w:cs="宋体"/>
                <w:color w:val="000000"/>
                <w:sz w:val="21"/>
                <w:szCs w:val="21"/>
              </w:rPr>
              <w:t>行政复议机关：沂源县人民政府</w:t>
            </w:r>
          </w:p>
          <w:p>
            <w:pPr>
              <w:pStyle w:val="2"/>
              <w:keepNext w:val="0"/>
              <w:keepLines w:val="0"/>
              <w:widowControl/>
              <w:suppressLineNumbers w:val="0"/>
              <w:spacing w:before="0" w:beforeAutospacing="0" w:after="0" w:afterAutospacing="0"/>
              <w:ind w:left="0" w:right="0" w:firstLine="420"/>
              <w:jc w:val="left"/>
            </w:pPr>
            <w:r>
              <w:rPr>
                <w:rFonts w:hint="eastAsia" w:ascii="宋体" w:hAnsi="宋体" w:eastAsia="宋体" w:cs="宋体"/>
                <w:color w:val="000000"/>
                <w:sz w:val="21"/>
                <w:szCs w:val="21"/>
              </w:rPr>
              <w:t>行政复议地址：山东省淄博市沂源县药玻路北首司法局</w:t>
            </w:r>
          </w:p>
          <w:p>
            <w:pPr>
              <w:pStyle w:val="2"/>
              <w:keepNext w:val="0"/>
              <w:keepLines w:val="0"/>
              <w:widowControl/>
              <w:suppressLineNumbers w:val="0"/>
              <w:spacing w:before="0" w:beforeAutospacing="0" w:after="0" w:afterAutospacing="0"/>
              <w:ind w:left="0" w:right="0" w:firstLine="420"/>
              <w:jc w:val="left"/>
            </w:pPr>
            <w:r>
              <w:rPr>
                <w:rFonts w:hint="eastAsia" w:ascii="宋体" w:hAnsi="宋体" w:eastAsia="宋体" w:cs="宋体"/>
                <w:color w:val="000000"/>
                <w:sz w:val="21"/>
                <w:szCs w:val="21"/>
              </w:rPr>
              <w:t>行政复议联系电话：0533-3242568</w:t>
            </w:r>
          </w:p>
          <w:p>
            <w:pPr>
              <w:pStyle w:val="2"/>
              <w:keepNext w:val="0"/>
              <w:keepLines w:val="0"/>
              <w:widowControl/>
              <w:suppressLineNumbers w:val="0"/>
              <w:spacing w:before="0" w:beforeAutospacing="0" w:after="0" w:afterAutospacing="0"/>
              <w:ind w:left="0" w:right="0" w:firstLine="420"/>
              <w:jc w:val="left"/>
            </w:pPr>
            <w:r>
              <w:rPr>
                <w:rFonts w:hint="eastAsia" w:ascii="宋体" w:hAnsi="宋体" w:eastAsia="宋体" w:cs="宋体"/>
                <w:color w:val="000000"/>
                <w:sz w:val="21"/>
                <w:szCs w:val="21"/>
              </w:rPr>
              <w:t>行政诉讼机关：沂源县人民法院</w:t>
            </w:r>
          </w:p>
          <w:p>
            <w:pPr>
              <w:pStyle w:val="2"/>
              <w:keepNext w:val="0"/>
              <w:keepLines w:val="0"/>
              <w:widowControl/>
              <w:suppressLineNumbers w:val="0"/>
              <w:spacing w:before="0" w:beforeAutospacing="0" w:after="0" w:afterAutospacing="0"/>
              <w:ind w:left="0" w:right="0" w:firstLine="420"/>
              <w:jc w:val="left"/>
            </w:pPr>
            <w:r>
              <w:rPr>
                <w:rFonts w:hint="eastAsia" w:ascii="宋体" w:hAnsi="宋体" w:eastAsia="宋体" w:cs="宋体"/>
                <w:color w:val="000000"/>
                <w:sz w:val="21"/>
                <w:szCs w:val="21"/>
              </w:rPr>
              <w:t>行政诉讼地址：山东省淄博市沂源县鲁山路与瑞阳大道交叉路口东北角</w:t>
            </w:r>
          </w:p>
          <w:p>
            <w:pPr>
              <w:pStyle w:val="2"/>
              <w:keepNext w:val="0"/>
              <w:keepLines w:val="0"/>
              <w:widowControl/>
              <w:suppressLineNumbers w:val="0"/>
              <w:spacing w:before="0" w:beforeAutospacing="0" w:after="0" w:afterAutospacing="0"/>
              <w:ind w:left="0" w:right="0" w:firstLine="420"/>
              <w:jc w:val="left"/>
            </w:pPr>
            <w:r>
              <w:rPr>
                <w:rFonts w:hint="eastAsia" w:ascii="宋体" w:hAnsi="宋体" w:eastAsia="宋体" w:cs="宋体"/>
                <w:color w:val="000000"/>
                <w:sz w:val="21"/>
                <w:szCs w:val="21"/>
              </w:rPr>
              <w:t>行政诉讼联系电话：0533-3259239</w:t>
            </w:r>
          </w:p>
          <w:p>
            <w:pPr>
              <w:pStyle w:val="2"/>
              <w:keepNext w:val="0"/>
              <w:keepLines w:val="0"/>
              <w:widowControl/>
              <w:suppressLineNumbers w:val="0"/>
              <w:spacing w:before="0" w:beforeAutospacing="0" w:after="0" w:afterAutospacing="0"/>
              <w:ind w:left="0" w:right="0"/>
              <w:jc w:val="left"/>
            </w:pPr>
            <w:r>
              <w:rPr>
                <w:rFonts w:ascii="Calibri" w:hAnsi="Calibri" w:cs="Calibri"/>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205" w:hRule="atLeast"/>
        </w:trPr>
        <w:tc>
          <w:tcPr>
            <w:tcW w:w="18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2</w:t>
            </w:r>
          </w:p>
        </w:tc>
        <w:tc>
          <w:tcPr>
            <w:tcW w:w="188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21"/>
                <w:szCs w:val="21"/>
              </w:rPr>
              <w:t>对违反国家规定的财务收支行为的处罚</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21"/>
                <w:szCs w:val="21"/>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21"/>
                <w:szCs w:val="21"/>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21"/>
                <w:szCs w:val="21"/>
              </w:rPr>
              <w:t> </w:t>
            </w:r>
          </w:p>
        </w:tc>
        <w:tc>
          <w:tcPr>
            <w:tcW w:w="3278"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18"/>
                <w:szCs w:val="18"/>
              </w:rPr>
              <w:t>1.《审计法》（1994 年8 月通过，2006 年2 月修订）第四十六条：“对被审计单位违反国家规定的财务收支行为，审计机关、人民政府或者有关主管部门在法定职权范围内，依照法律、行政法规的规定，区别情况采取前条规定的处理措施，并可以依法给予处罚。”</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18"/>
                <w:szCs w:val="18"/>
              </w:rPr>
              <w:t>2.《审计法实施条例》（1997 年10 月国务院令第231号，2010 年2 月修订）第四十九条：“对被审计单位违反国家规定的财务收支行为，审计机关在法定职权范围内，区别情况采取审计法第四十五条规定的处理措施，可以通报批评，给予警告；有违法所得的，没收违法所得，并处违法所得1 倍以上5 倍以下的罚款；没有违法所得的，可以处5 万元以下的罚款；对直接负责的主管人员和其他直接责任人员，可以处2万元以下的罚款，……。法律、行政法规对被审计单位违反国家规定的财务收支行为处理、处罚另有规定的，从其规定。”</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18"/>
                <w:szCs w:val="18"/>
              </w:rPr>
              <w:t>3.《山东省审计监督条例》（2012 年11 月省人大常委会公告第138 号）第三十一条：“审计机关按照规定程序审议审计组的审计报告后，提出审计机关的审计报告;对违反国家规定的财政收支、财务收支行为，依法应当给予处理、处罚的，在法定职权范围内作出审计决定;对依法应当追究有关人员责任的，向有关主管机关、单位提出给予处分的建议;对依法应当由有关主管机关处理、处罚的，移送有关主管机关;涉嫌犯罪的，移送司法机关。”</w:t>
            </w:r>
          </w:p>
        </w:tc>
        <w:tc>
          <w:tcPr>
            <w:tcW w:w="81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无</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 </w:t>
            </w:r>
          </w:p>
        </w:tc>
        <w:tc>
          <w:tcPr>
            <w:tcW w:w="139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一般程序</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 </w:t>
            </w:r>
          </w:p>
        </w:tc>
        <w:tc>
          <w:tcPr>
            <w:tcW w:w="94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警告、罚款</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 </w:t>
            </w:r>
          </w:p>
        </w:tc>
        <w:tc>
          <w:tcPr>
            <w:tcW w:w="299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205" w:hRule="atLeast"/>
        </w:trPr>
        <w:tc>
          <w:tcPr>
            <w:tcW w:w="1884"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3</w:t>
            </w:r>
          </w:p>
        </w:tc>
        <w:tc>
          <w:tcPr>
            <w:tcW w:w="1884"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21"/>
                <w:szCs w:val="21"/>
              </w:rPr>
              <w:t>对违反国家规定的财政收支行为的处罚</w:t>
            </w:r>
          </w:p>
        </w:tc>
        <w:tc>
          <w:tcPr>
            <w:tcW w:w="3278"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18"/>
                <w:szCs w:val="18"/>
              </w:rPr>
              <w:t>1.《财政违法行为处罚处分条例》（2004 年11 月国务院令第427 号）第二条：“县级以上人民政府财政部门及审计机关在各自职权范围内，依法对财政违法行为作出处理、处罚决定。”</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18"/>
                <w:szCs w:val="18"/>
              </w:rPr>
              <w:t>2.《山东省审计监督条例》（2012 年11 月省人大常委会公告第138 号）第三十一条：“审计机关按照规定程序审议审计组的审计报告后，提出审计机关的审计报告;对违反国家规定的财政收支、财务收支行为，依法应当给予处理、处罚的，在法定职权范围内作出审计决定;对依法应当追究有关人员责任的，向有关主管机关、单位提出给予处分的建议;对依法应当由有关主管机关处理、处罚的，移送有关主管机关;涉嫌犯罪的，移送司法机关。”</w:t>
            </w:r>
          </w:p>
        </w:tc>
        <w:tc>
          <w:tcPr>
            <w:tcW w:w="810"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无</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 </w:t>
            </w:r>
          </w:p>
        </w:tc>
        <w:tc>
          <w:tcPr>
            <w:tcW w:w="139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一般程序</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 </w:t>
            </w:r>
          </w:p>
        </w:tc>
        <w:tc>
          <w:tcPr>
            <w:tcW w:w="945" w:type="dxa"/>
            <w:tcBorders>
              <w:top w:val="nil"/>
              <w:left w:val="nil"/>
              <w:bottom w:val="single" w:color="auto" w:sz="8" w:space="0"/>
              <w:right w:val="single" w:color="auto" w:sz="8" w:space="0"/>
            </w:tcBorders>
            <w:shd w:val="clear"/>
            <w:tcMar>
              <w:top w:w="0" w:type="dxa"/>
              <w:left w:w="108" w:type="dxa"/>
              <w:bottom w:w="0" w:type="dxa"/>
              <w:right w:w="108" w:type="dxa"/>
            </w:tcMar>
            <w:vAlign w:val="top"/>
          </w:tcPr>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警告、罚款</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 </w:t>
            </w:r>
          </w:p>
          <w:p>
            <w:pPr>
              <w:pStyle w:val="2"/>
              <w:keepNext w:val="0"/>
              <w:keepLines w:val="0"/>
              <w:widowControl/>
              <w:suppressLineNumbers w:val="0"/>
              <w:spacing w:before="0" w:beforeAutospacing="0" w:after="0" w:afterAutospacing="0"/>
              <w:ind w:left="0" w:right="0"/>
              <w:jc w:val="left"/>
            </w:pPr>
            <w:r>
              <w:rPr>
                <w:rFonts w:hint="eastAsia" w:ascii="宋体" w:hAnsi="宋体" w:eastAsia="宋体" w:cs="宋体"/>
                <w:color w:val="000000"/>
                <w:sz w:val="20"/>
                <w:szCs w:val="20"/>
              </w:rPr>
              <w:t> </w:t>
            </w:r>
          </w:p>
        </w:tc>
        <w:tc>
          <w:tcPr>
            <w:tcW w:w="299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top"/>
          </w:tcPr>
          <w:p>
            <w:pPr>
              <w:rPr>
                <w:rFonts w:hint="eastAsia" w:ascii="宋体"/>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60" w:beforeAutospacing="0" w:after="0" w:afterAutospacing="0"/>
        <w:ind w:left="0" w:right="0"/>
        <w:jc w:val="left"/>
      </w:pPr>
      <w:r>
        <w:rPr>
          <w:rFonts w:hint="eastAsia" w:ascii="宋体" w:hAnsi="宋体" w:eastAsia="宋体" w:cs="宋体"/>
          <w:caps w:val="0"/>
          <w:color w:val="000000"/>
          <w:spacing w:val="0"/>
          <w:sz w:val="24"/>
          <w:szCs w:val="24"/>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60" w:beforeAutospacing="0" w:after="0" w:afterAutospacing="0"/>
        <w:ind w:left="0" w:right="0" w:firstLine="0"/>
        <w:jc w:val="left"/>
      </w:pPr>
      <w:r>
        <w:rPr>
          <w:rStyle w:val="5"/>
          <w:rFonts w:hint="eastAsia" w:ascii="宋体" w:hAnsi="宋体" w:eastAsia="宋体" w:cs="宋体"/>
          <w:caps w:val="0"/>
          <w:color w:val="000000"/>
          <w:spacing w:val="0"/>
          <w:sz w:val="24"/>
          <w:szCs w:val="24"/>
          <w:bdr w:val="none" w:color="auto" w:sz="0" w:space="0"/>
          <w:shd w:val="clear" w:fill="FFFFFF"/>
        </w:rPr>
        <w:t>二、行政处罚裁量基准：沂源县审计局行政处罚裁量基准</w:t>
      </w:r>
    </w:p>
    <w:tbl>
      <w:tblPr>
        <w:tblW w:w="14993" w:type="dxa"/>
        <w:tblInd w:w="22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33"/>
        <w:gridCol w:w="930"/>
        <w:gridCol w:w="1470"/>
        <w:gridCol w:w="3300"/>
        <w:gridCol w:w="1410"/>
        <w:gridCol w:w="2880"/>
        <w:gridCol w:w="2955"/>
        <w:gridCol w:w="121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52" w:hRule="atLeast"/>
        </w:trPr>
        <w:tc>
          <w:tcPr>
            <w:tcW w:w="14993" w:type="dxa"/>
            <w:gridSpan w:val="8"/>
            <w:tcBorders>
              <w:top w:val="single" w:color="CCCCCC" w:sz="8" w:space="0"/>
              <w:left w:val="single" w:color="CCCCCC" w:sz="8" w:space="0"/>
              <w:bottom w:val="single" w:color="CCCCCC" w:sz="8" w:space="0"/>
              <w:right w:val="single" w:color="CCCCCC" w:sz="8" w:space="0"/>
            </w:tcBorders>
            <w:shd w:val="cle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00" w:hRule="atLeast"/>
        </w:trPr>
        <w:tc>
          <w:tcPr>
            <w:tcW w:w="833" w:type="dxa"/>
            <w:tcBorders>
              <w:top w:val="single" w:color="000000" w:sz="12" w:space="0"/>
              <w:left w:val="single" w:color="000000" w:sz="12"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color w:val="000000"/>
                <w:sz w:val="18"/>
                <w:szCs w:val="18"/>
              </w:rPr>
              <w:t>事项序号</w:t>
            </w:r>
          </w:p>
        </w:tc>
        <w:tc>
          <w:tcPr>
            <w:tcW w:w="930" w:type="dxa"/>
            <w:tcBorders>
              <w:top w:val="single" w:color="000000" w:sz="12"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color w:val="000000"/>
                <w:sz w:val="18"/>
                <w:szCs w:val="18"/>
              </w:rPr>
              <w:t>执法依据</w:t>
            </w:r>
          </w:p>
        </w:tc>
        <w:tc>
          <w:tcPr>
            <w:tcW w:w="1470" w:type="dxa"/>
            <w:tcBorders>
              <w:top w:val="single" w:color="000000" w:sz="12"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color w:val="000000"/>
                <w:sz w:val="18"/>
                <w:szCs w:val="18"/>
              </w:rPr>
              <w:t>违法行为</w:t>
            </w:r>
          </w:p>
        </w:tc>
        <w:tc>
          <w:tcPr>
            <w:tcW w:w="3300" w:type="dxa"/>
            <w:tcBorders>
              <w:top w:val="single" w:color="000000" w:sz="12"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color w:val="000000"/>
                <w:sz w:val="18"/>
                <w:szCs w:val="18"/>
              </w:rPr>
              <w:t>处罚条款</w:t>
            </w:r>
          </w:p>
        </w:tc>
        <w:tc>
          <w:tcPr>
            <w:tcW w:w="1410" w:type="dxa"/>
            <w:tcBorders>
              <w:top w:val="single" w:color="000000" w:sz="12"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color w:val="000000"/>
                <w:sz w:val="18"/>
                <w:szCs w:val="18"/>
              </w:rPr>
              <w:t>裁量阶次</w:t>
            </w:r>
          </w:p>
        </w:tc>
        <w:tc>
          <w:tcPr>
            <w:tcW w:w="2880" w:type="dxa"/>
            <w:tcBorders>
              <w:top w:val="single" w:color="000000" w:sz="12"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color w:val="000000"/>
                <w:sz w:val="18"/>
                <w:szCs w:val="18"/>
              </w:rPr>
              <w:t>适用违法情形</w:t>
            </w:r>
          </w:p>
        </w:tc>
        <w:tc>
          <w:tcPr>
            <w:tcW w:w="2955" w:type="dxa"/>
            <w:tcBorders>
              <w:top w:val="single" w:color="000000" w:sz="12"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color w:val="000000"/>
                <w:sz w:val="18"/>
                <w:szCs w:val="18"/>
              </w:rPr>
              <w:t>罚款标准</w:t>
            </w:r>
          </w:p>
        </w:tc>
        <w:tc>
          <w:tcPr>
            <w:tcW w:w="1215" w:type="dxa"/>
            <w:tcBorders>
              <w:top w:val="single" w:color="000000" w:sz="12"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color w:val="000000"/>
                <w:sz w:val="18"/>
                <w:szCs w:val="18"/>
              </w:rPr>
              <w:t>其他种类处罚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00" w:hRule="atLeast"/>
        </w:trPr>
        <w:tc>
          <w:tcPr>
            <w:tcW w:w="833" w:type="dxa"/>
            <w:vMerge w:val="restart"/>
            <w:tcBorders>
              <w:top w:val="single" w:color="CCCCCC" w:sz="8" w:space="0"/>
              <w:left w:val="single" w:color="000000" w:sz="12"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color w:val="000000"/>
                <w:sz w:val="18"/>
                <w:szCs w:val="18"/>
              </w:rPr>
              <w:t>1</w:t>
            </w:r>
          </w:p>
        </w:tc>
        <w:tc>
          <w:tcPr>
            <w:tcW w:w="930" w:type="dxa"/>
            <w:vMerge w:val="restart"/>
            <w:tcBorders>
              <w:top w:val="single" w:color="CCCCCC" w:sz="8"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color w:val="000000"/>
                <w:sz w:val="18"/>
                <w:szCs w:val="18"/>
              </w:rPr>
              <w:t>《中华人民共和国审计法实施条例》</w:t>
            </w:r>
          </w:p>
        </w:tc>
        <w:tc>
          <w:tcPr>
            <w:tcW w:w="1470" w:type="dxa"/>
            <w:vMerge w:val="restart"/>
            <w:tcBorders>
              <w:top w:val="single" w:color="CCCCCC" w:sz="8"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color w:val="000000"/>
                <w:sz w:val="18"/>
                <w:szCs w:val="18"/>
              </w:rPr>
              <w:t>拒绝、拖延提供与审计事项有关的资料，或者提供的资料不真实、不完整，或者拒绝、阻碍检查的[第47条]</w:t>
            </w:r>
          </w:p>
        </w:tc>
        <w:tc>
          <w:tcPr>
            <w:tcW w:w="3300" w:type="dxa"/>
            <w:vMerge w:val="restart"/>
            <w:tcBorders>
              <w:top w:val="single" w:color="CCCCCC" w:sz="8"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color w:val="000000"/>
                <w:sz w:val="18"/>
                <w:szCs w:val="18"/>
              </w:rPr>
              <w:t>由审计机关责令改正，可以通报批评，给予警告；拒不改正的，对被审计单位可以处5万元以下的罚款，对直接负责的主管人员和其他直接责任人员，可以处2万元以下的罚款，审计机关认为应当给予处分的，向有关主管机关、单位提出给予处分的建议；构成犯罪的，依法追究刑事责任。</w:t>
            </w:r>
          </w:p>
        </w:tc>
        <w:tc>
          <w:tcPr>
            <w:tcW w:w="1410" w:type="dxa"/>
            <w:tcBorders>
              <w:top w:val="single" w:color="CCCCCC" w:sz="8"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color w:val="000000"/>
                <w:sz w:val="18"/>
                <w:szCs w:val="18"/>
              </w:rPr>
              <w:t>从轻</w:t>
            </w:r>
          </w:p>
        </w:tc>
        <w:tc>
          <w:tcPr>
            <w:tcW w:w="2880" w:type="dxa"/>
            <w:tcBorders>
              <w:top w:val="single" w:color="CCCCCC" w:sz="8"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color w:val="000000"/>
                <w:sz w:val="18"/>
                <w:szCs w:val="18"/>
              </w:rPr>
              <w:t>拖延提供与审计事项有关的资料,及时自行改正的。</w:t>
            </w:r>
          </w:p>
        </w:tc>
        <w:tc>
          <w:tcPr>
            <w:tcW w:w="2955" w:type="dxa"/>
            <w:tcBorders>
              <w:top w:val="single" w:color="CCCCCC" w:sz="8"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color w:val="000000"/>
                <w:sz w:val="18"/>
                <w:szCs w:val="18"/>
              </w:rPr>
              <w:t> </w:t>
            </w:r>
          </w:p>
        </w:tc>
        <w:tc>
          <w:tcPr>
            <w:tcW w:w="1215" w:type="dxa"/>
            <w:tcBorders>
              <w:top w:val="nil"/>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color w:val="000000"/>
                <w:sz w:val="18"/>
                <w:szCs w:val="18"/>
              </w:rPr>
              <w:t>免予处罚。</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20" w:hRule="atLeast"/>
        </w:trPr>
        <w:tc>
          <w:tcPr>
            <w:tcW w:w="833" w:type="dxa"/>
            <w:vMerge w:val="continue"/>
            <w:tcBorders>
              <w:top w:val="single" w:color="CCCCCC" w:sz="8" w:space="0"/>
              <w:left w:val="single" w:color="000000" w:sz="12" w:space="0"/>
              <w:bottom w:val="single" w:color="000000" w:sz="12" w:space="0"/>
              <w:right w:val="single" w:color="000000" w:sz="12" w:space="0"/>
            </w:tcBorders>
            <w:shd w:val="clear"/>
            <w:vAlign w:val="center"/>
          </w:tcPr>
          <w:p>
            <w:pPr>
              <w:rPr>
                <w:rFonts w:hint="eastAsia" w:ascii="宋体"/>
                <w:sz w:val="24"/>
                <w:szCs w:val="24"/>
              </w:rPr>
            </w:pPr>
          </w:p>
        </w:tc>
        <w:tc>
          <w:tcPr>
            <w:tcW w:w="930" w:type="dxa"/>
            <w:vMerge w:val="continue"/>
            <w:tcBorders>
              <w:top w:val="single" w:color="CCCCCC" w:sz="8" w:space="0"/>
              <w:left w:val="single" w:color="CCCCCC" w:sz="8" w:space="0"/>
              <w:bottom w:val="single" w:color="000000" w:sz="12" w:space="0"/>
              <w:right w:val="single" w:color="000000" w:sz="12" w:space="0"/>
            </w:tcBorders>
            <w:shd w:val="clear"/>
            <w:vAlign w:val="center"/>
          </w:tcPr>
          <w:p>
            <w:pPr>
              <w:rPr>
                <w:rFonts w:hint="eastAsia" w:ascii="宋体"/>
                <w:sz w:val="24"/>
                <w:szCs w:val="24"/>
              </w:rPr>
            </w:pPr>
          </w:p>
        </w:tc>
        <w:tc>
          <w:tcPr>
            <w:tcW w:w="1470" w:type="dxa"/>
            <w:vMerge w:val="continue"/>
            <w:tcBorders>
              <w:top w:val="single" w:color="CCCCCC" w:sz="8" w:space="0"/>
              <w:left w:val="single" w:color="CCCCCC" w:sz="8" w:space="0"/>
              <w:bottom w:val="single" w:color="000000" w:sz="12" w:space="0"/>
              <w:right w:val="single" w:color="000000" w:sz="12" w:space="0"/>
            </w:tcBorders>
            <w:shd w:val="clear"/>
            <w:vAlign w:val="center"/>
          </w:tcPr>
          <w:p>
            <w:pPr>
              <w:rPr>
                <w:rFonts w:hint="eastAsia" w:ascii="宋体"/>
                <w:sz w:val="24"/>
                <w:szCs w:val="24"/>
              </w:rPr>
            </w:pPr>
          </w:p>
        </w:tc>
        <w:tc>
          <w:tcPr>
            <w:tcW w:w="3300" w:type="dxa"/>
            <w:vMerge w:val="continue"/>
            <w:tcBorders>
              <w:top w:val="single" w:color="CCCCCC" w:sz="8" w:space="0"/>
              <w:left w:val="single" w:color="CCCCCC" w:sz="8" w:space="0"/>
              <w:bottom w:val="single" w:color="000000" w:sz="12" w:space="0"/>
              <w:right w:val="single" w:color="000000" w:sz="12" w:space="0"/>
            </w:tcBorders>
            <w:shd w:val="clear"/>
            <w:vAlign w:val="center"/>
          </w:tcPr>
          <w:p>
            <w:pPr>
              <w:rPr>
                <w:rFonts w:hint="eastAsia" w:ascii="宋体"/>
                <w:sz w:val="24"/>
                <w:szCs w:val="24"/>
              </w:rPr>
            </w:pPr>
          </w:p>
        </w:tc>
        <w:tc>
          <w:tcPr>
            <w:tcW w:w="1410" w:type="dxa"/>
            <w:tcBorders>
              <w:top w:val="single" w:color="CCCCCC" w:sz="8"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color w:val="000000"/>
                <w:sz w:val="18"/>
                <w:szCs w:val="18"/>
              </w:rPr>
              <w:t>较轻</w:t>
            </w:r>
          </w:p>
        </w:tc>
        <w:tc>
          <w:tcPr>
            <w:tcW w:w="2880" w:type="dxa"/>
            <w:tcBorders>
              <w:top w:val="single" w:color="CCCCCC" w:sz="8"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color w:val="000000"/>
                <w:sz w:val="18"/>
                <w:szCs w:val="18"/>
              </w:rPr>
              <w:t>拖延提供与审计事项有关的部分资料，提供的资料不完整,经审计机关责令改正后，及时改正的。</w:t>
            </w:r>
          </w:p>
        </w:tc>
        <w:tc>
          <w:tcPr>
            <w:tcW w:w="2955" w:type="dxa"/>
            <w:tcBorders>
              <w:top w:val="single" w:color="CCCCCC" w:sz="8"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both"/>
            </w:pPr>
            <w:r>
              <w:rPr>
                <w:rFonts w:hint="eastAsia" w:ascii="宋体" w:hAnsi="宋体" w:eastAsia="宋体" w:cs="宋体"/>
                <w:color w:val="000000"/>
                <w:sz w:val="18"/>
                <w:szCs w:val="18"/>
              </w:rPr>
              <w:t> </w:t>
            </w:r>
          </w:p>
        </w:tc>
        <w:tc>
          <w:tcPr>
            <w:tcW w:w="1215" w:type="dxa"/>
            <w:tcBorders>
              <w:top w:val="nil"/>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color w:val="000000"/>
                <w:sz w:val="18"/>
                <w:szCs w:val="18"/>
              </w:rPr>
              <w:t>给予警告。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80" w:hRule="atLeast"/>
        </w:trPr>
        <w:tc>
          <w:tcPr>
            <w:tcW w:w="833" w:type="dxa"/>
            <w:vMerge w:val="continue"/>
            <w:tcBorders>
              <w:top w:val="single" w:color="CCCCCC" w:sz="8" w:space="0"/>
              <w:left w:val="single" w:color="000000" w:sz="12" w:space="0"/>
              <w:bottom w:val="single" w:color="000000" w:sz="12" w:space="0"/>
              <w:right w:val="single" w:color="000000" w:sz="12" w:space="0"/>
            </w:tcBorders>
            <w:shd w:val="clear"/>
            <w:vAlign w:val="center"/>
          </w:tcPr>
          <w:p>
            <w:pPr>
              <w:rPr>
                <w:rFonts w:hint="eastAsia" w:ascii="宋体"/>
                <w:sz w:val="24"/>
                <w:szCs w:val="24"/>
              </w:rPr>
            </w:pPr>
          </w:p>
        </w:tc>
        <w:tc>
          <w:tcPr>
            <w:tcW w:w="930" w:type="dxa"/>
            <w:vMerge w:val="continue"/>
            <w:tcBorders>
              <w:top w:val="single" w:color="CCCCCC" w:sz="8" w:space="0"/>
              <w:left w:val="single" w:color="CCCCCC" w:sz="8" w:space="0"/>
              <w:bottom w:val="single" w:color="000000" w:sz="12" w:space="0"/>
              <w:right w:val="single" w:color="000000" w:sz="12" w:space="0"/>
            </w:tcBorders>
            <w:shd w:val="clear"/>
            <w:vAlign w:val="center"/>
          </w:tcPr>
          <w:p>
            <w:pPr>
              <w:rPr>
                <w:rFonts w:hint="eastAsia" w:ascii="宋体"/>
                <w:sz w:val="24"/>
                <w:szCs w:val="24"/>
              </w:rPr>
            </w:pPr>
          </w:p>
        </w:tc>
        <w:tc>
          <w:tcPr>
            <w:tcW w:w="1470" w:type="dxa"/>
            <w:vMerge w:val="continue"/>
            <w:tcBorders>
              <w:top w:val="single" w:color="CCCCCC" w:sz="8" w:space="0"/>
              <w:left w:val="single" w:color="CCCCCC" w:sz="8" w:space="0"/>
              <w:bottom w:val="single" w:color="000000" w:sz="12" w:space="0"/>
              <w:right w:val="single" w:color="000000" w:sz="12" w:space="0"/>
            </w:tcBorders>
            <w:shd w:val="clear"/>
            <w:vAlign w:val="center"/>
          </w:tcPr>
          <w:p>
            <w:pPr>
              <w:rPr>
                <w:rFonts w:hint="eastAsia" w:ascii="宋体"/>
                <w:sz w:val="24"/>
                <w:szCs w:val="24"/>
              </w:rPr>
            </w:pPr>
          </w:p>
        </w:tc>
        <w:tc>
          <w:tcPr>
            <w:tcW w:w="3300" w:type="dxa"/>
            <w:vMerge w:val="continue"/>
            <w:tcBorders>
              <w:top w:val="single" w:color="CCCCCC" w:sz="8" w:space="0"/>
              <w:left w:val="single" w:color="CCCCCC" w:sz="8" w:space="0"/>
              <w:bottom w:val="single" w:color="000000" w:sz="12" w:space="0"/>
              <w:right w:val="single" w:color="000000" w:sz="12" w:space="0"/>
            </w:tcBorders>
            <w:shd w:val="clear"/>
            <w:vAlign w:val="center"/>
          </w:tcPr>
          <w:p>
            <w:pPr>
              <w:rPr>
                <w:rFonts w:hint="eastAsia" w:ascii="宋体"/>
                <w:sz w:val="24"/>
                <w:szCs w:val="24"/>
              </w:rPr>
            </w:pPr>
          </w:p>
        </w:tc>
        <w:tc>
          <w:tcPr>
            <w:tcW w:w="1410" w:type="dxa"/>
            <w:tcBorders>
              <w:top w:val="single" w:color="CCCCCC" w:sz="8"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color w:val="000000"/>
                <w:sz w:val="18"/>
                <w:szCs w:val="18"/>
              </w:rPr>
              <w:t>一般</w:t>
            </w:r>
          </w:p>
        </w:tc>
        <w:tc>
          <w:tcPr>
            <w:tcW w:w="2880" w:type="dxa"/>
            <w:tcBorders>
              <w:top w:val="single" w:color="CCCCCC" w:sz="8"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color w:val="000000"/>
                <w:sz w:val="18"/>
                <w:szCs w:val="18"/>
              </w:rPr>
              <w:t>拒绝提供与审计事项有关的部分资料，提供的资料部分不真实,经审计机关责令改正后，拒不改正的。</w:t>
            </w:r>
          </w:p>
        </w:tc>
        <w:tc>
          <w:tcPr>
            <w:tcW w:w="2955" w:type="dxa"/>
            <w:tcBorders>
              <w:top w:val="single" w:color="CCCCCC" w:sz="8"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color w:val="000000"/>
                <w:sz w:val="18"/>
                <w:szCs w:val="18"/>
              </w:rPr>
              <w:t>对被审计单位处以1万元罚款，对直接负责的主管人员和其他直接责任人员处5000元的罚款。</w:t>
            </w:r>
          </w:p>
        </w:tc>
        <w:tc>
          <w:tcPr>
            <w:tcW w:w="1215" w:type="dxa"/>
            <w:tcBorders>
              <w:top w:val="nil"/>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5" w:hRule="atLeast"/>
        </w:trPr>
        <w:tc>
          <w:tcPr>
            <w:tcW w:w="833" w:type="dxa"/>
            <w:vMerge w:val="continue"/>
            <w:tcBorders>
              <w:top w:val="single" w:color="CCCCCC" w:sz="8" w:space="0"/>
              <w:left w:val="single" w:color="000000" w:sz="12" w:space="0"/>
              <w:bottom w:val="single" w:color="000000" w:sz="12" w:space="0"/>
              <w:right w:val="single" w:color="000000" w:sz="12" w:space="0"/>
            </w:tcBorders>
            <w:shd w:val="clear"/>
            <w:vAlign w:val="center"/>
          </w:tcPr>
          <w:p>
            <w:pPr>
              <w:rPr>
                <w:rFonts w:hint="eastAsia" w:ascii="宋体"/>
                <w:sz w:val="24"/>
                <w:szCs w:val="24"/>
              </w:rPr>
            </w:pPr>
          </w:p>
        </w:tc>
        <w:tc>
          <w:tcPr>
            <w:tcW w:w="930" w:type="dxa"/>
            <w:vMerge w:val="continue"/>
            <w:tcBorders>
              <w:top w:val="single" w:color="CCCCCC" w:sz="8" w:space="0"/>
              <w:left w:val="single" w:color="CCCCCC" w:sz="8" w:space="0"/>
              <w:bottom w:val="single" w:color="000000" w:sz="12" w:space="0"/>
              <w:right w:val="single" w:color="000000" w:sz="12" w:space="0"/>
            </w:tcBorders>
            <w:shd w:val="clear"/>
            <w:vAlign w:val="center"/>
          </w:tcPr>
          <w:p>
            <w:pPr>
              <w:rPr>
                <w:rFonts w:hint="eastAsia" w:ascii="宋体"/>
                <w:sz w:val="24"/>
                <w:szCs w:val="24"/>
              </w:rPr>
            </w:pPr>
          </w:p>
        </w:tc>
        <w:tc>
          <w:tcPr>
            <w:tcW w:w="1470" w:type="dxa"/>
            <w:vMerge w:val="continue"/>
            <w:tcBorders>
              <w:top w:val="single" w:color="CCCCCC" w:sz="8" w:space="0"/>
              <w:left w:val="single" w:color="CCCCCC" w:sz="8" w:space="0"/>
              <w:bottom w:val="single" w:color="000000" w:sz="12" w:space="0"/>
              <w:right w:val="single" w:color="000000" w:sz="12" w:space="0"/>
            </w:tcBorders>
            <w:shd w:val="clear"/>
            <w:vAlign w:val="center"/>
          </w:tcPr>
          <w:p>
            <w:pPr>
              <w:rPr>
                <w:rFonts w:hint="eastAsia" w:ascii="宋体"/>
                <w:sz w:val="24"/>
                <w:szCs w:val="24"/>
              </w:rPr>
            </w:pPr>
          </w:p>
        </w:tc>
        <w:tc>
          <w:tcPr>
            <w:tcW w:w="3300" w:type="dxa"/>
            <w:vMerge w:val="continue"/>
            <w:tcBorders>
              <w:top w:val="single" w:color="CCCCCC" w:sz="8" w:space="0"/>
              <w:left w:val="single" w:color="CCCCCC" w:sz="8" w:space="0"/>
              <w:bottom w:val="single" w:color="000000" w:sz="12" w:space="0"/>
              <w:right w:val="single" w:color="000000" w:sz="12" w:space="0"/>
            </w:tcBorders>
            <w:shd w:val="clear"/>
            <w:vAlign w:val="center"/>
          </w:tcPr>
          <w:p>
            <w:pPr>
              <w:rPr>
                <w:rFonts w:hint="eastAsia" w:ascii="宋体"/>
                <w:sz w:val="24"/>
                <w:szCs w:val="24"/>
              </w:rPr>
            </w:pPr>
          </w:p>
        </w:tc>
        <w:tc>
          <w:tcPr>
            <w:tcW w:w="1410" w:type="dxa"/>
            <w:tcBorders>
              <w:top w:val="single" w:color="CCCCCC" w:sz="8"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color w:val="000000"/>
                <w:sz w:val="18"/>
                <w:szCs w:val="18"/>
              </w:rPr>
              <w:t>较重</w:t>
            </w:r>
          </w:p>
        </w:tc>
        <w:tc>
          <w:tcPr>
            <w:tcW w:w="2880" w:type="dxa"/>
            <w:tcBorders>
              <w:top w:val="single" w:color="CCCCCC" w:sz="8"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color w:val="000000"/>
                <w:sz w:val="18"/>
                <w:szCs w:val="18"/>
              </w:rPr>
              <w:t>拒绝提供与审计事项有关的全部资料，提供的资料全部不真实，经审计机关责令改正后，拒不改正的。</w:t>
            </w:r>
          </w:p>
        </w:tc>
        <w:tc>
          <w:tcPr>
            <w:tcW w:w="2955" w:type="dxa"/>
            <w:tcBorders>
              <w:top w:val="single" w:color="CCCCCC" w:sz="8"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color w:val="000000"/>
                <w:sz w:val="18"/>
                <w:szCs w:val="18"/>
              </w:rPr>
              <w:t>对被审计单位处以3万元罚款，对直接负责的主管人员和其他直接责任人员处1万元的罚款。</w:t>
            </w:r>
          </w:p>
        </w:tc>
        <w:tc>
          <w:tcPr>
            <w:tcW w:w="1215" w:type="dxa"/>
            <w:tcBorders>
              <w:top w:val="nil"/>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00" w:hRule="atLeast"/>
        </w:trPr>
        <w:tc>
          <w:tcPr>
            <w:tcW w:w="833" w:type="dxa"/>
            <w:vMerge w:val="continue"/>
            <w:tcBorders>
              <w:top w:val="single" w:color="CCCCCC" w:sz="8" w:space="0"/>
              <w:left w:val="single" w:color="000000" w:sz="12" w:space="0"/>
              <w:bottom w:val="single" w:color="000000" w:sz="12" w:space="0"/>
              <w:right w:val="single" w:color="000000" w:sz="12" w:space="0"/>
            </w:tcBorders>
            <w:shd w:val="clear"/>
            <w:vAlign w:val="center"/>
          </w:tcPr>
          <w:p>
            <w:pPr>
              <w:rPr>
                <w:rFonts w:hint="eastAsia" w:ascii="宋体"/>
                <w:sz w:val="24"/>
                <w:szCs w:val="24"/>
              </w:rPr>
            </w:pPr>
          </w:p>
        </w:tc>
        <w:tc>
          <w:tcPr>
            <w:tcW w:w="930" w:type="dxa"/>
            <w:vMerge w:val="continue"/>
            <w:tcBorders>
              <w:top w:val="single" w:color="CCCCCC" w:sz="8" w:space="0"/>
              <w:left w:val="single" w:color="CCCCCC" w:sz="8" w:space="0"/>
              <w:bottom w:val="single" w:color="000000" w:sz="12" w:space="0"/>
              <w:right w:val="single" w:color="000000" w:sz="12" w:space="0"/>
            </w:tcBorders>
            <w:shd w:val="clear"/>
            <w:vAlign w:val="center"/>
          </w:tcPr>
          <w:p>
            <w:pPr>
              <w:rPr>
                <w:rFonts w:hint="eastAsia" w:ascii="宋体"/>
                <w:sz w:val="24"/>
                <w:szCs w:val="24"/>
              </w:rPr>
            </w:pPr>
          </w:p>
        </w:tc>
        <w:tc>
          <w:tcPr>
            <w:tcW w:w="1470" w:type="dxa"/>
            <w:vMerge w:val="continue"/>
            <w:tcBorders>
              <w:top w:val="single" w:color="CCCCCC" w:sz="8" w:space="0"/>
              <w:left w:val="single" w:color="CCCCCC" w:sz="8" w:space="0"/>
              <w:bottom w:val="single" w:color="000000" w:sz="12" w:space="0"/>
              <w:right w:val="single" w:color="000000" w:sz="12" w:space="0"/>
            </w:tcBorders>
            <w:shd w:val="clear"/>
            <w:vAlign w:val="center"/>
          </w:tcPr>
          <w:p>
            <w:pPr>
              <w:rPr>
                <w:rFonts w:hint="eastAsia" w:ascii="宋体"/>
                <w:sz w:val="24"/>
                <w:szCs w:val="24"/>
              </w:rPr>
            </w:pPr>
          </w:p>
        </w:tc>
        <w:tc>
          <w:tcPr>
            <w:tcW w:w="3300" w:type="dxa"/>
            <w:vMerge w:val="continue"/>
            <w:tcBorders>
              <w:top w:val="single" w:color="CCCCCC" w:sz="8" w:space="0"/>
              <w:left w:val="single" w:color="CCCCCC" w:sz="8" w:space="0"/>
              <w:bottom w:val="single" w:color="000000" w:sz="12" w:space="0"/>
              <w:right w:val="single" w:color="000000" w:sz="12" w:space="0"/>
            </w:tcBorders>
            <w:shd w:val="clear"/>
            <w:vAlign w:val="center"/>
          </w:tcPr>
          <w:p>
            <w:pPr>
              <w:rPr>
                <w:rFonts w:hint="eastAsia" w:ascii="宋体"/>
                <w:sz w:val="24"/>
                <w:szCs w:val="24"/>
              </w:rPr>
            </w:pPr>
          </w:p>
        </w:tc>
        <w:tc>
          <w:tcPr>
            <w:tcW w:w="1410" w:type="dxa"/>
            <w:tcBorders>
              <w:top w:val="single" w:color="CCCCCC" w:sz="8"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color w:val="000000"/>
                <w:sz w:val="18"/>
                <w:szCs w:val="18"/>
              </w:rPr>
              <w:t>严重</w:t>
            </w:r>
          </w:p>
        </w:tc>
        <w:tc>
          <w:tcPr>
            <w:tcW w:w="2880" w:type="dxa"/>
            <w:tcBorders>
              <w:top w:val="single" w:color="CCCCCC" w:sz="8"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color w:val="000000"/>
                <w:sz w:val="18"/>
                <w:szCs w:val="18"/>
              </w:rPr>
              <w:t>拒绝提供与审计事项有关的全部资料，提供的资料全部不真实，拒绝、阻碍检查，经审计机关责令改正后，拒不改正的。</w:t>
            </w:r>
          </w:p>
        </w:tc>
        <w:tc>
          <w:tcPr>
            <w:tcW w:w="2955" w:type="dxa"/>
            <w:tcBorders>
              <w:top w:val="single" w:color="CCCCCC" w:sz="8"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color w:val="000000"/>
                <w:sz w:val="18"/>
                <w:szCs w:val="18"/>
              </w:rPr>
              <w:t>对被审计单位处以5万元罚款，对直接负责的主管人员和其他直接责任人员处2万元的罚款。</w:t>
            </w:r>
          </w:p>
        </w:tc>
        <w:tc>
          <w:tcPr>
            <w:tcW w:w="1215" w:type="dxa"/>
            <w:tcBorders>
              <w:top w:val="nil"/>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75" w:hRule="atLeast"/>
        </w:trPr>
        <w:tc>
          <w:tcPr>
            <w:tcW w:w="833" w:type="dxa"/>
            <w:vMerge w:val="restart"/>
            <w:tcBorders>
              <w:top w:val="single" w:color="CCCCCC" w:sz="8" w:space="0"/>
              <w:left w:val="single" w:color="000000" w:sz="12"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color w:val="000000"/>
                <w:sz w:val="18"/>
                <w:szCs w:val="18"/>
              </w:rPr>
              <w:t>2</w:t>
            </w:r>
          </w:p>
        </w:tc>
        <w:tc>
          <w:tcPr>
            <w:tcW w:w="930" w:type="dxa"/>
            <w:vMerge w:val="restart"/>
            <w:tcBorders>
              <w:top w:val="single" w:color="CCCCCC" w:sz="8"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color w:val="000000"/>
                <w:sz w:val="18"/>
                <w:szCs w:val="18"/>
              </w:rPr>
              <w:t>《中华人民共和国审计法实施条例》</w:t>
            </w:r>
          </w:p>
        </w:tc>
        <w:tc>
          <w:tcPr>
            <w:tcW w:w="1470" w:type="dxa"/>
            <w:vMerge w:val="restart"/>
            <w:tcBorders>
              <w:top w:val="single" w:color="CCCCCC" w:sz="8"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color w:val="000000"/>
                <w:sz w:val="18"/>
                <w:szCs w:val="18"/>
              </w:rPr>
              <w:t>违反国家规定的财务收支行为[第49条第1款]</w:t>
            </w:r>
          </w:p>
        </w:tc>
        <w:tc>
          <w:tcPr>
            <w:tcW w:w="3300" w:type="dxa"/>
            <w:vMerge w:val="restart"/>
            <w:tcBorders>
              <w:top w:val="single" w:color="CCCCCC" w:sz="8"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color w:val="000000"/>
                <w:sz w:val="18"/>
                <w:szCs w:val="18"/>
              </w:rPr>
              <w:t>审计机关在法定职权范围内，区别情况采取审计法第四十五条规定的处理措施，可以通报批评，给予警告；有违法所得的，没收违法所得，并处违法所得1倍以上5倍以下的罚款；没有违法所得的，可以处5万元以下的罚款；对直接负责的主管人员和其他直接责任人员，可以处2万元以下的罚款，审计机关认为应当给予处分的，向有关主管机关、单位提出给予处分的建议；构成犯罪的，依法追究刑事责任。</w:t>
            </w:r>
          </w:p>
        </w:tc>
        <w:tc>
          <w:tcPr>
            <w:tcW w:w="1410" w:type="dxa"/>
            <w:tcBorders>
              <w:top w:val="single" w:color="CCCCCC" w:sz="8"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color w:val="000000"/>
                <w:sz w:val="18"/>
                <w:szCs w:val="18"/>
              </w:rPr>
              <w:t>从轻</w:t>
            </w:r>
          </w:p>
        </w:tc>
        <w:tc>
          <w:tcPr>
            <w:tcW w:w="2880" w:type="dxa"/>
            <w:tcBorders>
              <w:top w:val="single" w:color="CCCCCC" w:sz="8"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color w:val="000000"/>
                <w:sz w:val="18"/>
                <w:szCs w:val="18"/>
              </w:rPr>
              <w:t>违法金额在50万元以下。</w:t>
            </w:r>
          </w:p>
        </w:tc>
        <w:tc>
          <w:tcPr>
            <w:tcW w:w="2955" w:type="dxa"/>
            <w:tcBorders>
              <w:top w:val="single" w:color="CCCCCC" w:sz="8"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color w:val="000000"/>
                <w:sz w:val="18"/>
                <w:szCs w:val="18"/>
              </w:rPr>
              <w:t>有违法所得的，没收违法所得，并对被审计单位处以违法所得1倍的罚款，对直接负责的主管人员和其他直接责任人员处以1000元的罚款；没有违法所得的，对被审计单位处以1万元罚款，对直接负责的主管人员和其他直接责任人员处以500元的罚款。</w:t>
            </w:r>
          </w:p>
        </w:tc>
        <w:tc>
          <w:tcPr>
            <w:tcW w:w="1215" w:type="dxa"/>
            <w:tcBorders>
              <w:top w:val="nil"/>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90" w:hRule="atLeast"/>
        </w:trPr>
        <w:tc>
          <w:tcPr>
            <w:tcW w:w="833" w:type="dxa"/>
            <w:vMerge w:val="continue"/>
            <w:tcBorders>
              <w:top w:val="single" w:color="CCCCCC" w:sz="8" w:space="0"/>
              <w:left w:val="single" w:color="000000" w:sz="12" w:space="0"/>
              <w:bottom w:val="single" w:color="000000" w:sz="12" w:space="0"/>
              <w:right w:val="single" w:color="000000" w:sz="12" w:space="0"/>
            </w:tcBorders>
            <w:shd w:val="clear"/>
            <w:vAlign w:val="center"/>
          </w:tcPr>
          <w:p>
            <w:pPr>
              <w:rPr>
                <w:rFonts w:hint="eastAsia" w:ascii="宋体"/>
                <w:sz w:val="24"/>
                <w:szCs w:val="24"/>
              </w:rPr>
            </w:pPr>
          </w:p>
        </w:tc>
        <w:tc>
          <w:tcPr>
            <w:tcW w:w="930" w:type="dxa"/>
            <w:vMerge w:val="continue"/>
            <w:tcBorders>
              <w:top w:val="single" w:color="CCCCCC" w:sz="8" w:space="0"/>
              <w:left w:val="single" w:color="CCCCCC" w:sz="8" w:space="0"/>
              <w:bottom w:val="single" w:color="000000" w:sz="12" w:space="0"/>
              <w:right w:val="single" w:color="000000" w:sz="12" w:space="0"/>
            </w:tcBorders>
            <w:shd w:val="clear"/>
            <w:vAlign w:val="center"/>
          </w:tcPr>
          <w:p>
            <w:pPr>
              <w:rPr>
                <w:rFonts w:hint="eastAsia" w:ascii="宋体"/>
                <w:sz w:val="24"/>
                <w:szCs w:val="24"/>
              </w:rPr>
            </w:pPr>
          </w:p>
        </w:tc>
        <w:tc>
          <w:tcPr>
            <w:tcW w:w="1470" w:type="dxa"/>
            <w:vMerge w:val="continue"/>
            <w:tcBorders>
              <w:top w:val="single" w:color="CCCCCC" w:sz="8" w:space="0"/>
              <w:left w:val="single" w:color="CCCCCC" w:sz="8" w:space="0"/>
              <w:bottom w:val="single" w:color="000000" w:sz="12" w:space="0"/>
              <w:right w:val="single" w:color="000000" w:sz="12" w:space="0"/>
            </w:tcBorders>
            <w:shd w:val="clear"/>
            <w:vAlign w:val="center"/>
          </w:tcPr>
          <w:p>
            <w:pPr>
              <w:rPr>
                <w:rFonts w:hint="eastAsia" w:ascii="宋体"/>
                <w:sz w:val="24"/>
                <w:szCs w:val="24"/>
              </w:rPr>
            </w:pPr>
          </w:p>
        </w:tc>
        <w:tc>
          <w:tcPr>
            <w:tcW w:w="3300" w:type="dxa"/>
            <w:vMerge w:val="continue"/>
            <w:tcBorders>
              <w:top w:val="single" w:color="CCCCCC" w:sz="8" w:space="0"/>
              <w:left w:val="single" w:color="CCCCCC" w:sz="8" w:space="0"/>
              <w:bottom w:val="single" w:color="000000" w:sz="12" w:space="0"/>
              <w:right w:val="single" w:color="000000" w:sz="12" w:space="0"/>
            </w:tcBorders>
            <w:shd w:val="clear"/>
            <w:vAlign w:val="center"/>
          </w:tcPr>
          <w:p>
            <w:pPr>
              <w:rPr>
                <w:rFonts w:hint="eastAsia" w:ascii="宋体"/>
                <w:sz w:val="24"/>
                <w:szCs w:val="24"/>
              </w:rPr>
            </w:pPr>
          </w:p>
        </w:tc>
        <w:tc>
          <w:tcPr>
            <w:tcW w:w="1410" w:type="dxa"/>
            <w:tcBorders>
              <w:top w:val="single" w:color="CCCCCC" w:sz="8"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color w:val="000000"/>
                <w:sz w:val="18"/>
                <w:szCs w:val="18"/>
              </w:rPr>
              <w:t>较轻</w:t>
            </w:r>
          </w:p>
        </w:tc>
        <w:tc>
          <w:tcPr>
            <w:tcW w:w="2880" w:type="dxa"/>
            <w:tcBorders>
              <w:top w:val="single" w:color="CCCCCC" w:sz="8"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color w:val="000000"/>
                <w:sz w:val="18"/>
                <w:szCs w:val="18"/>
              </w:rPr>
              <w:t>违法金额在50万元以上100万元以下。</w:t>
            </w:r>
          </w:p>
        </w:tc>
        <w:tc>
          <w:tcPr>
            <w:tcW w:w="2955" w:type="dxa"/>
            <w:tcBorders>
              <w:top w:val="single" w:color="CCCCCC" w:sz="8"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color w:val="000000"/>
                <w:sz w:val="18"/>
                <w:szCs w:val="18"/>
              </w:rPr>
              <w:t>有违法所得的，没收违法所得，并对被审计单位处以违法所得2倍的罚款，对直接负责的主管人员和其他直接责任人员处以5000元的罚款；没有违法所得的，对被审计单位处以2万元罚款，对直接负责的主管人员和其他直接责任人员处以1000元的罚款。</w:t>
            </w:r>
          </w:p>
        </w:tc>
        <w:tc>
          <w:tcPr>
            <w:tcW w:w="1215" w:type="dxa"/>
            <w:tcBorders>
              <w:top w:val="nil"/>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30" w:hRule="atLeast"/>
        </w:trPr>
        <w:tc>
          <w:tcPr>
            <w:tcW w:w="833" w:type="dxa"/>
            <w:vMerge w:val="continue"/>
            <w:tcBorders>
              <w:top w:val="single" w:color="CCCCCC" w:sz="8" w:space="0"/>
              <w:left w:val="single" w:color="000000" w:sz="12" w:space="0"/>
              <w:bottom w:val="single" w:color="000000" w:sz="12" w:space="0"/>
              <w:right w:val="single" w:color="000000" w:sz="12" w:space="0"/>
            </w:tcBorders>
            <w:shd w:val="clear"/>
            <w:vAlign w:val="center"/>
          </w:tcPr>
          <w:p>
            <w:pPr>
              <w:rPr>
                <w:rFonts w:hint="eastAsia" w:ascii="宋体"/>
                <w:sz w:val="24"/>
                <w:szCs w:val="24"/>
              </w:rPr>
            </w:pPr>
          </w:p>
        </w:tc>
        <w:tc>
          <w:tcPr>
            <w:tcW w:w="930" w:type="dxa"/>
            <w:vMerge w:val="continue"/>
            <w:tcBorders>
              <w:top w:val="single" w:color="CCCCCC" w:sz="8" w:space="0"/>
              <w:left w:val="single" w:color="CCCCCC" w:sz="8" w:space="0"/>
              <w:bottom w:val="single" w:color="000000" w:sz="12" w:space="0"/>
              <w:right w:val="single" w:color="000000" w:sz="12" w:space="0"/>
            </w:tcBorders>
            <w:shd w:val="clear"/>
            <w:vAlign w:val="center"/>
          </w:tcPr>
          <w:p>
            <w:pPr>
              <w:rPr>
                <w:rFonts w:hint="eastAsia" w:ascii="宋体"/>
                <w:sz w:val="24"/>
                <w:szCs w:val="24"/>
              </w:rPr>
            </w:pPr>
          </w:p>
        </w:tc>
        <w:tc>
          <w:tcPr>
            <w:tcW w:w="1470" w:type="dxa"/>
            <w:vMerge w:val="continue"/>
            <w:tcBorders>
              <w:top w:val="single" w:color="CCCCCC" w:sz="8" w:space="0"/>
              <w:left w:val="single" w:color="CCCCCC" w:sz="8" w:space="0"/>
              <w:bottom w:val="single" w:color="000000" w:sz="12" w:space="0"/>
              <w:right w:val="single" w:color="000000" w:sz="12" w:space="0"/>
            </w:tcBorders>
            <w:shd w:val="clear"/>
            <w:vAlign w:val="center"/>
          </w:tcPr>
          <w:p>
            <w:pPr>
              <w:rPr>
                <w:rFonts w:hint="eastAsia" w:ascii="宋体"/>
                <w:sz w:val="24"/>
                <w:szCs w:val="24"/>
              </w:rPr>
            </w:pPr>
          </w:p>
        </w:tc>
        <w:tc>
          <w:tcPr>
            <w:tcW w:w="3300" w:type="dxa"/>
            <w:vMerge w:val="continue"/>
            <w:tcBorders>
              <w:top w:val="single" w:color="CCCCCC" w:sz="8" w:space="0"/>
              <w:left w:val="single" w:color="CCCCCC" w:sz="8" w:space="0"/>
              <w:bottom w:val="single" w:color="000000" w:sz="12" w:space="0"/>
              <w:right w:val="single" w:color="000000" w:sz="12" w:space="0"/>
            </w:tcBorders>
            <w:shd w:val="clear"/>
            <w:vAlign w:val="center"/>
          </w:tcPr>
          <w:p>
            <w:pPr>
              <w:rPr>
                <w:rFonts w:hint="eastAsia" w:ascii="宋体"/>
                <w:sz w:val="24"/>
                <w:szCs w:val="24"/>
              </w:rPr>
            </w:pPr>
          </w:p>
        </w:tc>
        <w:tc>
          <w:tcPr>
            <w:tcW w:w="1410" w:type="dxa"/>
            <w:tcBorders>
              <w:top w:val="single" w:color="CCCCCC" w:sz="8"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color w:val="000000"/>
                <w:sz w:val="18"/>
                <w:szCs w:val="18"/>
              </w:rPr>
              <w:t>一般</w:t>
            </w:r>
          </w:p>
        </w:tc>
        <w:tc>
          <w:tcPr>
            <w:tcW w:w="2880" w:type="dxa"/>
            <w:tcBorders>
              <w:top w:val="single" w:color="CCCCCC" w:sz="8"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color w:val="000000"/>
                <w:sz w:val="18"/>
                <w:szCs w:val="18"/>
              </w:rPr>
              <w:t>违法金额在100万元以上500万元以下。</w:t>
            </w:r>
          </w:p>
        </w:tc>
        <w:tc>
          <w:tcPr>
            <w:tcW w:w="2955" w:type="dxa"/>
            <w:tcBorders>
              <w:top w:val="single" w:color="CCCCCC" w:sz="8"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color w:val="000000"/>
                <w:sz w:val="18"/>
                <w:szCs w:val="18"/>
              </w:rPr>
              <w:t>有违法所得的，没收违法所得，并对被审计单位处以违法所得3倍的罚款，对直接负责的主管人员和其他直接责任人员处以1万元的罚款；没有违法所得的，对被审计单位处以3万元罚款，对直接负责的主管人员和其他直接责任人员处以3000元的罚款。</w:t>
            </w:r>
          </w:p>
        </w:tc>
        <w:tc>
          <w:tcPr>
            <w:tcW w:w="1215" w:type="dxa"/>
            <w:tcBorders>
              <w:top w:val="nil"/>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60" w:hRule="atLeast"/>
        </w:trPr>
        <w:tc>
          <w:tcPr>
            <w:tcW w:w="833" w:type="dxa"/>
            <w:vMerge w:val="continue"/>
            <w:tcBorders>
              <w:top w:val="single" w:color="CCCCCC" w:sz="8" w:space="0"/>
              <w:left w:val="single" w:color="000000" w:sz="12" w:space="0"/>
              <w:bottom w:val="single" w:color="000000" w:sz="12" w:space="0"/>
              <w:right w:val="single" w:color="000000" w:sz="12" w:space="0"/>
            </w:tcBorders>
            <w:shd w:val="clear"/>
            <w:vAlign w:val="center"/>
          </w:tcPr>
          <w:p>
            <w:pPr>
              <w:rPr>
                <w:rFonts w:hint="eastAsia" w:ascii="宋体"/>
                <w:sz w:val="24"/>
                <w:szCs w:val="24"/>
              </w:rPr>
            </w:pPr>
          </w:p>
        </w:tc>
        <w:tc>
          <w:tcPr>
            <w:tcW w:w="930" w:type="dxa"/>
            <w:vMerge w:val="continue"/>
            <w:tcBorders>
              <w:top w:val="single" w:color="CCCCCC" w:sz="8" w:space="0"/>
              <w:left w:val="single" w:color="CCCCCC" w:sz="8" w:space="0"/>
              <w:bottom w:val="single" w:color="000000" w:sz="12" w:space="0"/>
              <w:right w:val="single" w:color="000000" w:sz="12" w:space="0"/>
            </w:tcBorders>
            <w:shd w:val="clear"/>
            <w:vAlign w:val="center"/>
          </w:tcPr>
          <w:p>
            <w:pPr>
              <w:rPr>
                <w:rFonts w:hint="eastAsia" w:ascii="宋体"/>
                <w:sz w:val="24"/>
                <w:szCs w:val="24"/>
              </w:rPr>
            </w:pPr>
          </w:p>
        </w:tc>
        <w:tc>
          <w:tcPr>
            <w:tcW w:w="1470" w:type="dxa"/>
            <w:vMerge w:val="continue"/>
            <w:tcBorders>
              <w:top w:val="single" w:color="CCCCCC" w:sz="8" w:space="0"/>
              <w:left w:val="single" w:color="CCCCCC" w:sz="8" w:space="0"/>
              <w:bottom w:val="single" w:color="000000" w:sz="12" w:space="0"/>
              <w:right w:val="single" w:color="000000" w:sz="12" w:space="0"/>
            </w:tcBorders>
            <w:shd w:val="clear"/>
            <w:vAlign w:val="center"/>
          </w:tcPr>
          <w:p>
            <w:pPr>
              <w:rPr>
                <w:rFonts w:hint="eastAsia" w:ascii="宋体"/>
                <w:sz w:val="24"/>
                <w:szCs w:val="24"/>
              </w:rPr>
            </w:pPr>
          </w:p>
        </w:tc>
        <w:tc>
          <w:tcPr>
            <w:tcW w:w="3300" w:type="dxa"/>
            <w:vMerge w:val="continue"/>
            <w:tcBorders>
              <w:top w:val="single" w:color="CCCCCC" w:sz="8" w:space="0"/>
              <w:left w:val="single" w:color="CCCCCC" w:sz="8" w:space="0"/>
              <w:bottom w:val="single" w:color="000000" w:sz="12" w:space="0"/>
              <w:right w:val="single" w:color="000000" w:sz="12" w:space="0"/>
            </w:tcBorders>
            <w:shd w:val="clear"/>
            <w:vAlign w:val="center"/>
          </w:tcPr>
          <w:p>
            <w:pPr>
              <w:rPr>
                <w:rFonts w:hint="eastAsia" w:ascii="宋体"/>
                <w:sz w:val="24"/>
                <w:szCs w:val="24"/>
              </w:rPr>
            </w:pPr>
          </w:p>
        </w:tc>
        <w:tc>
          <w:tcPr>
            <w:tcW w:w="1410" w:type="dxa"/>
            <w:tcBorders>
              <w:top w:val="single" w:color="CCCCCC" w:sz="8"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color w:val="000000"/>
                <w:sz w:val="18"/>
                <w:szCs w:val="18"/>
              </w:rPr>
              <w:t>较重</w:t>
            </w:r>
          </w:p>
        </w:tc>
        <w:tc>
          <w:tcPr>
            <w:tcW w:w="2880" w:type="dxa"/>
            <w:tcBorders>
              <w:top w:val="single" w:color="CCCCCC" w:sz="8"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color w:val="000000"/>
                <w:sz w:val="18"/>
                <w:szCs w:val="18"/>
              </w:rPr>
              <w:t>违法金额在500万元以上1000万元以下。</w:t>
            </w:r>
          </w:p>
        </w:tc>
        <w:tc>
          <w:tcPr>
            <w:tcW w:w="2955" w:type="dxa"/>
            <w:tcBorders>
              <w:top w:val="single" w:color="CCCCCC" w:sz="8"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color w:val="000000"/>
                <w:sz w:val="18"/>
                <w:szCs w:val="18"/>
              </w:rPr>
              <w:t>有违法所得的，没收违法所得，并对被审计单位处以违法所得4倍的罚款，对直接负责的主管人员和其他直接责任人员处以1.5万元的罚款；没有违法所得的，对被审计单位处以4万元罚款，对直接负责的主管人员和其他直接责任人员处以5000元的罚款。</w:t>
            </w:r>
          </w:p>
        </w:tc>
        <w:tc>
          <w:tcPr>
            <w:tcW w:w="1215" w:type="dxa"/>
            <w:tcBorders>
              <w:top w:val="nil"/>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20" w:hRule="atLeast"/>
        </w:trPr>
        <w:tc>
          <w:tcPr>
            <w:tcW w:w="833" w:type="dxa"/>
            <w:vMerge w:val="continue"/>
            <w:tcBorders>
              <w:top w:val="single" w:color="CCCCCC" w:sz="8" w:space="0"/>
              <w:left w:val="single" w:color="000000" w:sz="12" w:space="0"/>
              <w:bottom w:val="single" w:color="000000" w:sz="12" w:space="0"/>
              <w:right w:val="single" w:color="000000" w:sz="12" w:space="0"/>
            </w:tcBorders>
            <w:shd w:val="clear"/>
            <w:vAlign w:val="center"/>
          </w:tcPr>
          <w:p>
            <w:pPr>
              <w:rPr>
                <w:rFonts w:hint="eastAsia" w:ascii="宋体"/>
                <w:sz w:val="24"/>
                <w:szCs w:val="24"/>
              </w:rPr>
            </w:pPr>
          </w:p>
        </w:tc>
        <w:tc>
          <w:tcPr>
            <w:tcW w:w="930" w:type="dxa"/>
            <w:vMerge w:val="continue"/>
            <w:tcBorders>
              <w:top w:val="single" w:color="CCCCCC" w:sz="8" w:space="0"/>
              <w:left w:val="single" w:color="CCCCCC" w:sz="8" w:space="0"/>
              <w:bottom w:val="single" w:color="000000" w:sz="12" w:space="0"/>
              <w:right w:val="single" w:color="000000" w:sz="12" w:space="0"/>
            </w:tcBorders>
            <w:shd w:val="clear"/>
            <w:vAlign w:val="center"/>
          </w:tcPr>
          <w:p>
            <w:pPr>
              <w:rPr>
                <w:rFonts w:hint="eastAsia" w:ascii="宋体"/>
                <w:sz w:val="24"/>
                <w:szCs w:val="24"/>
              </w:rPr>
            </w:pPr>
          </w:p>
        </w:tc>
        <w:tc>
          <w:tcPr>
            <w:tcW w:w="1470" w:type="dxa"/>
            <w:vMerge w:val="continue"/>
            <w:tcBorders>
              <w:top w:val="single" w:color="CCCCCC" w:sz="8" w:space="0"/>
              <w:left w:val="single" w:color="CCCCCC" w:sz="8" w:space="0"/>
              <w:bottom w:val="single" w:color="000000" w:sz="12" w:space="0"/>
              <w:right w:val="single" w:color="000000" w:sz="12" w:space="0"/>
            </w:tcBorders>
            <w:shd w:val="clear"/>
            <w:vAlign w:val="center"/>
          </w:tcPr>
          <w:p>
            <w:pPr>
              <w:rPr>
                <w:rFonts w:hint="eastAsia" w:ascii="宋体"/>
                <w:sz w:val="24"/>
                <w:szCs w:val="24"/>
              </w:rPr>
            </w:pPr>
          </w:p>
        </w:tc>
        <w:tc>
          <w:tcPr>
            <w:tcW w:w="3300" w:type="dxa"/>
            <w:vMerge w:val="continue"/>
            <w:tcBorders>
              <w:top w:val="single" w:color="CCCCCC" w:sz="8" w:space="0"/>
              <w:left w:val="single" w:color="CCCCCC" w:sz="8" w:space="0"/>
              <w:bottom w:val="single" w:color="000000" w:sz="12" w:space="0"/>
              <w:right w:val="single" w:color="000000" w:sz="12" w:space="0"/>
            </w:tcBorders>
            <w:shd w:val="clear"/>
            <w:vAlign w:val="center"/>
          </w:tcPr>
          <w:p>
            <w:pPr>
              <w:rPr>
                <w:rFonts w:hint="eastAsia" w:ascii="宋体"/>
                <w:sz w:val="24"/>
                <w:szCs w:val="24"/>
              </w:rPr>
            </w:pPr>
          </w:p>
        </w:tc>
        <w:tc>
          <w:tcPr>
            <w:tcW w:w="1410" w:type="dxa"/>
            <w:tcBorders>
              <w:top w:val="single" w:color="CCCCCC" w:sz="8"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color w:val="000000"/>
                <w:sz w:val="18"/>
                <w:szCs w:val="18"/>
              </w:rPr>
              <w:t>严重</w:t>
            </w:r>
          </w:p>
        </w:tc>
        <w:tc>
          <w:tcPr>
            <w:tcW w:w="2880" w:type="dxa"/>
            <w:tcBorders>
              <w:top w:val="single" w:color="CCCCCC" w:sz="8"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color w:val="000000"/>
                <w:sz w:val="18"/>
                <w:szCs w:val="18"/>
              </w:rPr>
              <w:t>违法金额在1000万元以上。</w:t>
            </w:r>
          </w:p>
        </w:tc>
        <w:tc>
          <w:tcPr>
            <w:tcW w:w="2955" w:type="dxa"/>
            <w:tcBorders>
              <w:top w:val="single" w:color="CCCCCC" w:sz="8"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color w:val="000000"/>
                <w:sz w:val="18"/>
                <w:szCs w:val="18"/>
              </w:rPr>
              <w:t>有违法所得的，没收违法所得，并对被审计单位处以违法所得5倍的罚款，对直接负责的主管人员和其他直接责任人员处以2万元的罚款；没有违法所得的，对被审计单位处以5万元罚款，对直接负责的主管人员和其他直接责任人员处以1万元的罚款。</w:t>
            </w:r>
          </w:p>
        </w:tc>
        <w:tc>
          <w:tcPr>
            <w:tcW w:w="1215" w:type="dxa"/>
            <w:tcBorders>
              <w:top w:val="nil"/>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sz w:val="18"/>
                <w:szCs w:val="18"/>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095" w:hRule="atLeast"/>
        </w:trPr>
        <w:tc>
          <w:tcPr>
            <w:tcW w:w="833" w:type="dxa"/>
            <w:tcBorders>
              <w:top w:val="single" w:color="CCCCCC" w:sz="8" w:space="0"/>
              <w:left w:val="single" w:color="000000" w:sz="12"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color w:val="000000"/>
                <w:sz w:val="18"/>
                <w:szCs w:val="18"/>
              </w:rPr>
              <w:t>3</w:t>
            </w:r>
          </w:p>
        </w:tc>
        <w:tc>
          <w:tcPr>
            <w:tcW w:w="930" w:type="dxa"/>
            <w:tcBorders>
              <w:top w:val="single" w:color="CCCCCC" w:sz="8"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color w:val="000000"/>
                <w:sz w:val="18"/>
                <w:szCs w:val="18"/>
              </w:rPr>
              <w:t>《中华人民共和国审计法实施条例》</w:t>
            </w:r>
          </w:p>
        </w:tc>
        <w:tc>
          <w:tcPr>
            <w:tcW w:w="1470" w:type="dxa"/>
            <w:tcBorders>
              <w:top w:val="single" w:color="CCCCCC" w:sz="8"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both"/>
              <w:textAlignment w:val="center"/>
            </w:pPr>
            <w:r>
              <w:rPr>
                <w:rFonts w:hint="eastAsia" w:ascii="宋体" w:hAnsi="宋体" w:eastAsia="宋体" w:cs="宋体"/>
                <w:color w:val="000000"/>
                <w:sz w:val="18"/>
                <w:szCs w:val="18"/>
              </w:rPr>
              <w:t>违反国家规定的财务收支行为，法律法规另有处罚规定的[第49条第2款]</w:t>
            </w:r>
          </w:p>
        </w:tc>
        <w:tc>
          <w:tcPr>
            <w:tcW w:w="3300" w:type="dxa"/>
            <w:tcBorders>
              <w:top w:val="single" w:color="CCCCCC" w:sz="8"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color w:val="000000"/>
                <w:sz w:val="18"/>
                <w:szCs w:val="18"/>
              </w:rPr>
              <w:t>从其规定</w:t>
            </w:r>
          </w:p>
        </w:tc>
        <w:tc>
          <w:tcPr>
            <w:tcW w:w="8460" w:type="dxa"/>
            <w:gridSpan w:val="4"/>
            <w:tcBorders>
              <w:top w:val="single" w:color="CCCCCC" w:sz="8" w:space="0"/>
              <w:left w:val="single" w:color="CCCCCC" w:sz="8" w:space="0"/>
              <w:bottom w:val="single" w:color="000000" w:sz="12" w:space="0"/>
              <w:right w:val="single" w:color="000000" w:sz="12" w:space="0"/>
            </w:tcBorders>
            <w:shd w:val="clear"/>
            <w:vAlign w:val="center"/>
          </w:tcPr>
          <w:p>
            <w:pPr>
              <w:pStyle w:val="2"/>
              <w:keepNext w:val="0"/>
              <w:keepLines w:val="0"/>
              <w:widowControl/>
              <w:suppressLineNumbers w:val="0"/>
              <w:spacing w:before="0" w:beforeAutospacing="0" w:after="0" w:afterAutospacing="0"/>
              <w:ind w:left="0" w:right="0"/>
              <w:jc w:val="center"/>
              <w:textAlignment w:val="center"/>
            </w:pPr>
            <w:r>
              <w:rPr>
                <w:rFonts w:hint="eastAsia" w:ascii="宋体" w:hAnsi="宋体" w:eastAsia="宋体" w:cs="宋体"/>
                <w:color w:val="000000"/>
                <w:sz w:val="18"/>
                <w:szCs w:val="18"/>
              </w:rPr>
              <w:t>法律、行政法规对被审计单位违反国家规定的财务收支行为处理、处罚另有规定的，从其规定。</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1260" w:beforeAutospacing="0" w:after="0" w:afterAutospacing="0"/>
        <w:ind w:right="0"/>
      </w:pPr>
      <w:r>
        <w:rPr>
          <w:rStyle w:val="5"/>
          <w:rFonts w:hint="eastAsia" w:ascii="宋体" w:hAnsi="宋体" w:eastAsia="宋体" w:cs="宋体"/>
          <w:caps w:val="0"/>
          <w:color w:val="000000"/>
          <w:spacing w:val="0"/>
          <w:sz w:val="24"/>
          <w:szCs w:val="24"/>
          <w:bdr w:val="none" w:color="auto" w:sz="0" w:space="0"/>
          <w:shd w:val="clear" w:fill="FFFFFF"/>
        </w:rPr>
        <w:t>三、行政强制权力事项清单表：</w:t>
      </w:r>
      <w:r>
        <w:rPr>
          <w:rStyle w:val="5"/>
          <w:rFonts w:hint="eastAsia" w:ascii="宋体" w:hAnsi="宋体" w:eastAsia="宋体" w:cs="宋体"/>
          <w:caps w:val="0"/>
          <w:color w:val="000000"/>
          <w:spacing w:val="0"/>
          <w:sz w:val="16"/>
          <w:szCs w:val="16"/>
          <w:bdr w:val="none" w:color="auto" w:sz="0" w:space="0"/>
          <w:shd w:val="clear" w:fill="FFFFFF"/>
        </w:rPr>
        <w:t>沂源县审计局行政强制权力事项清单</w:t>
      </w:r>
    </w:p>
    <w:tbl>
      <w:tblPr>
        <w:tblW w:w="13369"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16"/>
        <w:gridCol w:w="991"/>
        <w:gridCol w:w="6742"/>
        <w:gridCol w:w="662"/>
        <w:gridCol w:w="1105"/>
        <w:gridCol w:w="1028"/>
        <w:gridCol w:w="24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27" w:hRule="atLeast"/>
        </w:trPr>
        <w:tc>
          <w:tcPr>
            <w:tcW w:w="416" w:type="dxa"/>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z w:val="20"/>
                <w:szCs w:val="20"/>
              </w:rPr>
              <w:t>序号</w:t>
            </w:r>
          </w:p>
        </w:tc>
        <w:tc>
          <w:tcPr>
            <w:tcW w:w="991"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z w:val="20"/>
                <w:szCs w:val="20"/>
              </w:rPr>
              <w:t>事项名称</w:t>
            </w:r>
          </w:p>
        </w:tc>
        <w:tc>
          <w:tcPr>
            <w:tcW w:w="674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z w:val="20"/>
                <w:szCs w:val="20"/>
              </w:rPr>
              <w:t>法律依据</w:t>
            </w:r>
          </w:p>
        </w:tc>
        <w:tc>
          <w:tcPr>
            <w:tcW w:w="662"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z w:val="20"/>
                <w:szCs w:val="20"/>
              </w:rPr>
              <w:t>法定期限</w:t>
            </w:r>
          </w:p>
        </w:tc>
        <w:tc>
          <w:tcPr>
            <w:tcW w:w="110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z w:val="20"/>
                <w:szCs w:val="20"/>
              </w:rPr>
              <w:t>强制执行方式</w:t>
            </w:r>
          </w:p>
        </w:tc>
        <w:tc>
          <w:tcPr>
            <w:tcW w:w="1028"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z w:val="20"/>
                <w:szCs w:val="20"/>
              </w:rPr>
              <w:t>强制措施方式</w:t>
            </w:r>
          </w:p>
        </w:tc>
        <w:tc>
          <w:tcPr>
            <w:tcW w:w="2425"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z w:val="20"/>
                <w:szCs w:val="20"/>
              </w:rPr>
              <w:t>执法机构、执法类别及救济渠道</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130" w:hRule="atLeast"/>
        </w:trPr>
        <w:tc>
          <w:tcPr>
            <w:tcW w:w="41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z w:val="20"/>
                <w:szCs w:val="20"/>
              </w:rPr>
              <w:t>1</w:t>
            </w:r>
          </w:p>
        </w:tc>
        <w:tc>
          <w:tcPr>
            <w:tcW w:w="99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sz w:val="21"/>
                <w:szCs w:val="21"/>
              </w:rPr>
              <w:t>封存有关资料和违规取得的资产</w:t>
            </w:r>
          </w:p>
          <w:p>
            <w:pPr>
              <w:pStyle w:val="2"/>
              <w:keepNext w:val="0"/>
              <w:keepLines w:val="0"/>
              <w:widowControl/>
              <w:suppressLineNumbers w:val="0"/>
              <w:spacing w:before="0" w:beforeAutospacing="0" w:after="0" w:afterAutospacing="0"/>
              <w:ind w:left="0" w:right="0"/>
              <w:jc w:val="center"/>
            </w:pPr>
            <w:r>
              <w:rPr>
                <w:rFonts w:hint="default" w:ascii="Calibri" w:hAnsi="Calibri" w:cs="Calibri"/>
                <w:sz w:val="24"/>
                <w:szCs w:val="24"/>
              </w:rPr>
              <w:t> </w:t>
            </w:r>
          </w:p>
          <w:p>
            <w:pPr>
              <w:pStyle w:val="2"/>
              <w:keepNext w:val="0"/>
              <w:keepLines w:val="0"/>
              <w:widowControl/>
              <w:suppressLineNumbers w:val="0"/>
              <w:spacing w:before="0" w:beforeAutospacing="0" w:after="0" w:afterAutospacing="0"/>
              <w:ind w:left="0" w:right="0"/>
              <w:jc w:val="center"/>
            </w:pPr>
            <w:r>
              <w:rPr>
                <w:rFonts w:hint="default" w:ascii="Calibri" w:hAnsi="Calibri" w:cs="Calibri"/>
                <w:sz w:val="24"/>
                <w:szCs w:val="24"/>
              </w:rPr>
              <w:t> </w:t>
            </w:r>
          </w:p>
          <w:p>
            <w:pPr>
              <w:pStyle w:val="2"/>
              <w:keepNext w:val="0"/>
              <w:keepLines w:val="0"/>
              <w:widowControl/>
              <w:suppressLineNumbers w:val="0"/>
              <w:spacing w:before="0" w:beforeAutospacing="0" w:after="0" w:afterAutospacing="0"/>
              <w:ind w:left="0" w:right="0"/>
              <w:jc w:val="center"/>
            </w:pPr>
            <w:r>
              <w:rPr>
                <w:rFonts w:hint="default" w:ascii="Calibri" w:hAnsi="Calibri" w:cs="Calibri"/>
                <w:sz w:val="24"/>
                <w:szCs w:val="24"/>
              </w:rPr>
              <w:t> </w:t>
            </w:r>
          </w:p>
          <w:p>
            <w:pPr>
              <w:pStyle w:val="2"/>
              <w:keepNext w:val="0"/>
              <w:keepLines w:val="0"/>
              <w:widowControl/>
              <w:suppressLineNumbers w:val="0"/>
              <w:spacing w:before="0" w:beforeAutospacing="0" w:after="0" w:afterAutospacing="0"/>
              <w:ind w:left="0" w:right="0"/>
              <w:jc w:val="center"/>
            </w:pPr>
            <w:r>
              <w:rPr>
                <w:rFonts w:hint="default" w:ascii="Calibri" w:hAnsi="Calibri" w:cs="Calibri"/>
                <w:sz w:val="24"/>
                <w:szCs w:val="24"/>
              </w:rPr>
              <w:t> </w:t>
            </w:r>
          </w:p>
        </w:tc>
        <w:tc>
          <w:tcPr>
            <w:tcW w:w="67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420"/>
              <w:jc w:val="left"/>
            </w:pPr>
            <w:r>
              <w:rPr>
                <w:rFonts w:hint="eastAsia" w:ascii="宋体" w:hAnsi="宋体" w:eastAsia="宋体" w:cs="宋体"/>
                <w:color w:val="000000"/>
                <w:sz w:val="21"/>
                <w:szCs w:val="21"/>
              </w:rPr>
              <w:t>1.《审计法》（</w:t>
            </w:r>
            <w:r>
              <w:rPr>
                <w:rFonts w:hint="default" w:ascii="Calibri" w:hAnsi="Calibri" w:cs="Calibri"/>
                <w:color w:val="000000"/>
                <w:sz w:val="21"/>
                <w:szCs w:val="21"/>
              </w:rPr>
              <w:t>1994</w:t>
            </w:r>
            <w:r>
              <w:rPr>
                <w:rFonts w:hint="eastAsia" w:ascii="宋体" w:hAnsi="宋体" w:eastAsia="宋体" w:cs="宋体"/>
                <w:color w:val="000000"/>
                <w:sz w:val="21"/>
                <w:szCs w:val="21"/>
              </w:rPr>
              <w:t>年</w:t>
            </w:r>
            <w:r>
              <w:rPr>
                <w:rFonts w:hint="default" w:ascii="Calibri" w:hAnsi="Calibri" w:cs="Calibri"/>
                <w:color w:val="000000"/>
                <w:sz w:val="21"/>
                <w:szCs w:val="21"/>
              </w:rPr>
              <w:t>8</w:t>
            </w:r>
            <w:r>
              <w:rPr>
                <w:rFonts w:hint="eastAsia" w:ascii="宋体" w:hAnsi="宋体" w:eastAsia="宋体" w:cs="宋体"/>
                <w:color w:val="000000"/>
                <w:sz w:val="21"/>
                <w:szCs w:val="21"/>
              </w:rPr>
              <w:t>月通过，</w:t>
            </w:r>
            <w:r>
              <w:rPr>
                <w:rFonts w:hint="default" w:ascii="Calibri" w:hAnsi="Calibri" w:cs="Calibri"/>
                <w:color w:val="000000"/>
                <w:sz w:val="21"/>
                <w:szCs w:val="21"/>
              </w:rPr>
              <w:t>2006</w:t>
            </w:r>
            <w:r>
              <w:rPr>
                <w:rFonts w:hint="eastAsia" w:ascii="宋体" w:hAnsi="宋体" w:eastAsia="宋体" w:cs="宋体"/>
                <w:color w:val="000000"/>
                <w:sz w:val="21"/>
                <w:szCs w:val="21"/>
              </w:rPr>
              <w:t>年</w:t>
            </w:r>
            <w:r>
              <w:rPr>
                <w:rFonts w:hint="default" w:ascii="Calibri" w:hAnsi="Calibri" w:cs="Calibri"/>
                <w:color w:val="000000"/>
                <w:sz w:val="21"/>
                <w:szCs w:val="21"/>
              </w:rPr>
              <w:t>2</w:t>
            </w:r>
            <w:r>
              <w:rPr>
                <w:rFonts w:hint="eastAsia" w:ascii="宋体" w:hAnsi="宋体" w:eastAsia="宋体" w:cs="宋体"/>
                <w:color w:val="000000"/>
                <w:sz w:val="21"/>
                <w:szCs w:val="21"/>
              </w:rPr>
              <w:t>月修订）第三十四条第一款、第二款：“审计机关进行审计时，被审计单位不得转移、隐匿、篡改、毁弃会计凭证、会计账簿、财务会计报告以及其他与财政收支或者财务收支有关的资料，不得转移、隐匿所持有的违反国家规定取得的资产；审计机关对被审计单位违反前款规定的行为，有权予以制止；必要时，经县级以上人民政府审计机关负责人批准，有权封存有关资料和违反国家规定取得的资产；对其中在金融机构的有关存款需要予以冻结的，应当向人民法院提出申请。”</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  2.《财政违法行为处罚处分条例》（</w:t>
            </w:r>
            <w:r>
              <w:rPr>
                <w:rFonts w:hint="default" w:ascii="Calibri" w:hAnsi="Calibri" w:cs="Calibri"/>
                <w:color w:val="000000"/>
                <w:sz w:val="21"/>
                <w:szCs w:val="21"/>
              </w:rPr>
              <w:t>2004</w:t>
            </w:r>
            <w:r>
              <w:rPr>
                <w:rFonts w:hint="eastAsia" w:ascii="宋体" w:hAnsi="宋体" w:eastAsia="宋体" w:cs="宋体"/>
                <w:color w:val="000000"/>
                <w:sz w:val="21"/>
                <w:szCs w:val="21"/>
              </w:rPr>
              <w:t>年</w:t>
            </w:r>
            <w:r>
              <w:rPr>
                <w:rFonts w:hint="default" w:ascii="Calibri" w:hAnsi="Calibri" w:cs="Calibri"/>
                <w:color w:val="000000"/>
                <w:sz w:val="21"/>
                <w:szCs w:val="21"/>
              </w:rPr>
              <w:t>11</w:t>
            </w:r>
            <w:r>
              <w:rPr>
                <w:rFonts w:hint="eastAsia" w:ascii="宋体" w:hAnsi="宋体" w:eastAsia="宋体" w:cs="宋体"/>
                <w:color w:val="000000"/>
                <w:sz w:val="21"/>
                <w:szCs w:val="21"/>
              </w:rPr>
              <w:t>月国务院令第</w:t>
            </w:r>
            <w:r>
              <w:rPr>
                <w:rFonts w:hint="default" w:ascii="Calibri" w:hAnsi="Calibri" w:cs="Calibri"/>
                <w:color w:val="000000"/>
                <w:sz w:val="21"/>
                <w:szCs w:val="21"/>
              </w:rPr>
              <w:t>427</w:t>
            </w:r>
            <w:r>
              <w:rPr>
                <w:rFonts w:hint="eastAsia" w:ascii="宋体" w:hAnsi="宋体" w:eastAsia="宋体" w:cs="宋体"/>
                <w:color w:val="000000"/>
                <w:sz w:val="21"/>
                <w:szCs w:val="21"/>
              </w:rPr>
              <w:t>号）第二十三条：“财政部门、审计机关、监察机关依法进行调查或者检查时，在有关证据可能灭失或者以后难以取得的情况下，经县级以上人民政府财政部门、审计机关、监察机关的负责人批准，可以先行登记保存，并应当在</w:t>
            </w:r>
            <w:r>
              <w:rPr>
                <w:rFonts w:hint="default" w:ascii="Calibri" w:hAnsi="Calibri" w:cs="Calibri"/>
                <w:color w:val="000000"/>
                <w:sz w:val="21"/>
                <w:szCs w:val="21"/>
              </w:rPr>
              <w:t>7</w:t>
            </w:r>
            <w:r>
              <w:rPr>
                <w:rFonts w:hint="eastAsia" w:ascii="宋体" w:hAnsi="宋体" w:eastAsia="宋体" w:cs="宋体"/>
                <w:color w:val="000000"/>
                <w:sz w:val="21"/>
                <w:szCs w:val="21"/>
              </w:rPr>
              <w:t>日内及时作出处理决定。在此期间，当事人或者有关人员不得销毁或者转移证据。”</w:t>
            </w:r>
          </w:p>
        </w:tc>
        <w:tc>
          <w:tcPr>
            <w:tcW w:w="66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z w:val="21"/>
                <w:szCs w:val="21"/>
              </w:rPr>
              <w:t>7日</w:t>
            </w:r>
          </w:p>
          <w:p>
            <w:pPr>
              <w:pStyle w:val="2"/>
              <w:keepNext w:val="0"/>
              <w:keepLines w:val="0"/>
              <w:widowControl/>
              <w:suppressLineNumbers w:val="0"/>
              <w:spacing w:before="0" w:beforeAutospacing="0" w:after="0" w:afterAutospacing="0"/>
              <w:ind w:left="0" w:right="0"/>
              <w:jc w:val="center"/>
            </w:pPr>
            <w:r>
              <w:rPr>
                <w:rFonts w:hint="default" w:ascii="Calibri" w:hAnsi="Calibri" w:cs="Calibri"/>
                <w:sz w:val="24"/>
                <w:szCs w:val="24"/>
              </w:rPr>
              <w:t> </w:t>
            </w:r>
          </w:p>
          <w:p>
            <w:pPr>
              <w:pStyle w:val="2"/>
              <w:keepNext w:val="0"/>
              <w:keepLines w:val="0"/>
              <w:widowControl/>
              <w:suppressLineNumbers w:val="0"/>
              <w:spacing w:before="0" w:beforeAutospacing="0" w:after="0" w:afterAutospacing="0"/>
              <w:ind w:left="0" w:right="0"/>
              <w:jc w:val="center"/>
            </w:pPr>
            <w:r>
              <w:rPr>
                <w:rFonts w:hint="default" w:ascii="Calibri" w:hAnsi="Calibri" w:cs="Calibri"/>
                <w:sz w:val="24"/>
                <w:szCs w:val="24"/>
              </w:rPr>
              <w:t> </w:t>
            </w:r>
          </w:p>
          <w:p>
            <w:pPr>
              <w:pStyle w:val="2"/>
              <w:keepNext w:val="0"/>
              <w:keepLines w:val="0"/>
              <w:widowControl/>
              <w:suppressLineNumbers w:val="0"/>
              <w:spacing w:before="0" w:beforeAutospacing="0" w:after="0" w:afterAutospacing="0"/>
              <w:ind w:left="0" w:right="0"/>
              <w:jc w:val="center"/>
            </w:pPr>
            <w:r>
              <w:rPr>
                <w:rFonts w:hint="default" w:ascii="Calibri" w:hAnsi="Calibri" w:cs="Calibri"/>
                <w:sz w:val="24"/>
                <w:szCs w:val="24"/>
              </w:rPr>
              <w:t> </w:t>
            </w:r>
          </w:p>
          <w:p>
            <w:pPr>
              <w:pStyle w:val="2"/>
              <w:keepNext w:val="0"/>
              <w:keepLines w:val="0"/>
              <w:widowControl/>
              <w:suppressLineNumbers w:val="0"/>
              <w:spacing w:before="0" w:beforeAutospacing="0" w:after="0" w:afterAutospacing="0"/>
              <w:ind w:left="0" w:right="0"/>
              <w:jc w:val="center"/>
            </w:pPr>
            <w:r>
              <w:rPr>
                <w:rFonts w:hint="default" w:ascii="Calibri" w:hAnsi="Calibri" w:cs="Calibri"/>
                <w:sz w:val="24"/>
                <w:szCs w:val="24"/>
              </w:rPr>
              <w:t> </w:t>
            </w:r>
          </w:p>
          <w:p>
            <w:pPr>
              <w:pStyle w:val="2"/>
              <w:keepNext w:val="0"/>
              <w:keepLines w:val="0"/>
              <w:widowControl/>
              <w:suppressLineNumbers w:val="0"/>
              <w:spacing w:before="0" w:beforeAutospacing="0" w:after="0" w:afterAutospacing="0"/>
              <w:ind w:left="0" w:right="0"/>
              <w:jc w:val="center"/>
            </w:pPr>
            <w:r>
              <w:rPr>
                <w:rFonts w:hint="default" w:ascii="Calibri" w:hAnsi="Calibri" w:cs="Calibri"/>
                <w:sz w:val="24"/>
                <w:szCs w:val="24"/>
              </w:rPr>
              <w:t> </w:t>
            </w:r>
          </w:p>
          <w:p>
            <w:pPr>
              <w:pStyle w:val="2"/>
              <w:keepNext w:val="0"/>
              <w:keepLines w:val="0"/>
              <w:widowControl/>
              <w:suppressLineNumbers w:val="0"/>
              <w:spacing w:before="0" w:beforeAutospacing="0" w:after="0" w:afterAutospacing="0"/>
              <w:ind w:left="0" w:right="0"/>
              <w:jc w:val="center"/>
            </w:pPr>
            <w:r>
              <w:rPr>
                <w:rFonts w:hint="default" w:ascii="Calibri" w:hAnsi="Calibri" w:cs="Calibri"/>
                <w:sz w:val="24"/>
                <w:szCs w:val="24"/>
              </w:rPr>
              <w:t> </w:t>
            </w:r>
          </w:p>
        </w:tc>
        <w:tc>
          <w:tcPr>
            <w:tcW w:w="1105"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default" w:ascii="Calibri" w:hAnsi="Calibri" w:cs="Calibri"/>
                <w:sz w:val="24"/>
                <w:szCs w:val="24"/>
              </w:rPr>
              <w:t> </w:t>
            </w:r>
          </w:p>
        </w:tc>
        <w:tc>
          <w:tcPr>
            <w:tcW w:w="1028"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sz w:val="20"/>
                <w:szCs w:val="20"/>
              </w:rPr>
              <w:t>查封场所、设施或财物</w:t>
            </w:r>
          </w:p>
          <w:p>
            <w:pPr>
              <w:pStyle w:val="2"/>
              <w:keepNext w:val="0"/>
              <w:keepLines w:val="0"/>
              <w:widowControl/>
              <w:suppressLineNumbers w:val="0"/>
              <w:spacing w:before="0" w:beforeAutospacing="0" w:after="0" w:afterAutospacing="0"/>
              <w:ind w:left="0" w:right="0"/>
              <w:jc w:val="center"/>
            </w:pPr>
            <w:r>
              <w:rPr>
                <w:rFonts w:hint="default" w:ascii="Calibri" w:hAnsi="Calibri" w:cs="Calibri"/>
                <w:sz w:val="24"/>
                <w:szCs w:val="24"/>
              </w:rPr>
              <w:t> </w:t>
            </w:r>
          </w:p>
          <w:p>
            <w:pPr>
              <w:pStyle w:val="2"/>
              <w:keepNext w:val="0"/>
              <w:keepLines w:val="0"/>
              <w:widowControl/>
              <w:suppressLineNumbers w:val="0"/>
              <w:spacing w:before="0" w:beforeAutospacing="0" w:after="0" w:afterAutospacing="0"/>
              <w:ind w:left="0" w:right="0"/>
              <w:jc w:val="center"/>
            </w:pPr>
            <w:r>
              <w:rPr>
                <w:rFonts w:hint="default" w:ascii="Calibri" w:hAnsi="Calibri" w:cs="Calibri"/>
                <w:sz w:val="24"/>
                <w:szCs w:val="24"/>
              </w:rPr>
              <w:t> </w:t>
            </w:r>
          </w:p>
          <w:p>
            <w:pPr>
              <w:pStyle w:val="2"/>
              <w:keepNext w:val="0"/>
              <w:keepLines w:val="0"/>
              <w:widowControl/>
              <w:suppressLineNumbers w:val="0"/>
              <w:spacing w:before="0" w:beforeAutospacing="0" w:after="0" w:afterAutospacing="0"/>
              <w:ind w:left="0" w:right="0"/>
              <w:jc w:val="center"/>
            </w:pPr>
            <w:r>
              <w:rPr>
                <w:rFonts w:hint="default" w:ascii="Calibri" w:hAnsi="Calibri" w:cs="Calibri"/>
                <w:sz w:val="24"/>
                <w:szCs w:val="24"/>
              </w:rPr>
              <w:t> </w:t>
            </w:r>
          </w:p>
          <w:p>
            <w:pPr>
              <w:pStyle w:val="2"/>
              <w:keepNext w:val="0"/>
              <w:keepLines w:val="0"/>
              <w:widowControl/>
              <w:suppressLineNumbers w:val="0"/>
              <w:spacing w:before="0" w:beforeAutospacing="0" w:after="0" w:afterAutospacing="0"/>
              <w:ind w:left="0" w:right="0"/>
              <w:jc w:val="center"/>
            </w:pPr>
            <w:r>
              <w:rPr>
                <w:rFonts w:hint="default" w:ascii="Calibri" w:hAnsi="Calibri" w:cs="Calibri"/>
                <w:sz w:val="24"/>
                <w:szCs w:val="24"/>
              </w:rPr>
              <w:t> </w:t>
            </w:r>
          </w:p>
          <w:p>
            <w:pPr>
              <w:pStyle w:val="2"/>
              <w:keepNext w:val="0"/>
              <w:keepLines w:val="0"/>
              <w:widowControl/>
              <w:suppressLineNumbers w:val="0"/>
              <w:spacing w:before="0" w:beforeAutospacing="0" w:after="0" w:afterAutospacing="0"/>
              <w:ind w:left="0" w:right="0"/>
              <w:jc w:val="center"/>
            </w:pPr>
            <w:r>
              <w:rPr>
                <w:rFonts w:hint="default" w:ascii="Calibri" w:hAnsi="Calibri" w:cs="Calibri"/>
                <w:sz w:val="24"/>
                <w:szCs w:val="24"/>
              </w:rPr>
              <w:t> </w:t>
            </w:r>
          </w:p>
        </w:tc>
        <w:tc>
          <w:tcPr>
            <w:tcW w:w="2425"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firstLine="420"/>
              <w:jc w:val="left"/>
            </w:pPr>
            <w:r>
              <w:rPr>
                <w:rFonts w:hint="eastAsia" w:ascii="宋体" w:hAnsi="宋体" w:eastAsia="宋体" w:cs="宋体"/>
                <w:color w:val="000000"/>
                <w:sz w:val="21"/>
                <w:szCs w:val="21"/>
              </w:rPr>
              <w:t>执法机构：沂源县审计局。</w:t>
            </w:r>
          </w:p>
          <w:p>
            <w:pPr>
              <w:pStyle w:val="2"/>
              <w:keepNext w:val="0"/>
              <w:keepLines w:val="0"/>
              <w:widowControl/>
              <w:suppressLineNumbers w:val="0"/>
              <w:spacing w:before="0" w:beforeAutospacing="0" w:after="0" w:afterAutospacing="0"/>
              <w:ind w:left="0" w:right="0" w:firstLine="420"/>
              <w:jc w:val="left"/>
            </w:pPr>
            <w:r>
              <w:rPr>
                <w:rFonts w:hint="eastAsia" w:ascii="宋体" w:hAnsi="宋体" w:eastAsia="宋体" w:cs="宋体"/>
                <w:color w:val="000000"/>
                <w:sz w:val="21"/>
                <w:szCs w:val="21"/>
              </w:rPr>
              <w:t>执法类别：行政处罚。</w:t>
            </w:r>
          </w:p>
          <w:p>
            <w:pPr>
              <w:pStyle w:val="2"/>
              <w:keepNext w:val="0"/>
              <w:keepLines w:val="0"/>
              <w:widowControl/>
              <w:suppressLineNumbers w:val="0"/>
              <w:spacing w:before="0" w:beforeAutospacing="0" w:after="0" w:afterAutospacing="0"/>
              <w:ind w:left="0" w:right="0" w:firstLine="420"/>
              <w:jc w:val="left"/>
            </w:pPr>
            <w:r>
              <w:rPr>
                <w:rFonts w:hint="eastAsia" w:ascii="宋体" w:hAnsi="宋体" w:eastAsia="宋体" w:cs="宋体"/>
                <w:color w:val="000000"/>
                <w:sz w:val="21"/>
                <w:szCs w:val="21"/>
              </w:rPr>
              <w:t>救济渠道：对审计处罚决定不服的，可以在收到审计处罚决定书之日起60日内向沂源县人民政府申请行政复议或者6个月内向沂源县人民法院提起行政诉讼。</w:t>
            </w:r>
          </w:p>
          <w:p>
            <w:pPr>
              <w:pStyle w:val="2"/>
              <w:keepNext w:val="0"/>
              <w:keepLines w:val="0"/>
              <w:widowControl/>
              <w:suppressLineNumbers w:val="0"/>
              <w:spacing w:before="0" w:beforeAutospacing="0" w:after="0" w:afterAutospacing="0"/>
              <w:ind w:left="0" w:right="0" w:firstLine="420"/>
              <w:jc w:val="left"/>
            </w:pPr>
            <w:r>
              <w:rPr>
                <w:rFonts w:hint="eastAsia" w:ascii="宋体" w:hAnsi="宋体" w:eastAsia="宋体" w:cs="宋体"/>
                <w:color w:val="000000"/>
                <w:sz w:val="21"/>
                <w:szCs w:val="21"/>
              </w:rPr>
              <w:t>行政复议机关：沂源县人民政府</w:t>
            </w:r>
          </w:p>
          <w:p>
            <w:pPr>
              <w:pStyle w:val="2"/>
              <w:keepNext w:val="0"/>
              <w:keepLines w:val="0"/>
              <w:widowControl/>
              <w:suppressLineNumbers w:val="0"/>
              <w:spacing w:before="0" w:beforeAutospacing="0" w:after="0" w:afterAutospacing="0"/>
              <w:ind w:left="0" w:right="0" w:firstLine="420"/>
              <w:jc w:val="left"/>
            </w:pPr>
            <w:r>
              <w:rPr>
                <w:rFonts w:hint="eastAsia" w:ascii="宋体" w:hAnsi="宋体" w:eastAsia="宋体" w:cs="宋体"/>
                <w:color w:val="000000"/>
                <w:sz w:val="21"/>
                <w:szCs w:val="21"/>
              </w:rPr>
              <w:t>行政复议地址：山东省淄博市沂源县药玻路北首司法局</w:t>
            </w:r>
          </w:p>
          <w:p>
            <w:pPr>
              <w:pStyle w:val="2"/>
              <w:keepNext w:val="0"/>
              <w:keepLines w:val="0"/>
              <w:widowControl/>
              <w:suppressLineNumbers w:val="0"/>
              <w:spacing w:before="0" w:beforeAutospacing="0" w:after="0" w:afterAutospacing="0"/>
              <w:ind w:left="0" w:right="0" w:firstLine="420"/>
              <w:jc w:val="left"/>
            </w:pPr>
            <w:r>
              <w:rPr>
                <w:rFonts w:hint="eastAsia" w:ascii="宋体" w:hAnsi="宋体" w:eastAsia="宋体" w:cs="宋体"/>
                <w:color w:val="000000"/>
                <w:sz w:val="21"/>
                <w:szCs w:val="21"/>
              </w:rPr>
              <w:t>行政复议联系电话：0533-3242568</w:t>
            </w:r>
          </w:p>
          <w:p>
            <w:pPr>
              <w:pStyle w:val="2"/>
              <w:keepNext w:val="0"/>
              <w:keepLines w:val="0"/>
              <w:widowControl/>
              <w:suppressLineNumbers w:val="0"/>
              <w:spacing w:before="0" w:beforeAutospacing="0" w:after="0" w:afterAutospacing="0"/>
              <w:ind w:left="0" w:right="0" w:firstLine="420"/>
              <w:jc w:val="left"/>
            </w:pPr>
            <w:r>
              <w:rPr>
                <w:rFonts w:hint="eastAsia" w:ascii="宋体" w:hAnsi="宋体" w:eastAsia="宋体" w:cs="宋体"/>
                <w:color w:val="000000"/>
                <w:sz w:val="21"/>
                <w:szCs w:val="21"/>
              </w:rPr>
              <w:t>行政诉讼机关：沂源县人民法院</w:t>
            </w:r>
          </w:p>
          <w:p>
            <w:pPr>
              <w:pStyle w:val="2"/>
              <w:keepNext w:val="0"/>
              <w:keepLines w:val="0"/>
              <w:widowControl/>
              <w:suppressLineNumbers w:val="0"/>
              <w:spacing w:before="0" w:beforeAutospacing="0" w:after="0" w:afterAutospacing="0"/>
              <w:ind w:left="0" w:right="0" w:firstLine="420"/>
              <w:jc w:val="left"/>
            </w:pPr>
            <w:r>
              <w:rPr>
                <w:rFonts w:hint="eastAsia" w:ascii="宋体" w:hAnsi="宋体" w:eastAsia="宋体" w:cs="宋体"/>
                <w:color w:val="000000"/>
                <w:sz w:val="21"/>
                <w:szCs w:val="21"/>
              </w:rPr>
              <w:t>行政诉讼地址：山东省淄博市沂源县鲁山路与瑞阳大道交叉路口东北角</w:t>
            </w:r>
          </w:p>
          <w:p>
            <w:pPr>
              <w:pStyle w:val="2"/>
              <w:keepNext w:val="0"/>
              <w:keepLines w:val="0"/>
              <w:widowControl/>
              <w:suppressLineNumbers w:val="0"/>
              <w:spacing w:before="0" w:beforeAutospacing="0" w:after="0" w:afterAutospacing="0"/>
              <w:ind w:left="0" w:right="0" w:firstLine="420"/>
              <w:jc w:val="left"/>
            </w:pPr>
            <w:r>
              <w:rPr>
                <w:rFonts w:hint="eastAsia" w:ascii="宋体" w:hAnsi="宋体" w:eastAsia="宋体" w:cs="宋体"/>
                <w:color w:val="000000"/>
                <w:sz w:val="21"/>
                <w:szCs w:val="21"/>
              </w:rPr>
              <w:t>行政诉讼联系电话：0533-3259239</w:t>
            </w:r>
          </w:p>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color w:val="000000"/>
                <w:sz w:val="21"/>
                <w:szCs w:val="21"/>
              </w:rPr>
              <w:t> </w:t>
            </w:r>
          </w:p>
          <w:p>
            <w:pPr>
              <w:pStyle w:val="2"/>
              <w:keepNext w:val="0"/>
              <w:keepLines w:val="0"/>
              <w:widowControl/>
              <w:suppressLineNumbers w:val="0"/>
              <w:spacing w:before="0" w:beforeAutospacing="0" w:after="0" w:afterAutospacing="0"/>
              <w:ind w:left="0" w:right="0"/>
              <w:jc w:val="center"/>
            </w:pPr>
            <w:r>
              <w:rPr>
                <w:rFonts w:hint="default" w:ascii="Calibri" w:hAnsi="Calibri" w:cs="Calibri"/>
                <w:sz w:val="24"/>
                <w:szCs w:val="24"/>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2205" w:hRule="atLeast"/>
        </w:trPr>
        <w:tc>
          <w:tcPr>
            <w:tcW w:w="416"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rPr>
                <w:rFonts w:hint="eastAsia" w:ascii="宋体" w:hAnsi="宋体" w:eastAsia="宋体" w:cs="宋体"/>
                <w:sz w:val="20"/>
                <w:szCs w:val="20"/>
              </w:rPr>
              <w:t>2</w:t>
            </w:r>
          </w:p>
        </w:tc>
        <w:tc>
          <w:tcPr>
            <w:tcW w:w="991"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pStyle w:val="2"/>
              <w:keepNext w:val="0"/>
              <w:keepLines w:val="0"/>
              <w:widowControl/>
              <w:suppressLineNumbers w:val="0"/>
              <w:spacing w:before="0" w:beforeAutospacing="0" w:after="0" w:afterAutospacing="0"/>
              <w:ind w:left="0" w:right="0"/>
              <w:jc w:val="center"/>
            </w:pPr>
            <w:r>
              <w:t> </w:t>
            </w:r>
          </w:p>
        </w:tc>
        <w:tc>
          <w:tcPr>
            <w:tcW w:w="0" w:type="auto"/>
            <w:tcBorders>
              <w:top w:val="outset" w:color="auto" w:sz="6" w:space="0"/>
              <w:left w:val="nil"/>
              <w:bottom w:val="outset" w:color="auto" w:sz="6" w:space="0"/>
              <w:right w:val="outset" w:color="auto" w:sz="6" w:space="0"/>
            </w:tcBorders>
            <w:shd w:val="clear"/>
            <w:vAlign w:val="center"/>
          </w:tcPr>
          <w:p>
            <w:pPr>
              <w:rPr>
                <w:rFonts w:hint="eastAsia" w:ascii="宋体"/>
                <w:sz w:val="24"/>
                <w:szCs w:val="24"/>
              </w:rPr>
            </w:pPr>
          </w:p>
        </w:tc>
        <w:tc>
          <w:tcPr>
            <w:tcW w:w="0" w:type="auto"/>
            <w:tcBorders>
              <w:top w:val="outset" w:color="auto" w:sz="6" w:space="0"/>
              <w:left w:val="nil"/>
              <w:bottom w:val="outset" w:color="auto" w:sz="6" w:space="0"/>
              <w:right w:val="outset" w:color="auto" w:sz="6" w:space="0"/>
            </w:tcBorders>
            <w:shd w:val="clear"/>
            <w:vAlign w:val="center"/>
          </w:tcPr>
          <w:p>
            <w:pPr>
              <w:rPr>
                <w:rFonts w:hint="eastAsia" w:ascii="宋体"/>
                <w:sz w:val="24"/>
                <w:szCs w:val="24"/>
              </w:rPr>
            </w:pPr>
          </w:p>
        </w:tc>
        <w:tc>
          <w:tcPr>
            <w:tcW w:w="0" w:type="auto"/>
            <w:tcBorders>
              <w:top w:val="outset" w:color="auto" w:sz="6" w:space="0"/>
              <w:left w:val="nil"/>
              <w:bottom w:val="outset" w:color="auto" w:sz="6" w:space="0"/>
              <w:right w:val="outset" w:color="auto" w:sz="6" w:space="0"/>
            </w:tcBorders>
            <w:shd w:val="clear"/>
            <w:vAlign w:val="center"/>
          </w:tcPr>
          <w:p>
            <w:pPr>
              <w:rPr>
                <w:rFonts w:hint="eastAsia" w:ascii="宋体"/>
                <w:sz w:val="24"/>
                <w:szCs w:val="24"/>
              </w:rPr>
            </w:pPr>
          </w:p>
        </w:tc>
        <w:tc>
          <w:tcPr>
            <w:tcW w:w="0" w:type="auto"/>
            <w:tcBorders>
              <w:top w:val="outset" w:color="auto" w:sz="6" w:space="0"/>
              <w:left w:val="nil"/>
              <w:bottom w:val="outset" w:color="auto" w:sz="6" w:space="0"/>
              <w:right w:val="outset" w:color="auto" w:sz="6" w:space="0"/>
            </w:tcBorders>
            <w:shd w:val="clear"/>
            <w:vAlign w:val="center"/>
          </w:tcPr>
          <w:p>
            <w:pPr>
              <w:rPr>
                <w:rFonts w:hint="eastAsia" w:ascii="宋体"/>
                <w:sz w:val="24"/>
                <w:szCs w:val="24"/>
              </w:rPr>
            </w:pPr>
          </w:p>
        </w:tc>
        <w:tc>
          <w:tcPr>
            <w:tcW w:w="2425"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pPr>
              <w:rPr>
                <w:rFonts w:hint="eastAsia" w:ascii="宋体"/>
                <w:sz w:val="24"/>
                <w:szCs w:val="24"/>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NewRomanPSMT">
    <w:altName w:val="Times New Roman"/>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953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2025-09-29T08:53:01Z</dcterms:created>
  <dc:creator>lenovo</dc:creator>
  <cp:lastModifiedBy>可乐家的小七喜</cp:lastModifiedBy>
  <dcterms:modified xsi:type="dcterms:W3CDTF">2025-09-29T08:54:27Z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