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B5E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333333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333333"/>
          <w:kern w:val="0"/>
          <w:sz w:val="44"/>
          <w:szCs w:val="44"/>
          <w:lang w:val="en-US" w:eastAsia="zh-CN" w:bidi="ar"/>
        </w:rPr>
        <w:t>沂源县农业农村局</w:t>
      </w:r>
    </w:p>
    <w:p w14:paraId="3C56185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 w:val="0"/>
          <w:bCs/>
          <w:color w:val="333333"/>
          <w:sz w:val="42"/>
          <w:szCs w:val="42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333333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color w:val="333333"/>
          <w:kern w:val="0"/>
          <w:sz w:val="44"/>
          <w:szCs w:val="44"/>
          <w:lang w:val="en-US" w:eastAsia="zh-CN" w:bidi="ar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color w:val="333333"/>
          <w:kern w:val="0"/>
          <w:sz w:val="44"/>
          <w:szCs w:val="44"/>
          <w:lang w:val="en-US" w:eastAsia="zh-CN" w:bidi="ar"/>
        </w:rPr>
        <w:t>年度政府信息公开工作年度报告</w:t>
      </w:r>
    </w:p>
    <w:p w14:paraId="224B1C9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00" w:lineRule="atLeast"/>
        <w:ind w:left="0" w:right="0" w:firstLine="885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7D09FDC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00" w:lineRule="atLeast"/>
        <w:ind w:left="0" w:right="0" w:firstLine="645"/>
        <w:jc w:val="left"/>
        <w:textAlignment w:val="auto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本年度报告中所列数据的统计期限自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202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1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1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日起，至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202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12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31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日止。如对报告内容有疑问，请与沂源县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农业农村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局联系（地址：沂源县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胜利路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号；邮编：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256100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；电话：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0533-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3242073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；邮箱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fldChar w:fldCharType="begin"/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instrText xml:space="preserve"> HYPERLINK "mailto:yyxnyjbgs@zb.shandong.cn）" </w:instrTex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fldChar w:fldCharType="separate"/>
      </w:r>
      <w:r>
        <w:rPr>
          <w:rStyle w:val="9"/>
          <w:rFonts w:hint="eastAsia" w:ascii="仿宋_GB2312" w:hAnsi="宋体" w:eastAsia="仿宋_GB2312" w:cs="仿宋_GB2312"/>
          <w:i w:val="0"/>
          <w:caps w:val="0"/>
          <w:spacing w:val="0"/>
          <w:sz w:val="32"/>
          <w:szCs w:val="32"/>
          <w:shd w:val="clear" w:color="auto" w:fill="FFFFFF"/>
          <w:lang w:val="en-US"/>
        </w:rPr>
        <w:t>yyx</w:t>
      </w:r>
      <w:r>
        <w:rPr>
          <w:rStyle w:val="9"/>
          <w:rFonts w:hint="eastAsia" w:ascii="仿宋_GB2312" w:hAnsi="宋体" w:eastAsia="仿宋_GB2312" w:cs="仿宋_GB2312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ny</w:t>
      </w:r>
      <w:r>
        <w:rPr>
          <w:rStyle w:val="9"/>
          <w:rFonts w:hint="eastAsia" w:ascii="仿宋_GB2312" w:hAnsi="宋体" w:eastAsia="仿宋_GB2312" w:cs="仿宋_GB2312"/>
          <w:i w:val="0"/>
          <w:caps w:val="0"/>
          <w:spacing w:val="0"/>
          <w:sz w:val="32"/>
          <w:szCs w:val="32"/>
          <w:shd w:val="clear" w:color="auto" w:fill="FFFFFF"/>
          <w:lang w:val="en-US"/>
        </w:rPr>
        <w:t>jbgs@zb.shandong.cn</w:t>
      </w:r>
      <w:r>
        <w:rPr>
          <w:rStyle w:val="9"/>
          <w:rFonts w:hint="eastAsia" w:ascii="仿宋_GB2312" w:hAnsi="宋体" w:eastAsia="仿宋_GB2312" w:cs="仿宋_GB2312"/>
          <w:i w:val="0"/>
          <w:caps w:val="0"/>
          <w:spacing w:val="0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fldChar w:fldCharType="end"/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4C86C65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00" w:lineRule="atLeast"/>
        <w:ind w:left="0" w:right="0" w:firstLine="645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一、总体情况</w:t>
      </w:r>
    </w:p>
    <w:p w14:paraId="05ACE6A5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县农业农村局</w:t>
      </w:r>
      <w:r>
        <w:rPr>
          <w:rFonts w:hint="eastAsia" w:ascii="仿宋_GB2312" w:eastAsia="仿宋_GB2312"/>
          <w:sz w:val="32"/>
          <w:szCs w:val="32"/>
        </w:rPr>
        <w:t>局严格按照《中华人民共和国政府信息公开条例》要求，坚持“以公开为常态，不公开为例外”原则，进一步强化政务信息采集和审核，不断推进</w:t>
      </w:r>
      <w:r>
        <w:rPr>
          <w:rFonts w:hint="eastAsia" w:ascii="仿宋_GB2312" w:eastAsia="仿宋_GB2312"/>
          <w:sz w:val="32"/>
          <w:szCs w:val="32"/>
          <w:lang w:eastAsia="zh-CN"/>
        </w:rPr>
        <w:t>农业农村</w:t>
      </w:r>
      <w:r>
        <w:rPr>
          <w:rFonts w:hint="eastAsia" w:ascii="仿宋_GB2312" w:eastAsia="仿宋_GB2312"/>
          <w:sz w:val="32"/>
          <w:szCs w:val="32"/>
        </w:rPr>
        <w:t>领域政府信息公开工作标准化、规范化。</w:t>
      </w:r>
    </w:p>
    <w:p w14:paraId="067520F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left="0" w:right="0" w:firstLine="645"/>
        <w:textAlignment w:val="auto"/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(一)主动公开</w:t>
      </w:r>
    </w:p>
    <w:p w14:paraId="16FC6B6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县农业农村</w:t>
      </w:r>
      <w:r>
        <w:rPr>
          <w:rFonts w:hint="eastAsia" w:ascii="仿宋_GB2312" w:eastAsia="仿宋_GB2312"/>
          <w:sz w:val="32"/>
          <w:szCs w:val="32"/>
        </w:rPr>
        <w:t>局围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绕乡村振兴、农业产业发展等重点领域，加大信息公开力度，</w:t>
      </w:r>
      <w:r>
        <w:rPr>
          <w:rFonts w:hint="eastAsia" w:ascii="仿宋_GB2312" w:eastAsia="仿宋_GB2312"/>
          <w:sz w:val="32"/>
          <w:szCs w:val="32"/>
        </w:rPr>
        <w:t>严格履行审批程序，按照全面、准确的原则公布有关内容。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年在沂源县政府网站主动公开政府信息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条，其中机构职能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类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条、政策法规类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条、建议提案类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条、“双随机、一公开”类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条、管理和服务类1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条、乡村振兴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类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条、其他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类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条。</w: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9D02D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atLeast"/>
        <w:ind w:left="0" w:righ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drawing>
          <wp:inline distT="0" distB="0" distL="114300" distR="114300">
            <wp:extent cx="4572000" cy="2743200"/>
            <wp:effectExtent l="4445" t="4445" r="14605" b="1460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096AAA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left="0" w:right="0" w:firstLine="645"/>
        <w:textAlignment w:val="auto"/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（二）依申请公开</w:t>
      </w:r>
    </w:p>
    <w:p w14:paraId="2F88BBF9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，县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农业农村局共受理依申请公开2件，申请人全部为自然人，内容主要涉及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承包地确权登记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、畜牧养殖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等方面，均予以公开，2件依申请公开已全</w:t>
      </w:r>
      <w:r>
        <w:rPr>
          <w:rFonts w:hint="eastAsia" w:ascii="仿宋_GB2312" w:eastAsia="仿宋_GB2312"/>
          <w:sz w:val="32"/>
          <w:szCs w:val="32"/>
        </w:rPr>
        <w:t>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</w:t>
      </w:r>
      <w:r>
        <w:rPr>
          <w:rFonts w:hint="eastAsia" w:ascii="仿宋_GB2312" w:eastAsia="仿宋_GB2312"/>
          <w:sz w:val="32"/>
          <w:szCs w:val="32"/>
        </w:rPr>
        <w:t>规定时限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内严格按照</w:t>
      </w:r>
      <w:r>
        <w:rPr>
          <w:rFonts w:hint="eastAsia" w:ascii="仿宋_GB2312" w:eastAsia="仿宋_GB2312"/>
          <w:sz w:val="32"/>
          <w:szCs w:val="32"/>
        </w:rPr>
        <w:t>格式规范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详细</w:t>
      </w:r>
      <w:r>
        <w:rPr>
          <w:rFonts w:hint="eastAsia" w:ascii="仿宋_GB2312" w:eastAsia="仿宋_GB2312"/>
          <w:sz w:val="32"/>
          <w:szCs w:val="32"/>
        </w:rPr>
        <w:t>答复申请人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187BB4DB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left="0" w:right="0" w:firstLine="645"/>
        <w:textAlignment w:val="auto"/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政府信息管理</w:t>
      </w:r>
    </w:p>
    <w:p w14:paraId="201AE6DB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县农业农村局高度重视政府信息公开工作，按照“谁主管、谁负责”的原则，层层压实责任，将工作任务分解到相关科室、落实到具体责任人，形成上下联动、齐抓共管的工作格局。同时，加强业务培训，组织干部职工学习《条例》以及省、市、县相关文件精神，提高工作人员的能力水平和工作素养。</w:t>
      </w:r>
    </w:p>
    <w:p w14:paraId="4479308C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 w14:paraId="6BA11A22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 w14:paraId="5B6B9DBA">
      <w:pPr>
        <w:spacing w:line="240" w:lineRule="auto"/>
        <w:jc w:val="center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3654425" cy="3590290"/>
            <wp:effectExtent l="0" t="0" r="3175" b="10160"/>
            <wp:docPr id="7" name="图片 7" descr="3034920d69c4d0c505cf7def8ad0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034920d69c4d0c505cf7def8ad09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4425" cy="359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791DE">
      <w:pPr>
        <w:spacing w:line="600" w:lineRule="exac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 w14:paraId="1C01012A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left="0" w:leftChars="0" w:right="0" w:firstLine="645" w:firstLineChars="0"/>
        <w:textAlignment w:val="auto"/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政府信息公开平台建设</w:t>
      </w:r>
    </w:p>
    <w:p w14:paraId="5AD0D95D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依托县政府门户网站、新闻媒体、政务公开栏等平台，全方位、多渠道发布政府信息。在县政府门户网站及时发布政策文件、工作动态、财政资金、涉农补贴等信息；通过新闻媒体推送农业技术指导、农产品市场行情等内容，方便群众随时随地获取信息；此外，还积极到田间地头为群众答疑解惑，发放宣传资料，进一步扩大信息公开的覆盖面和影响力。</w:t>
      </w:r>
    </w:p>
    <w:p w14:paraId="66436C87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 w14:paraId="0DEC6797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 w14:paraId="6AE7B0E5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 w14:paraId="72959DA4"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1900555" cy="5735320"/>
            <wp:effectExtent l="0" t="0" r="4445" b="17780"/>
            <wp:docPr id="4" name="图片 4" descr="46c35e43f933671620ff74002ab38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6c35e43f933671620ff74002ab38c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573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2058035" cy="5697855"/>
            <wp:effectExtent l="0" t="0" r="18415" b="17145"/>
            <wp:docPr id="5" name="图片 5" descr="0627adf157ccda31afa2db1522bb2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627adf157ccda31afa2db1522bb2e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569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AB21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left="645" w:leftChars="0" w:right="0" w:righ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5454F5F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left="645" w:leftChars="0" w:right="0" w:righ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287BE53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left="645" w:leftChars="0" w:right="0" w:righ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421E380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left="645" w:leftChars="0" w:right="0" w:righ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6B5F56B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left="645" w:leftChars="0" w:right="0" w:righ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4CDC9F0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left="645" w:leftChars="0" w:right="0" w:righ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7D62E8A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rightChars="0"/>
        <w:textAlignment w:val="auto"/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  </w:t>
      </w:r>
    </w:p>
    <w:p w14:paraId="2317CBD2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00" w:lineRule="atLeast"/>
        <w:ind w:left="0" w:right="0" w:firstLine="645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shd w:val="clear" w:color="auto" w:fill="FFFFFF"/>
        </w:rPr>
        <w:t>监督保障</w:t>
      </w:r>
    </w:p>
    <w:p w14:paraId="22AB972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进一步完善政府信息公开工作领导小组工作机制，厘清工作职责，严格工作流程，尤其是定期公开公示农业农村领域重点工作动态、涉农补贴发放等内容，满足回应群众需要。进一步强化政务公开工作人员的能力素质培训和监督检查工作，对未按要求开展政府信息公开工作的予以督促整改或通报批评。</w:t>
      </w:r>
    </w:p>
    <w:p w14:paraId="232026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  <w:shd w:val="clear" w:color="auto" w:fill="FFFFFF"/>
        </w:rPr>
        <w:sectPr>
          <w:pgSz w:w="11906" w:h="16838"/>
          <w:pgMar w:top="1440" w:right="1576" w:bottom="1440" w:left="1576" w:header="851" w:footer="992" w:gutter="0"/>
          <w:cols w:space="425" w:num="1"/>
          <w:docGrid w:type="lines" w:linePitch="312" w:charSpace="0"/>
        </w:sectPr>
      </w:pPr>
    </w:p>
    <w:p w14:paraId="2DA414E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atLeast"/>
        <w:ind w:firstLine="64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13965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50"/>
        <w:gridCol w:w="2998"/>
        <w:gridCol w:w="2763"/>
        <w:gridCol w:w="2854"/>
      </w:tblGrid>
      <w:tr w14:paraId="4E03C75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41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02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第二十条第（一）项</w:t>
            </w:r>
          </w:p>
        </w:tc>
      </w:tr>
      <w:tr w14:paraId="11AA63C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72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信息内容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8B7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本年制发件数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7DA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本年废止件数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C40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现行有效件数</w:t>
            </w:r>
          </w:p>
        </w:tc>
      </w:tr>
      <w:tr w14:paraId="0E92D691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3C8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规章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E8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　　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EEF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 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B8F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　0</w:t>
            </w:r>
          </w:p>
        </w:tc>
      </w:tr>
      <w:tr w14:paraId="6CBAFD6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827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规范性文件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E73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　　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9D7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 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AAE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　0</w:t>
            </w:r>
          </w:p>
        </w:tc>
      </w:tr>
      <w:tr w14:paraId="041DB68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1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0BA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第二十条第（五）项</w:t>
            </w:r>
          </w:p>
        </w:tc>
      </w:tr>
      <w:tr w14:paraId="4348C79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C94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信息内容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4D6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18"/>
                <w:szCs w:val="18"/>
              </w:rPr>
              <w:t>本年处理决定数量</w:t>
            </w:r>
          </w:p>
        </w:tc>
      </w:tr>
      <w:tr w14:paraId="2AB494B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EEA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行政许可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1D1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0"/>
                <w:sz w:val="18"/>
                <w:szCs w:val="18"/>
                <w:lang w:val="en-US" w:eastAsia="zh-CN"/>
              </w:rPr>
              <w:t>36102</w:t>
            </w:r>
          </w:p>
        </w:tc>
      </w:tr>
      <w:tr w14:paraId="16294ED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1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CC7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第二十条第（六）项</w:t>
            </w:r>
          </w:p>
        </w:tc>
      </w:tr>
      <w:tr w14:paraId="25BEC29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BBE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信息内容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13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本年处理决定数量</w:t>
            </w:r>
          </w:p>
        </w:tc>
      </w:tr>
      <w:tr w14:paraId="7CAFEE1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1BB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行政处罚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A16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EB1648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C9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行政强制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758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</w:tr>
      <w:tr w14:paraId="2173FCB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1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A0C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第二十条第（八）项</w:t>
            </w:r>
          </w:p>
        </w:tc>
      </w:tr>
      <w:tr w14:paraId="16C60AE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4D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  <w:p w14:paraId="72BDF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95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信息内容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C7F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95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本年收费金额（单位：万元）</w:t>
            </w:r>
          </w:p>
        </w:tc>
      </w:tr>
      <w:tr w14:paraId="0CDF3C4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462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行政事业性收费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383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0</w:t>
            </w:r>
          </w:p>
        </w:tc>
      </w:tr>
    </w:tbl>
    <w:p w14:paraId="5B0F1F3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atLeas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  <w:shd w:val="clear" w:color="auto" w:fill="FFFFFF"/>
        </w:rPr>
      </w:pPr>
    </w:p>
    <w:p w14:paraId="4DB16B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atLeas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  <w:shd w:val="clear" w:color="auto" w:fill="FFFFFF"/>
        </w:rPr>
      </w:pPr>
    </w:p>
    <w:p w14:paraId="4A90BCC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atLeas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  <w:shd w:val="clear" w:color="auto" w:fill="FFFFFF"/>
        </w:rPr>
      </w:pPr>
    </w:p>
    <w:p w14:paraId="439F5F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atLeas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  <w:shd w:val="clear" w:color="auto" w:fill="FFFFFF"/>
        </w:rPr>
      </w:pPr>
    </w:p>
    <w:p w14:paraId="5760A7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atLeast"/>
        <w:ind w:firstLine="562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864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2646"/>
        <w:gridCol w:w="620"/>
        <w:gridCol w:w="639"/>
        <w:gridCol w:w="607"/>
        <w:gridCol w:w="767"/>
        <w:gridCol w:w="647"/>
        <w:gridCol w:w="523"/>
        <w:gridCol w:w="619"/>
        <w:gridCol w:w="143"/>
      </w:tblGrid>
      <w:tr w14:paraId="6B8503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" w:type="dxa"/>
          <w:trHeight w:val="375" w:hRule="atLeast"/>
          <w:jc w:val="center"/>
        </w:trPr>
        <w:tc>
          <w:tcPr>
            <w:tcW w:w="407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6E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422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1E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16643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" w:type="dxa"/>
          <w:trHeight w:val="375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5EB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D2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18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ED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19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5E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68EC4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" w:type="dxa"/>
          <w:trHeight w:val="1125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3F3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BD9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C0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A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7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96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B9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A8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8876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10F2C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" w:type="dxa"/>
          <w:trHeight w:val="375" w:hRule="atLeast"/>
          <w:jc w:val="center"/>
        </w:trPr>
        <w:tc>
          <w:tcPr>
            <w:tcW w:w="407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5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AE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80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5E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FD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F7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4C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FD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36A7D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" w:type="dxa"/>
          <w:trHeight w:val="375" w:hRule="atLeast"/>
          <w:jc w:val="center"/>
        </w:trPr>
        <w:tc>
          <w:tcPr>
            <w:tcW w:w="407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2F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14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D2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22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26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2E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31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BD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 w14:paraId="39F04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" w:type="dxa"/>
          <w:trHeight w:val="375" w:hRule="atLeast"/>
          <w:jc w:val="center"/>
        </w:trPr>
        <w:tc>
          <w:tcPr>
            <w:tcW w:w="6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FF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D8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9E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1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FC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BA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16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55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E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89E2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" w:type="dxa"/>
          <w:trHeight w:val="112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DEA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44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33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4C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60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A9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A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10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74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21892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3FE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6C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D2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0C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00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5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1F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72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10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8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51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</w:tc>
      </w:tr>
      <w:tr w14:paraId="3674A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AC2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84A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F4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AD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EE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84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6D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D0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14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67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1A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</w:tc>
      </w:tr>
      <w:tr w14:paraId="3A473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B69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798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83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4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72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F4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3F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D8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CF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3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8F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</w:tc>
      </w:tr>
      <w:tr w14:paraId="7285F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3D5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7D5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D9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80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C7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80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71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97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67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6C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7C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</w:tc>
      </w:tr>
      <w:tr w14:paraId="04043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F4E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9BEA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5E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75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5A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18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94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15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27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ED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3F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</w:tc>
      </w:tr>
      <w:tr w14:paraId="71614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E76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4BD3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A7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0A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E6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A6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3B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AE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EF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2F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60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</w:tc>
      </w:tr>
      <w:tr w14:paraId="0057C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482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7B88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C9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3D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28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9F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AD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BE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03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78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BD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</w:tc>
      </w:tr>
      <w:tr w14:paraId="16119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139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73F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AD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73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E9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B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2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BD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2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97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C6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</w:tc>
      </w:tr>
      <w:tr w14:paraId="2D5A8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6AD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DC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9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BF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C0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81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7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E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5F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10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50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</w:tc>
      </w:tr>
      <w:tr w14:paraId="5497D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091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E8F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D5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2E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1F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F4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0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F9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DC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65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38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</w:tc>
      </w:tr>
      <w:tr w14:paraId="4D765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D32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F25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98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2E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57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E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EE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79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C1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30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2F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</w:tc>
      </w:tr>
      <w:tr w14:paraId="75980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086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2C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CA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F4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4E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28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7B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46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84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D4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04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</w:tc>
      </w:tr>
      <w:tr w14:paraId="4FA4C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5FE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D11A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9A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FD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C1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F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76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1E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F8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19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30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</w:tc>
      </w:tr>
      <w:tr w14:paraId="2276C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AA0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1766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7D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4C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29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06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92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D3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D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06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09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</w:tc>
      </w:tr>
      <w:tr w14:paraId="7BD57E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BBE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931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27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33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7C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13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7B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3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5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35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A1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</w:tc>
      </w:tr>
      <w:tr w14:paraId="0EBDB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594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A2B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86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42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0C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96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3F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2C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E5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AF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D5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</w:tc>
      </w:tr>
      <w:tr w14:paraId="45D12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4C5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48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00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E3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66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B6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06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98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38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DD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F171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</w:pPr>
          </w:p>
        </w:tc>
      </w:tr>
      <w:tr w14:paraId="39CBD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464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6E661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85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2、申请人逾期未按收费通知要求缴纳费用、行政机关不再处理其政府信息公开申请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D9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E5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73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3F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DC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CB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E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0" w:type="auto"/>
            <w:vAlign w:val="center"/>
          </w:tcPr>
          <w:p w14:paraId="02990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</w:pPr>
          </w:p>
        </w:tc>
      </w:tr>
      <w:tr w14:paraId="3D6C0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D73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3570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2C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3、其他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BD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AC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78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C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EB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0F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90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0" w:type="auto"/>
            <w:vAlign w:val="center"/>
          </w:tcPr>
          <w:p w14:paraId="6FEDE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</w:pPr>
          </w:p>
        </w:tc>
      </w:tr>
      <w:tr w14:paraId="6E0BB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A980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3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0B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37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A4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AF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C6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EB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FA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95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3F997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</w:pPr>
          </w:p>
        </w:tc>
      </w:tr>
      <w:tr w14:paraId="2FCED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407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00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48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C9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4F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A8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6D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23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76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 0</w:t>
            </w:r>
          </w:p>
        </w:tc>
        <w:tc>
          <w:tcPr>
            <w:tcW w:w="0" w:type="auto"/>
            <w:vAlign w:val="center"/>
          </w:tcPr>
          <w:p w14:paraId="4EA4E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</w:pPr>
          </w:p>
        </w:tc>
      </w:tr>
    </w:tbl>
    <w:p w14:paraId="57F8FA4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atLeast"/>
        <w:ind w:firstLine="562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  <w:shd w:val="clear" w:color="auto" w:fill="FFFFFF"/>
        </w:rPr>
      </w:pPr>
    </w:p>
    <w:p w14:paraId="12E4FA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atLeast"/>
        <w:ind w:firstLine="562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  <w:shd w:val="clear" w:color="auto" w:fill="FFFFFF"/>
        </w:rPr>
      </w:pPr>
    </w:p>
    <w:p w14:paraId="5B31180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atLeast"/>
        <w:ind w:firstLine="562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  <w:shd w:val="clear" w:color="auto" w:fill="FFFFFF"/>
        </w:rPr>
      </w:pPr>
    </w:p>
    <w:p w14:paraId="457744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atLeast"/>
        <w:ind w:firstLine="562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  <w:shd w:val="clear" w:color="auto" w:fill="FFFFFF"/>
        </w:rPr>
      </w:pPr>
    </w:p>
    <w:p w14:paraId="40C5373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atLeast"/>
        <w:ind w:firstLine="562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  <w:shd w:val="clear" w:color="auto" w:fill="FFFFFF"/>
        </w:rPr>
      </w:pPr>
    </w:p>
    <w:p w14:paraId="7A1AB86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atLeast"/>
        <w:ind w:firstLine="562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  <w:shd w:val="clear" w:color="auto" w:fill="FFFFFF"/>
        </w:rPr>
      </w:pPr>
    </w:p>
    <w:p w14:paraId="371AB5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atLeast"/>
        <w:ind w:firstLine="562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  <w:shd w:val="clear" w:color="auto" w:fill="FFFFFF"/>
        </w:rPr>
      </w:pPr>
    </w:p>
    <w:p w14:paraId="07BF8A5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atLeast"/>
        <w:ind w:firstLine="56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1396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800"/>
        <w:gridCol w:w="800"/>
        <w:gridCol w:w="800"/>
        <w:gridCol w:w="1353"/>
        <w:gridCol w:w="800"/>
        <w:gridCol w:w="800"/>
        <w:gridCol w:w="800"/>
        <w:gridCol w:w="800"/>
        <w:gridCol w:w="1353"/>
        <w:gridCol w:w="800"/>
        <w:gridCol w:w="817"/>
        <w:gridCol w:w="817"/>
        <w:gridCol w:w="817"/>
        <w:gridCol w:w="1608"/>
      </w:tblGrid>
      <w:tr w14:paraId="2A8E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44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D7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行政复议</w:t>
            </w:r>
          </w:p>
        </w:tc>
        <w:tc>
          <w:tcPr>
            <w:tcW w:w="9099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B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行政诉讼</w:t>
            </w:r>
          </w:p>
        </w:tc>
      </w:tr>
      <w:tr w14:paraId="66278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D3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结果维持</w:t>
            </w: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20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结果纠正</w:t>
            </w:r>
          </w:p>
        </w:tc>
        <w:tc>
          <w:tcPr>
            <w:tcW w:w="7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FE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其他结果</w:t>
            </w:r>
          </w:p>
        </w:tc>
        <w:tc>
          <w:tcPr>
            <w:tcW w:w="7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25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尚未审结</w:t>
            </w:r>
          </w:p>
        </w:tc>
        <w:tc>
          <w:tcPr>
            <w:tcW w:w="38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2C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总计</w:t>
            </w:r>
          </w:p>
        </w:tc>
        <w:tc>
          <w:tcPr>
            <w:tcW w:w="440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98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未经复议直接起诉</w:t>
            </w:r>
          </w:p>
        </w:tc>
        <w:tc>
          <w:tcPr>
            <w:tcW w:w="446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8F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复议后起诉</w:t>
            </w:r>
          </w:p>
        </w:tc>
      </w:tr>
      <w:tr w14:paraId="4D08D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474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F5C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DAD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D52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4A1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31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结果维持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BF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结果纠正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EF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其他结果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E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尚未审结</w:t>
            </w:r>
          </w:p>
        </w:tc>
        <w:tc>
          <w:tcPr>
            <w:tcW w:w="3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8B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总计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A6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结果维持</w:t>
            </w:r>
          </w:p>
        </w:tc>
        <w:tc>
          <w:tcPr>
            <w:tcW w:w="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19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结果纠正</w:t>
            </w:r>
          </w:p>
        </w:tc>
        <w:tc>
          <w:tcPr>
            <w:tcW w:w="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2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其他结果</w:t>
            </w:r>
          </w:p>
        </w:tc>
        <w:tc>
          <w:tcPr>
            <w:tcW w:w="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E3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尚未审结</w:t>
            </w:r>
          </w:p>
        </w:tc>
        <w:tc>
          <w:tcPr>
            <w:tcW w:w="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CB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总计</w:t>
            </w:r>
          </w:p>
        </w:tc>
      </w:tr>
      <w:tr w14:paraId="6D26E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AE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F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2B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D5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8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E7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5A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84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D6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2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E5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E4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67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B7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4F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</w:tr>
    </w:tbl>
    <w:p w14:paraId="41A0FF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</w:rPr>
      </w:pPr>
    </w:p>
    <w:p w14:paraId="0506728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</w:rPr>
      </w:pPr>
    </w:p>
    <w:p w14:paraId="6D4AEA6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</w:rPr>
      </w:pPr>
    </w:p>
    <w:p w14:paraId="50E732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</w:rPr>
      </w:pPr>
    </w:p>
    <w:p w14:paraId="29556C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</w:rPr>
      </w:pPr>
    </w:p>
    <w:p w14:paraId="661DD67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</w:rPr>
      </w:pPr>
    </w:p>
    <w:p w14:paraId="6C70FD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</w:rPr>
      </w:pPr>
    </w:p>
    <w:p w14:paraId="5BF32F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</w:rPr>
      </w:pPr>
    </w:p>
    <w:p w14:paraId="70E5FA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</w:rPr>
      </w:pPr>
    </w:p>
    <w:p w14:paraId="04679F3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</w:rPr>
        <w:sectPr>
          <w:pgSz w:w="16838" w:h="11906" w:orient="landscape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77D522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ind w:firstLine="640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五、存在的主要问题及改进情况</w:t>
      </w:r>
    </w:p>
    <w:p w14:paraId="5F7DC13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（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一）政府信息公开工作存在的主要问题</w:t>
      </w:r>
    </w:p>
    <w:p w14:paraId="771FD5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一是信息公开主动性有待提高，信息公开工作与全局及各科室工作协同性较差，信息公开不够及时；二是信息公开平台建设有待加强，平台信息公开常态化水平距离满足群众需求还有一定差距。</w:t>
      </w:r>
    </w:p>
    <w:p w14:paraId="628DCF0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（二）具体的解决办法和改进措施</w:t>
      </w:r>
    </w:p>
    <w:p w14:paraId="6B58D0A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一是采取健全政务公开信息报送机制、设置专职联络员等方式，进一步增强信息公开工作的主动性、及时性和准确性。二是加强信息公开平台建设，推动信息公开常态化，积极通过县政府网站、沂源融媒等平台进行广泛传播。三是树立创新思维，通过办事指南、明白纸等形式全方位实现信息公开，不断探索视频、图画等更加生动具体的方式进行信息的发布和政策解读，让人民群众更加方便快捷地了解政府信息，更加积极同政府开展交流互动。</w:t>
      </w:r>
    </w:p>
    <w:p w14:paraId="555B30D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ind w:firstLine="640"/>
        <w:jc w:val="left"/>
        <w:textAlignment w:val="auto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</w:rPr>
        <w:t>六、其他需要报告的事项</w:t>
      </w:r>
    </w:p>
    <w:p w14:paraId="2F197EB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600" w:lineRule="atLeast"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</w:rPr>
        <w:t>（一）收取信息处理费的情况</w:t>
      </w:r>
    </w:p>
    <w:p w14:paraId="528DD4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600" w:lineRule="atLeast"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</w:rPr>
        <w:t>本年度没有收取政府信息公开处理费情况。</w:t>
      </w:r>
    </w:p>
    <w:p w14:paraId="6BDB95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600" w:lineRule="atLeast"/>
        <w:ind w:left="-10"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</w:rPr>
        <w:t>（二）落实上级年度政府公开工作要点情况</w:t>
      </w:r>
    </w:p>
    <w:p w14:paraId="139C6DA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2025年度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县农业农村局认真贯彻落实</w:t>
      </w:r>
      <w:r>
        <w:rPr>
          <w:rFonts w:hint="eastAsia" w:ascii="仿宋_GB2312" w:eastAsia="仿宋_GB2312"/>
          <w:sz w:val="32"/>
          <w:szCs w:val="32"/>
        </w:rPr>
        <w:t>《条例》要求，积极主动公开各类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政府</w:t>
      </w:r>
      <w:r>
        <w:rPr>
          <w:rFonts w:hint="eastAsia" w:ascii="仿宋_GB2312" w:eastAsia="仿宋_GB2312"/>
          <w:sz w:val="32"/>
          <w:szCs w:val="32"/>
        </w:rPr>
        <w:t>信息，</w:t>
      </w:r>
      <w:r>
        <w:rPr>
          <w:rFonts w:hint="eastAsia" w:ascii="仿宋_GB2312" w:eastAsia="仿宋_GB2312"/>
          <w:sz w:val="32"/>
          <w:szCs w:val="32"/>
          <w:lang w:eastAsia="zh-CN"/>
        </w:rPr>
        <w:t>注重加强与民众的互动沟通，积极回应民众关切，提高政府工作的透明度。此外，还建立了完善的信息反馈机制，对民众提出的意见和建议认真分析，及时调整工作策略，确保政府信息公开工作更加贴近公众需求。</w:t>
      </w:r>
    </w:p>
    <w:p w14:paraId="3DFC69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600" w:lineRule="atLeast"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</w:rPr>
        <w:t>）人大及政协提案办理结果公开情况</w:t>
      </w:r>
    </w:p>
    <w:p w14:paraId="29BA5AD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6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年共办理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人大、政协提案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件，其中人大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代表</w:t>
      </w:r>
      <w:r>
        <w:rPr>
          <w:rFonts w:hint="eastAsia" w:ascii="仿宋_GB2312" w:eastAsia="仿宋_GB2312"/>
          <w:sz w:val="32"/>
          <w:szCs w:val="32"/>
        </w:rPr>
        <w:t>建议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件、政协提案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件，所有建议提案全部按时保质完成办理答复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和公开</w:t>
      </w:r>
      <w:r>
        <w:rPr>
          <w:rFonts w:hint="eastAsia" w:ascii="仿宋_GB2312" w:eastAsia="仿宋_GB2312"/>
          <w:sz w:val="32"/>
          <w:szCs w:val="32"/>
        </w:rPr>
        <w:t>，答复率、办结率和满意率均为100%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11D86A3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600" w:lineRule="atLeast"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本行政机关年度政务公开工作创新情况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5884F86A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围绕涉农惠农补贴、乡村建设、乡村治理等民生重点，及时公开群众关心的信息。以回应基层群众最强烈的信息需求为出发点，精准对接诉求，加快推进农业农村系统政务公开标准化规范化进程，助力政务公开工作迈上新台阶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 xml:space="preserve">    </w:t>
      </w:r>
    </w:p>
    <w:p w14:paraId="64296025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4B311594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 w14:paraId="67504FDD">
      <w:pPr>
        <w:numPr>
          <w:ilvl w:val="0"/>
          <w:numId w:val="0"/>
        </w:numPr>
        <w:wordWrap w:val="0"/>
        <w:spacing w:line="600" w:lineRule="exact"/>
        <w:ind w:firstLine="640" w:firstLineChars="20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沂源县农业农村局    </w:t>
      </w:r>
    </w:p>
    <w:p w14:paraId="316DE1A5">
      <w:pPr>
        <w:numPr>
          <w:ilvl w:val="0"/>
          <w:numId w:val="0"/>
        </w:numPr>
        <w:spacing w:line="60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2026年1月22日    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               </w:t>
      </w:r>
    </w:p>
    <w:sectPr>
      <w:pgSz w:w="11906" w:h="16838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47AA6"/>
    <w:multiLevelType w:val="singleLevel"/>
    <w:tmpl w:val="87847AA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AC6CA56"/>
    <w:multiLevelType w:val="singleLevel"/>
    <w:tmpl w:val="7AC6CA56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ZTZlZTA2ODdiNWMwZWQ3NzE1YzM4YzljOTg4ZTMifQ=="/>
  </w:docVars>
  <w:rsids>
    <w:rsidRoot w:val="00B17415"/>
    <w:rsid w:val="00050B11"/>
    <w:rsid w:val="00112AFA"/>
    <w:rsid w:val="001E7E7A"/>
    <w:rsid w:val="00202044"/>
    <w:rsid w:val="009824A3"/>
    <w:rsid w:val="00B17415"/>
    <w:rsid w:val="00CF597A"/>
    <w:rsid w:val="016025FC"/>
    <w:rsid w:val="02DA2914"/>
    <w:rsid w:val="033276FD"/>
    <w:rsid w:val="039C57C0"/>
    <w:rsid w:val="06F44529"/>
    <w:rsid w:val="08CC0577"/>
    <w:rsid w:val="09681DAF"/>
    <w:rsid w:val="0AB80A33"/>
    <w:rsid w:val="0AE61DC8"/>
    <w:rsid w:val="0B42246A"/>
    <w:rsid w:val="0BDF6813"/>
    <w:rsid w:val="0CB80938"/>
    <w:rsid w:val="0CDA0F56"/>
    <w:rsid w:val="0D244747"/>
    <w:rsid w:val="0ED65425"/>
    <w:rsid w:val="0EFC234E"/>
    <w:rsid w:val="0F1F029D"/>
    <w:rsid w:val="0F3C498A"/>
    <w:rsid w:val="0F7F4702"/>
    <w:rsid w:val="0FBC30F4"/>
    <w:rsid w:val="111A73BD"/>
    <w:rsid w:val="128359F0"/>
    <w:rsid w:val="137A15EE"/>
    <w:rsid w:val="13862927"/>
    <w:rsid w:val="13D35D65"/>
    <w:rsid w:val="14882283"/>
    <w:rsid w:val="149F2FE4"/>
    <w:rsid w:val="14BE790E"/>
    <w:rsid w:val="150A4901"/>
    <w:rsid w:val="15EF1193"/>
    <w:rsid w:val="181635BD"/>
    <w:rsid w:val="186B56B7"/>
    <w:rsid w:val="193649C0"/>
    <w:rsid w:val="1AC20A83"/>
    <w:rsid w:val="1B034A5B"/>
    <w:rsid w:val="1C833619"/>
    <w:rsid w:val="1CED6FE2"/>
    <w:rsid w:val="1E1A6736"/>
    <w:rsid w:val="1E733517"/>
    <w:rsid w:val="1EBB46C1"/>
    <w:rsid w:val="1FC658C9"/>
    <w:rsid w:val="1FF93FAE"/>
    <w:rsid w:val="20930CA5"/>
    <w:rsid w:val="20AA7E75"/>
    <w:rsid w:val="21C66054"/>
    <w:rsid w:val="224D4988"/>
    <w:rsid w:val="24973CD7"/>
    <w:rsid w:val="25AD3134"/>
    <w:rsid w:val="260B672B"/>
    <w:rsid w:val="28956780"/>
    <w:rsid w:val="28BD0DC3"/>
    <w:rsid w:val="28EB63A0"/>
    <w:rsid w:val="2A4E1F42"/>
    <w:rsid w:val="2A962357"/>
    <w:rsid w:val="2B601D35"/>
    <w:rsid w:val="2B6F1E4E"/>
    <w:rsid w:val="2C434664"/>
    <w:rsid w:val="2CFF3C04"/>
    <w:rsid w:val="2F1607DA"/>
    <w:rsid w:val="2F356E2B"/>
    <w:rsid w:val="2F4A1338"/>
    <w:rsid w:val="3019464C"/>
    <w:rsid w:val="302A5A00"/>
    <w:rsid w:val="31B51327"/>
    <w:rsid w:val="32506F70"/>
    <w:rsid w:val="331A61FF"/>
    <w:rsid w:val="333A0650"/>
    <w:rsid w:val="33521553"/>
    <w:rsid w:val="33A20671"/>
    <w:rsid w:val="34DC6A8E"/>
    <w:rsid w:val="357A2DF7"/>
    <w:rsid w:val="35CE7449"/>
    <w:rsid w:val="35E91630"/>
    <w:rsid w:val="36B50719"/>
    <w:rsid w:val="370E37E9"/>
    <w:rsid w:val="3764115B"/>
    <w:rsid w:val="380A1087"/>
    <w:rsid w:val="38440E1B"/>
    <w:rsid w:val="39B822CE"/>
    <w:rsid w:val="39BA53ED"/>
    <w:rsid w:val="39D215E2"/>
    <w:rsid w:val="3AE55B59"/>
    <w:rsid w:val="3BAA159A"/>
    <w:rsid w:val="3EB63280"/>
    <w:rsid w:val="40185875"/>
    <w:rsid w:val="402D23C3"/>
    <w:rsid w:val="41175B2C"/>
    <w:rsid w:val="412713A1"/>
    <w:rsid w:val="41CE6B33"/>
    <w:rsid w:val="422E5E31"/>
    <w:rsid w:val="45530AB9"/>
    <w:rsid w:val="463E3B5B"/>
    <w:rsid w:val="47017C1E"/>
    <w:rsid w:val="48F36E7F"/>
    <w:rsid w:val="4A1452FF"/>
    <w:rsid w:val="4A6F057D"/>
    <w:rsid w:val="4B854963"/>
    <w:rsid w:val="4C0250D1"/>
    <w:rsid w:val="4C211F55"/>
    <w:rsid w:val="4C7B45E5"/>
    <w:rsid w:val="4C8E7C8C"/>
    <w:rsid w:val="4D7560B4"/>
    <w:rsid w:val="4DC93B84"/>
    <w:rsid w:val="4E173610"/>
    <w:rsid w:val="4F4C553B"/>
    <w:rsid w:val="503E026A"/>
    <w:rsid w:val="509E4251"/>
    <w:rsid w:val="50AB73B1"/>
    <w:rsid w:val="51805EFD"/>
    <w:rsid w:val="5349426B"/>
    <w:rsid w:val="541A1764"/>
    <w:rsid w:val="550F5041"/>
    <w:rsid w:val="55A75279"/>
    <w:rsid w:val="55CD7B80"/>
    <w:rsid w:val="574A2360"/>
    <w:rsid w:val="57C21FB3"/>
    <w:rsid w:val="57DA7B88"/>
    <w:rsid w:val="57F95F50"/>
    <w:rsid w:val="59170968"/>
    <w:rsid w:val="5A987886"/>
    <w:rsid w:val="5B4F68FA"/>
    <w:rsid w:val="5B8C3E41"/>
    <w:rsid w:val="5CA42512"/>
    <w:rsid w:val="5D75075A"/>
    <w:rsid w:val="5F3538F6"/>
    <w:rsid w:val="5F5E7D90"/>
    <w:rsid w:val="5FE430D0"/>
    <w:rsid w:val="62157A0E"/>
    <w:rsid w:val="63190D62"/>
    <w:rsid w:val="63D9527F"/>
    <w:rsid w:val="64BE5FF1"/>
    <w:rsid w:val="66587CBC"/>
    <w:rsid w:val="670E5C89"/>
    <w:rsid w:val="671A5F0E"/>
    <w:rsid w:val="673713F9"/>
    <w:rsid w:val="6805764C"/>
    <w:rsid w:val="68152516"/>
    <w:rsid w:val="68EF720B"/>
    <w:rsid w:val="69804FC8"/>
    <w:rsid w:val="69E90839"/>
    <w:rsid w:val="6AF84E5C"/>
    <w:rsid w:val="6B3B7692"/>
    <w:rsid w:val="6B855C05"/>
    <w:rsid w:val="6C0E1756"/>
    <w:rsid w:val="6D360FD1"/>
    <w:rsid w:val="6DD91101"/>
    <w:rsid w:val="6E596530"/>
    <w:rsid w:val="6F7F120F"/>
    <w:rsid w:val="6FC3303F"/>
    <w:rsid w:val="6FF32E91"/>
    <w:rsid w:val="70C01811"/>
    <w:rsid w:val="719E357C"/>
    <w:rsid w:val="73324358"/>
    <w:rsid w:val="73641E56"/>
    <w:rsid w:val="737D1EC1"/>
    <w:rsid w:val="73B4572B"/>
    <w:rsid w:val="75777D67"/>
    <w:rsid w:val="768E198A"/>
    <w:rsid w:val="777D7908"/>
    <w:rsid w:val="78236589"/>
    <w:rsid w:val="79B66E28"/>
    <w:rsid w:val="7B6351C6"/>
    <w:rsid w:val="7B902188"/>
    <w:rsid w:val="7C35492A"/>
    <w:rsid w:val="7C3D3F9D"/>
    <w:rsid w:val="7CB53682"/>
    <w:rsid w:val="7CBA747C"/>
    <w:rsid w:val="7D5E0407"/>
    <w:rsid w:val="7DE95B7F"/>
    <w:rsid w:val="7FE93FC3"/>
    <w:rsid w:val="7FFB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details-release-date"/>
    <w:basedOn w:val="7"/>
    <w:qFormat/>
    <w:uiPriority w:val="0"/>
  </w:style>
  <w:style w:type="character" w:customStyle="1" w:styleId="12">
    <w:name w:val="批注框文本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6032;&#24314;%20XLSX%20&#24037;&#20316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'[新建 XLSX 工作表.xlsx]Sheet1'!$K$20</c:f>
              <c:strCache>
                <c:ptCount val="1"/>
                <c:pt idx="0">
                  <c:v>总和("条数")</c:v>
                </c:pt>
              </c:strCache>
            </c:strRef>
          </c:tx>
          <c:spPr>
            <a:solidFill>
              <a:srgbClr val="387EDB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'[新建 XLSX 工作表.xlsx]Sheet1'!$L$19:$R$19</c:f>
              <c:strCache>
                <c:ptCount val="7"/>
                <c:pt idx="0">
                  <c:v>政策法规类</c:v>
                </c:pt>
                <c:pt idx="1">
                  <c:v>乡村振兴类</c:v>
                </c:pt>
                <c:pt idx="2">
                  <c:v>建议提案类</c:v>
                </c:pt>
                <c:pt idx="3">
                  <c:v>管理和服务类</c:v>
                </c:pt>
                <c:pt idx="4">
                  <c:v>其他</c:v>
                </c:pt>
                <c:pt idx="5">
                  <c:v>“双随机、一公开”类</c:v>
                </c:pt>
                <c:pt idx="6">
                  <c:v>机构职能类</c:v>
                </c:pt>
              </c:strCache>
            </c:strRef>
          </c:cat>
          <c:val>
            <c:numRef>
              <c:f>'[新建 XLSX 工作表.xlsx]Sheet1'!$L$20:$R$20</c:f>
              <c:numCache>
                <c:formatCode>General</c:formatCode>
                <c:ptCount val="7"/>
                <c:pt idx="0">
                  <c:v>31</c:v>
                </c:pt>
                <c:pt idx="1">
                  <c:v>16</c:v>
                </c:pt>
                <c:pt idx="2">
                  <c:v>16</c:v>
                </c:pt>
                <c:pt idx="3">
                  <c:v>15</c:v>
                </c:pt>
                <c:pt idx="4">
                  <c:v>12</c:v>
                </c:pt>
                <c:pt idx="5">
                  <c:v>7</c:v>
                </c:pt>
                <c:pt idx="6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321773975"/>
        <c:axId val="102139884"/>
      </c:barChart>
      <c:catAx>
        <c:axId val="321773975"/>
        <c:scaling>
          <c:orientation val="minMax"/>
        </c:scaling>
        <c:delete val="0"/>
        <c:axPos val="b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7F7F7F">
                    <a:lumMod val="65000"/>
                    <a:lumOff val="35000"/>
                  </a:srgbClr>
                </a:solidFill>
                <a:latin typeface="+mn-lt"/>
                <a:ea typeface="微软雅黑" panose="020B0503020204020204" charset="-122"/>
                <a:cs typeface="+mn-cs"/>
              </a:defRPr>
            </a:pPr>
          </a:p>
        </c:txPr>
        <c:crossAx val="102139884"/>
        <c:crosses val="autoZero"/>
        <c:auto val="1"/>
        <c:lblAlgn val="ctr"/>
        <c:lblOffset val="100"/>
        <c:noMultiLvlLbl val="0"/>
      </c:catAx>
      <c:valAx>
        <c:axId val="1021398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rgbClr val="7F7F7F">
                    <a:lumMod val="65000"/>
                    <a:lumOff val="35000"/>
                  </a:srgbClr>
                </a:solidFill>
                <a:latin typeface="+mn-lt"/>
                <a:ea typeface="微软雅黑" panose="020B0503020204020204" charset="-122"/>
                <a:cs typeface="+mn-cs"/>
              </a:defRPr>
            </a:pPr>
          </a:p>
        </c:txPr>
        <c:crossAx val="3217739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  <c:extLst>
      <c:ext uri="{0b15fc19-7d7d-44ad-8c2d-2c3a37ce22c3}">
        <chartProps xmlns="https://web.wps.cn/et/2018/main" chartId="{4633952d-42e5-44a4-adbf-43a1ec28746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12</Pages>
  <Words>2517</Words>
  <Characters>2617</Characters>
  <Lines>28</Lines>
  <Paragraphs>7</Paragraphs>
  <TotalTime>1</TotalTime>
  <ScaleCrop>false</ScaleCrop>
  <LinksUpToDate>false</LinksUpToDate>
  <CharactersWithSpaces>4567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2023-12-15T08:29:00Z</dcterms:created>
  <dc:creator>微软用户</dc:creator>
  <cp:lastModifiedBy>慧</cp:lastModifiedBy>
  <dcterms:modified xsi:type="dcterms:W3CDTF">2026-02-02T02:40:22Z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2EBD8CEF52B94F13A137614709F27DD6_12</vt:lpwstr>
  </property>
  <property fmtid="{D5CDD505-2E9C-101B-9397-08002B2CF9AE}" pid="4" name="KSOTemplateDocerSaveRecord">
    <vt:lpwstr>eyJoZGlkIjoiMWZkY2FlZmU5ZDNjZTIyMDRhMThhMTcwZjJjYjMyOWUiLCJ1c2VySWQiOiI3NTA2ODk5MTkifQ==</vt:lpwstr>
  </property>
</Properties>
</file>