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b w:val="0"/>
          <w:bCs w:val="0"/>
          <w:color w:val="FF0000"/>
          <w:spacing w:val="-11"/>
          <w:w w:val="40"/>
          <w:sz w:val="32"/>
          <w:szCs w:val="32"/>
          <w:lang w:val="en-US" w:eastAsia="zh-CN"/>
        </w:rPr>
      </w:pPr>
    </w:p>
    <w:p>
      <w:pPr>
        <w:jc w:val="distribute"/>
        <w:rPr>
          <w:rFonts w:hint="eastAsia" w:ascii="方正小标宋简体" w:hAnsi="方正小标宋简体" w:eastAsia="方正小标宋简体" w:cs="方正小标宋简体"/>
          <w:b w:val="0"/>
          <w:bCs w:val="0"/>
          <w:color w:val="FF0000"/>
          <w:spacing w:val="-11"/>
          <w:w w:val="40"/>
          <w:sz w:val="32"/>
          <w:szCs w:val="32"/>
          <w:lang w:val="en-US" w:eastAsia="zh-CN"/>
        </w:rPr>
      </w:pPr>
    </w:p>
    <w:p>
      <w:pPr>
        <w:jc w:val="distribute"/>
        <w:rPr>
          <w:rFonts w:hint="eastAsia" w:ascii="方正小标宋简体" w:hAnsi="方正小标宋简体" w:eastAsia="方正小标宋简体" w:cs="方正小标宋简体"/>
          <w:b w:val="0"/>
          <w:bCs w:val="0"/>
          <w:color w:val="FF0000"/>
          <w:spacing w:val="-11"/>
          <w:w w:val="40"/>
          <w:sz w:val="32"/>
          <w:szCs w:val="32"/>
          <w:lang w:val="en-US" w:eastAsia="zh-CN"/>
        </w:rPr>
      </w:pPr>
    </w:p>
    <w:p>
      <w:pPr>
        <w:jc w:val="distribute"/>
        <w:rPr>
          <w:rFonts w:hint="eastAsia" w:ascii="方正小标宋简体" w:hAnsi="方正小标宋简体" w:eastAsia="方正小标宋简体" w:cs="方正小标宋简体"/>
          <w:b w:val="0"/>
          <w:bCs w:val="0"/>
          <w:color w:val="FF0000"/>
          <w:spacing w:val="-11"/>
          <w:w w:val="40"/>
          <w:sz w:val="32"/>
          <w:szCs w:val="32"/>
          <w:lang w:val="en-US" w:eastAsia="zh-CN"/>
        </w:rPr>
      </w:pPr>
    </w:p>
    <w:p>
      <w:pPr>
        <w:jc w:val="distribute"/>
        <w:rPr>
          <w:rFonts w:hint="eastAsia" w:ascii="方正小标宋简体" w:hAnsi="方正小标宋简体" w:eastAsia="方正小标宋简体" w:cs="方正小标宋简体"/>
          <w:b w:val="0"/>
          <w:bCs w:val="0"/>
          <w:color w:val="FF0000"/>
          <w:spacing w:val="-11"/>
          <w:w w:val="4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9"/>
        <w:rPr>
          <w:rFonts w:hint="eastAsia" w:ascii="方正小标宋简体" w:hAnsi="方正小标宋简体" w:eastAsia="方正小标宋简体" w:cs="方正小标宋简体"/>
          <w:b w:val="0"/>
          <w:bCs w:val="0"/>
          <w:color w:val="FF0000"/>
          <w:spacing w:val="-11"/>
          <w:w w:val="40"/>
          <w:sz w:val="130"/>
          <w:szCs w:val="1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eastAsia="zh-CN"/>
        </w:rPr>
        <w:t>鲁</w:t>
      </w:r>
      <w:r>
        <w:rPr>
          <w:rFonts w:hint="default" w:ascii="Times New Roman" w:hAnsi="Times New Roman" w:eastAsia="仿宋_GB2312" w:cs="Times New Roman"/>
          <w:b w:val="0"/>
          <w:bCs w:val="0"/>
          <w:sz w:val="32"/>
          <w:szCs w:val="32"/>
          <w:lang w:eastAsia="zh-CN"/>
        </w:rPr>
        <w:t>发〔</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号</w:t>
      </w:r>
    </w:p>
    <w:p>
      <w:pPr>
        <w:spacing w:line="560" w:lineRule="exact"/>
        <w:ind w:right="-313" w:rightChars="-149"/>
        <w:jc w:val="both"/>
        <w:rPr>
          <w:rFonts w:ascii="Times New Roman" w:hAnsi="Times New Roman" w:eastAsia="方正小标宋简体"/>
          <w:b/>
          <w:bCs/>
          <w:sz w:val="44"/>
          <w:szCs w:val="44"/>
        </w:rPr>
      </w:pPr>
    </w:p>
    <w:p>
      <w:pPr>
        <w:pStyle w:val="3"/>
        <w:keepNext w:val="0"/>
        <w:keepLines w:val="0"/>
        <w:pageBreakBefore w:val="0"/>
        <w:widowControl w:val="0"/>
        <w:kinsoku/>
        <w:wordWrap/>
        <w:overflowPunct w:val="0"/>
        <w:topLinePunct w:val="0"/>
        <w:autoSpaceDE/>
        <w:autoSpaceDN/>
        <w:bidi w:val="0"/>
        <w:adjustRightInd/>
        <w:spacing w:line="570" w:lineRule="exact"/>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中共</w:t>
      </w:r>
      <w:r>
        <w:rPr>
          <w:rFonts w:hint="eastAsia" w:ascii="Times New Roman" w:eastAsia="方正小标宋简体" w:cs="Times New Roman"/>
          <w:sz w:val="44"/>
          <w:szCs w:val="44"/>
          <w:lang w:eastAsia="zh-CN"/>
        </w:rPr>
        <w:t>鲁村镇</w:t>
      </w:r>
      <w:r>
        <w:rPr>
          <w:rFonts w:hint="default" w:ascii="Times New Roman" w:hAnsi="Times New Roman" w:eastAsia="方正小标宋简体" w:cs="Times New Roman"/>
          <w:sz w:val="44"/>
          <w:szCs w:val="44"/>
          <w:lang w:eastAsia="zh-CN"/>
        </w:rPr>
        <w:t>委</w:t>
      </w:r>
    </w:p>
    <w:p>
      <w:pPr>
        <w:pStyle w:val="3"/>
        <w:keepNext w:val="0"/>
        <w:keepLines w:val="0"/>
        <w:pageBreakBefore w:val="0"/>
        <w:widowControl w:val="0"/>
        <w:kinsoku/>
        <w:wordWrap/>
        <w:overflowPunct w:val="0"/>
        <w:topLinePunct w:val="0"/>
        <w:autoSpaceDE/>
        <w:autoSpaceDN/>
        <w:bidi w:val="0"/>
        <w:adjustRightInd/>
        <w:spacing w:line="570" w:lineRule="exact"/>
        <w:textAlignment w:val="auto"/>
        <w:rPr>
          <w:rFonts w:hint="default" w:ascii="Times New Roman" w:hAnsi="Times New Roman" w:eastAsia="方正小标宋简体" w:cs="Times New Roman"/>
          <w:sz w:val="44"/>
          <w:szCs w:val="44"/>
          <w:lang w:val="en-US" w:eastAsia="zh-CN"/>
        </w:rPr>
      </w:pPr>
      <w:r>
        <w:rPr>
          <w:rFonts w:hint="eastAsia" w:ascii="Times New Roman" w:eastAsia="方正小标宋简体" w:cs="Times New Roman"/>
          <w:sz w:val="44"/>
          <w:szCs w:val="44"/>
          <w:lang w:eastAsia="zh-CN"/>
        </w:rPr>
        <w:t>鲁村</w:t>
      </w:r>
      <w:r>
        <w:rPr>
          <w:rFonts w:hint="eastAsia" w:ascii="Times New Roman" w:eastAsia="方正小标宋简体" w:cs="Times New Roman"/>
          <w:sz w:val="44"/>
          <w:szCs w:val="44"/>
          <w:lang w:val="en-US" w:eastAsia="zh-CN"/>
        </w:rPr>
        <w:t>镇</w:t>
      </w:r>
      <w:r>
        <w:rPr>
          <w:rFonts w:hint="default" w:ascii="Times New Roman" w:hAnsi="Times New Roman" w:eastAsia="方正小标宋简体" w:cs="Times New Roman"/>
          <w:sz w:val="44"/>
          <w:szCs w:val="44"/>
          <w:lang w:val="en-US" w:eastAsia="zh-CN"/>
        </w:rPr>
        <w:t>人民政府</w:t>
      </w:r>
    </w:p>
    <w:p>
      <w:pPr>
        <w:keepNext w:val="0"/>
        <w:keepLines w:val="0"/>
        <w:pageBreakBefore w:val="0"/>
        <w:widowControl w:val="0"/>
        <w:kinsoku/>
        <w:wordWrap/>
        <w:overflowPunct w:val="0"/>
        <w:topLinePunct w:val="0"/>
        <w:autoSpaceDE/>
        <w:autoSpaceDN/>
        <w:bidi w:val="0"/>
        <w:adjustRightInd/>
        <w:spacing w:line="57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eastAsia="zh-CN"/>
        </w:rPr>
        <w:t>关于</w:t>
      </w:r>
      <w:r>
        <w:rPr>
          <w:rFonts w:hint="default" w:ascii="Times New Roman" w:hAnsi="Times New Roman" w:eastAsia="方正小标宋简体" w:cs="Times New Roman"/>
          <w:kern w:val="0"/>
          <w:sz w:val="44"/>
          <w:szCs w:val="44"/>
        </w:rPr>
        <w:t>20</w:t>
      </w:r>
      <w:r>
        <w:rPr>
          <w:rFonts w:hint="default" w:ascii="Times New Roman" w:hAnsi="Times New Roman" w:eastAsia="方正小标宋简体" w:cs="Times New Roman"/>
          <w:kern w:val="0"/>
          <w:sz w:val="44"/>
          <w:szCs w:val="44"/>
          <w:lang w:val="en-US" w:eastAsia="zh-CN"/>
        </w:rPr>
        <w:t>23</w:t>
      </w:r>
      <w:r>
        <w:rPr>
          <w:rFonts w:hint="default" w:ascii="Times New Roman" w:hAnsi="Times New Roman" w:eastAsia="方正小标宋简体" w:cs="Times New Roman"/>
          <w:kern w:val="0"/>
          <w:sz w:val="44"/>
          <w:szCs w:val="44"/>
        </w:rPr>
        <w:t>年度法治政府建设</w:t>
      </w:r>
      <w:r>
        <w:rPr>
          <w:rFonts w:hint="default" w:ascii="Times New Roman" w:hAnsi="Times New Roman" w:eastAsia="方正小标宋简体" w:cs="Times New Roman"/>
          <w:kern w:val="0"/>
          <w:sz w:val="44"/>
          <w:szCs w:val="44"/>
          <w:lang w:eastAsia="zh-CN"/>
        </w:rPr>
        <w:t>工作的</w:t>
      </w:r>
      <w:r>
        <w:rPr>
          <w:rFonts w:hint="default" w:ascii="Times New Roman" w:hAnsi="Times New Roman" w:eastAsia="方正小标宋简体" w:cs="Times New Roman"/>
          <w:kern w:val="0"/>
          <w:sz w:val="44"/>
          <w:szCs w:val="44"/>
        </w:rPr>
        <w:t>报告</w:t>
      </w:r>
    </w:p>
    <w:p>
      <w:pPr>
        <w:keepNext w:val="0"/>
        <w:keepLines w:val="0"/>
        <w:pageBreakBefore w:val="0"/>
        <w:widowControl w:val="0"/>
        <w:kinsoku/>
        <w:wordWrap/>
        <w:overflowPunct w:val="0"/>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pacing w:line="57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sz w:val="32"/>
          <w:szCs w:val="32"/>
          <w:lang w:val="en-US" w:eastAsia="zh-CN"/>
        </w:rPr>
        <w:t>2023年以来，鲁村镇</w:t>
      </w:r>
      <w:r>
        <w:rPr>
          <w:rFonts w:hint="eastAsia" w:ascii="仿宋_GB2312" w:hAnsi="仿宋_GB2312" w:eastAsia="仿宋_GB2312" w:cs="仿宋_GB2312"/>
          <w:i w:val="0"/>
          <w:iCs w:val="0"/>
          <w:caps w:val="0"/>
          <w:color w:val="000000"/>
          <w:spacing w:val="0"/>
          <w:sz w:val="32"/>
          <w:szCs w:val="32"/>
        </w:rPr>
        <w:t>党委、政府认真贯彻落实党的</w:t>
      </w:r>
      <w:r>
        <w:rPr>
          <w:rFonts w:hint="eastAsia" w:ascii="仿宋_GB2312" w:hAnsi="仿宋_GB2312" w:eastAsia="仿宋_GB2312" w:cs="仿宋_GB2312"/>
          <w:i w:val="0"/>
          <w:iCs w:val="0"/>
          <w:caps w:val="0"/>
          <w:color w:val="000000"/>
          <w:spacing w:val="0"/>
          <w:sz w:val="32"/>
          <w:szCs w:val="32"/>
          <w:lang w:eastAsia="zh-CN"/>
        </w:rPr>
        <w:t>二十</w:t>
      </w:r>
      <w:r>
        <w:rPr>
          <w:rFonts w:hint="eastAsia" w:ascii="仿宋_GB2312" w:hAnsi="仿宋_GB2312" w:eastAsia="仿宋_GB2312" w:cs="仿宋_GB2312"/>
          <w:i w:val="0"/>
          <w:iCs w:val="0"/>
          <w:caps w:val="0"/>
          <w:color w:val="000000"/>
          <w:spacing w:val="0"/>
          <w:sz w:val="32"/>
          <w:szCs w:val="32"/>
        </w:rPr>
        <w:t>大</w:t>
      </w:r>
      <w:r>
        <w:rPr>
          <w:rFonts w:hint="eastAsia" w:ascii="仿宋_GB2312" w:hAnsi="仿宋_GB2312" w:eastAsia="仿宋_GB2312" w:cs="仿宋_GB2312"/>
          <w:i w:val="0"/>
          <w:iCs w:val="0"/>
          <w:caps w:val="0"/>
          <w:color w:val="000000"/>
          <w:spacing w:val="0"/>
          <w:sz w:val="32"/>
          <w:szCs w:val="32"/>
          <w:lang w:eastAsia="zh-CN"/>
        </w:rPr>
        <w:t>、二十届一中全会</w:t>
      </w:r>
      <w:r>
        <w:rPr>
          <w:rFonts w:hint="eastAsia" w:ascii="仿宋_GB2312" w:hAnsi="仿宋_GB2312" w:eastAsia="仿宋_GB2312" w:cs="仿宋_GB2312"/>
          <w:i w:val="0"/>
          <w:iCs w:val="0"/>
          <w:caps w:val="0"/>
          <w:color w:val="000000"/>
          <w:spacing w:val="0"/>
          <w:sz w:val="32"/>
          <w:szCs w:val="32"/>
        </w:rPr>
        <w:t>精神，学</w:t>
      </w:r>
      <w:r>
        <w:rPr>
          <w:rFonts w:hint="eastAsia" w:ascii="仿宋_GB2312" w:hAnsi="仿宋_GB2312" w:eastAsia="仿宋_GB2312" w:cs="仿宋_GB2312"/>
          <w:i w:val="0"/>
          <w:iCs w:val="0"/>
          <w:caps w:val="0"/>
          <w:color w:val="000000"/>
          <w:spacing w:val="0"/>
          <w:sz w:val="32"/>
          <w:szCs w:val="32"/>
          <w:lang w:eastAsia="zh-CN"/>
        </w:rPr>
        <w:t>习</w:t>
      </w:r>
      <w:r>
        <w:rPr>
          <w:rFonts w:hint="eastAsia" w:ascii="仿宋_GB2312" w:hAnsi="仿宋_GB2312" w:eastAsia="仿宋_GB2312" w:cs="仿宋_GB2312"/>
          <w:i w:val="0"/>
          <w:iCs w:val="0"/>
          <w:caps w:val="0"/>
          <w:color w:val="000000"/>
          <w:spacing w:val="0"/>
          <w:sz w:val="32"/>
          <w:szCs w:val="32"/>
        </w:rPr>
        <w:t>习近平总书记全面依法治国新理念新思想新战略等系列重要讲话精神，以维护和保障</w:t>
      </w:r>
      <w:r>
        <w:rPr>
          <w:rFonts w:hint="eastAsia" w:ascii="仿宋_GB2312" w:hAnsi="仿宋_GB2312" w:eastAsia="仿宋_GB2312" w:cs="仿宋_GB2312"/>
          <w:i w:val="0"/>
          <w:iCs w:val="0"/>
          <w:caps w:val="0"/>
          <w:color w:val="000000"/>
          <w:spacing w:val="0"/>
          <w:sz w:val="32"/>
          <w:szCs w:val="32"/>
          <w:lang w:eastAsia="zh-CN"/>
        </w:rPr>
        <w:t>群众</w:t>
      </w:r>
      <w:r>
        <w:rPr>
          <w:rFonts w:hint="eastAsia" w:ascii="仿宋_GB2312" w:hAnsi="仿宋_GB2312" w:eastAsia="仿宋_GB2312" w:cs="仿宋_GB2312"/>
          <w:i w:val="0"/>
          <w:iCs w:val="0"/>
          <w:caps w:val="0"/>
          <w:color w:val="000000"/>
          <w:spacing w:val="0"/>
          <w:sz w:val="32"/>
          <w:szCs w:val="32"/>
        </w:rPr>
        <w:t>合法权益、维护社会和谐稳定为主旨，全面贯彻落实省、市</w:t>
      </w:r>
      <w:r>
        <w:rPr>
          <w:rFonts w:hint="eastAsia" w:ascii="仿宋_GB2312" w:hAnsi="仿宋_GB2312" w:eastAsia="仿宋_GB2312" w:cs="仿宋_GB2312"/>
          <w:i w:val="0"/>
          <w:iCs w:val="0"/>
          <w:caps w:val="0"/>
          <w:color w:val="000000"/>
          <w:spacing w:val="0"/>
          <w:sz w:val="32"/>
          <w:szCs w:val="32"/>
          <w:lang w:eastAsia="zh-CN"/>
        </w:rPr>
        <w:t>、县</w:t>
      </w:r>
      <w:r>
        <w:rPr>
          <w:rFonts w:hint="eastAsia" w:ascii="仿宋_GB2312" w:hAnsi="仿宋_GB2312" w:eastAsia="仿宋_GB2312" w:cs="仿宋_GB2312"/>
          <w:i w:val="0"/>
          <w:iCs w:val="0"/>
          <w:caps w:val="0"/>
          <w:color w:val="000000"/>
          <w:spacing w:val="0"/>
          <w:sz w:val="32"/>
          <w:szCs w:val="32"/>
        </w:rPr>
        <w:t>深化法治建设工作部署，坚持依法行政，规范执法行为，提高执法水平，</w:t>
      </w:r>
      <w:r>
        <w:rPr>
          <w:rFonts w:hint="eastAsia" w:ascii="仿宋_GB2312" w:hAnsi="仿宋_GB2312" w:eastAsia="仿宋_GB2312" w:cs="仿宋_GB2312"/>
          <w:i w:val="0"/>
          <w:iCs w:val="0"/>
          <w:caps w:val="0"/>
          <w:color w:val="000000"/>
          <w:spacing w:val="0"/>
          <w:sz w:val="32"/>
          <w:szCs w:val="32"/>
          <w:lang w:eastAsia="zh-CN"/>
        </w:rPr>
        <w:t>不断推动</w:t>
      </w:r>
      <w:r>
        <w:rPr>
          <w:rFonts w:hint="eastAsia" w:ascii="仿宋_GB2312" w:hAnsi="仿宋_GB2312" w:eastAsia="仿宋_GB2312" w:cs="仿宋_GB2312"/>
          <w:i w:val="0"/>
          <w:iCs w:val="0"/>
          <w:caps w:val="0"/>
          <w:color w:val="000000"/>
          <w:spacing w:val="0"/>
          <w:sz w:val="32"/>
          <w:szCs w:val="32"/>
        </w:rPr>
        <w:t>法治</w:t>
      </w:r>
      <w:r>
        <w:rPr>
          <w:rFonts w:hint="eastAsia" w:ascii="仿宋_GB2312" w:hAnsi="仿宋_GB2312" w:eastAsia="仿宋_GB2312" w:cs="仿宋_GB2312"/>
          <w:i w:val="0"/>
          <w:iCs w:val="0"/>
          <w:caps w:val="0"/>
          <w:color w:val="000000"/>
          <w:spacing w:val="0"/>
          <w:sz w:val="32"/>
          <w:szCs w:val="32"/>
          <w:lang w:eastAsia="zh-CN"/>
        </w:rPr>
        <w:t>鲁村</w:t>
      </w:r>
      <w:r>
        <w:rPr>
          <w:rFonts w:hint="eastAsia" w:ascii="仿宋_GB2312" w:hAnsi="仿宋_GB2312" w:eastAsia="仿宋_GB2312" w:cs="仿宋_GB2312"/>
          <w:i w:val="0"/>
          <w:iCs w:val="0"/>
          <w:caps w:val="0"/>
          <w:color w:val="000000"/>
          <w:spacing w:val="0"/>
          <w:sz w:val="32"/>
          <w:szCs w:val="32"/>
        </w:rPr>
        <w:t>建设，为全镇经济社会健康持续发展奠定扎实的法治基础</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kern w:val="2"/>
          <w:sz w:val="32"/>
          <w:szCs w:val="32"/>
          <w:lang w:val="en-US" w:eastAsia="zh-CN" w:bidi="ar-SA"/>
        </w:rPr>
        <w:t>现将2023年度法治政府建设情况报告如下：</w:t>
      </w:r>
    </w:p>
    <w:p>
      <w:pPr>
        <w:keepNext w:val="0"/>
        <w:keepLines w:val="0"/>
        <w:pageBreakBefore w:val="0"/>
        <w:widowControl w:val="0"/>
        <w:numPr>
          <w:ilvl w:val="0"/>
          <w:numId w:val="0"/>
        </w:numPr>
        <w:suppressLineNumbers w:val="0"/>
        <w:kinsoku/>
        <w:wordWrap/>
        <w:overflowPunct w:val="0"/>
        <w:topLinePunct w:val="0"/>
        <w:autoSpaceDE/>
        <w:autoSpaceDN/>
        <w:bidi w:val="0"/>
        <w:spacing w:line="570" w:lineRule="exact"/>
        <w:ind w:firstLine="640" w:firstLineChars="200"/>
        <w:jc w:val="both"/>
        <w:textAlignment w:val="auto"/>
        <w:rPr>
          <w:rFonts w:hint="default" w:ascii="Times New Roman" w:hAnsi="Times New Roman" w:eastAsia="黑体" w:cs="Times New Roman"/>
          <w:snapToGrid w:val="0"/>
          <w:color w:val="0C0C0C"/>
          <w:spacing w:val="0"/>
          <w:kern w:val="0"/>
          <w:sz w:val="32"/>
          <w:szCs w:val="32"/>
          <w:u w:val="none"/>
          <w:lang w:val="en-US" w:eastAsia="zh-CN"/>
        </w:rPr>
      </w:pPr>
      <w:r>
        <w:rPr>
          <w:rFonts w:hint="default" w:ascii="Times New Roman" w:hAnsi="Times New Roman" w:eastAsia="黑体" w:cs="Times New Roman"/>
          <w:sz w:val="32"/>
          <w:szCs w:val="32"/>
          <w:lang w:eastAsia="zh-CN"/>
        </w:rPr>
        <w:t>一、推进</w:t>
      </w:r>
      <w:r>
        <w:rPr>
          <w:rFonts w:hint="default" w:ascii="Times New Roman" w:hAnsi="Times New Roman" w:eastAsia="黑体" w:cs="Times New Roman"/>
          <w:sz w:val="32"/>
          <w:szCs w:val="32"/>
        </w:rPr>
        <w:t>法治政府建设的主要举措和成效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（一）学深悟透狠抓落实，学习贯彻习近平法治思想。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紧密结合学习贯彻习近平总书记党的二十大报告精神，进一步深化对习近平法治思想的理解和认识，着力推动习近平法治思想和中央全面依法治国的决策部署落实落地，着力为“十四五”时期经济社会高质量发展提供有力法治保障，着力增强人民群众法治获得感、幸福感、安全感。今年以来，政府班子组织开展习近平法治思想学习2次，听取法律顾问法治讲座1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（二）强化责任率先垂范，以上率下推进法治政府建设。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是责任落实到位。全面履行推进法治建设政府第一责任人职责，形成主要领导负责抓、分管领导具体抓、相关站所配合抓的工作局面。主持召开法治建设工作会议，听取并解决法治建设有关问题5次；二是职能发挥到位。以制度建设为突破口，完善各项工作制度，制定工作计划，将工作任务分解到每个部门，形成人人肩上有担子、个个身上有压力的工作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楷体_GB2312" w:hAnsi="楷体_GB2312" w:eastAsia="楷体_GB2312" w:cs="楷体_GB2312"/>
          <w:color w:val="000000"/>
          <w:kern w:val="0"/>
          <w:sz w:val="31"/>
          <w:szCs w:val="31"/>
          <w:lang w:val="en-US" w:eastAsia="zh-CN" w:bidi="ar"/>
        </w:rPr>
      </w:pPr>
      <w:r>
        <w:rPr>
          <w:rFonts w:hint="eastAsia" w:ascii="楷体_GB2312" w:hAnsi="楷体_GB2312" w:eastAsia="楷体_GB2312" w:cs="楷体_GB2312"/>
          <w:color w:val="000000"/>
          <w:kern w:val="0"/>
          <w:sz w:val="31"/>
          <w:szCs w:val="31"/>
          <w:lang w:val="en-US" w:eastAsia="zh-CN" w:bidi="ar"/>
        </w:rPr>
        <w:t>（三）依法履职多措并举，持续推进政府服务为民职能。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color w:val="000000"/>
          <w:kern w:val="0"/>
          <w:sz w:val="31"/>
          <w:szCs w:val="31"/>
          <w:lang w:val="en-US" w:eastAsia="zh-CN" w:bidi="ar"/>
        </w:rPr>
        <w:t>一是持续推进普法宣传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效果提升。落实“谁执法谁普法”普法责任制，在全镇范围内形成普法宣传合力，办好宪法、民法典、安全生产、反诈、禁毒、反邪教等各类宣传活动，</w:t>
      </w:r>
      <w:r>
        <w:rPr>
          <w:rFonts w:hint="eastAsia" w:ascii="仿宋_GB2312" w:hAnsi="仿宋_GB2312" w:eastAsia="仿宋_GB2312" w:cs="仿宋_GB2312"/>
          <w:i w:val="0"/>
          <w:caps w:val="0"/>
          <w:color w:val="000000"/>
          <w:spacing w:val="0"/>
          <w:sz w:val="32"/>
          <w:szCs w:val="32"/>
          <w:shd w:val="clear" w:color="auto" w:fill="FFFFFF"/>
          <w:lang w:eastAsia="zh-CN"/>
        </w:rPr>
        <w:t>进一步建立和完善学校、社会、家庭相结合的法治教育网络，发挥兼职法治副校长作用，形成全社会共同关心、支持、参与青少年法治教育格局，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今年以来线上线下开展各类普法宣讲活动56场，发放各类普法资料近13000份</w:t>
      </w:r>
      <w:r>
        <w:rPr>
          <w:rFonts w:hint="eastAsia" w:ascii="仿宋_GB2312" w:hAnsi="仿宋_GB2312" w:eastAsia="仿宋_GB2312" w:cs="仿宋_GB2312"/>
          <w:i w:val="0"/>
          <w:caps w:val="0"/>
          <w:color w:val="000000"/>
          <w:spacing w:val="0"/>
          <w:sz w:val="32"/>
          <w:szCs w:val="32"/>
          <w:shd w:val="clear" w:color="auto" w:fill="FFFFFF"/>
          <w:lang w:val="en-US" w:eastAsia="zh-CN"/>
        </w:rPr>
        <w:t>；二是持续推动法律服务提质增效。</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选定5名法律顾问参与全镇各行政村法律服务，完成法律顾问签约，</w:t>
      </w:r>
      <w:r>
        <w:rPr>
          <w:rFonts w:hint="eastAsia" w:ascii="仿宋_GB2312" w:hAnsi="宋体" w:eastAsia="仿宋_GB2312" w:cs="宋体"/>
          <w:kern w:val="0"/>
          <w:sz w:val="32"/>
          <w:szCs w:val="32"/>
          <w:lang w:val="en-US" w:eastAsia="zh-CN"/>
        </w:rPr>
        <w:t>及时出台《鲁村镇村级法律顾问管理办法》，充分发挥法律顾问在维护社会和谐稳定工作中的专业优势，将67个村的法律顾问公示牌全部张贴到位，印制入户明白纸4万份，截至目前，镇村法律顾问共到村开展法治宣传90余次，开展法治讲座近70场，到镇公共法律服务站值班76人次，解答各类法律咨询近300件，线上线下提供法律咨询法律服务600余次。</w:t>
      </w:r>
    </w:p>
    <w:p>
      <w:pPr>
        <w:pStyle w:val="2"/>
        <w:keepNext w:val="0"/>
        <w:keepLines w:val="0"/>
        <w:pageBreakBefore w:val="0"/>
        <w:kinsoku/>
        <w:wordWrap/>
        <w:overflowPunct/>
        <w:topLinePunct w:val="0"/>
        <w:autoSpaceDE/>
        <w:autoSpaceDN/>
        <w:bidi w:val="0"/>
        <w:adjustRightInd/>
        <w:snapToGrid/>
        <w:spacing w:line="560" w:lineRule="atLeast"/>
        <w:ind w:firstLine="620" w:firstLineChars="200"/>
        <w:textAlignment w:val="auto"/>
        <w:rPr>
          <w:rFonts w:hint="default"/>
          <w:lang w:val="en-US" w:eastAsia="zh-CN"/>
        </w:rPr>
      </w:pPr>
      <w:r>
        <w:rPr>
          <w:rFonts w:hint="eastAsia" w:ascii="楷体_GB2312" w:hAnsi="楷体_GB2312" w:eastAsia="楷体_GB2312" w:cs="楷体_GB2312"/>
          <w:color w:val="000000"/>
          <w:kern w:val="0"/>
          <w:sz w:val="31"/>
          <w:szCs w:val="31"/>
          <w:lang w:val="en-US" w:eastAsia="zh-CN" w:bidi="ar"/>
        </w:rPr>
        <w:t>（四）强化约束接受监督，健全行政权力运行制约体系。</w:t>
      </w:r>
    </w:p>
    <w:p>
      <w:pPr>
        <w:keepNext w:val="0"/>
        <w:keepLines w:val="0"/>
        <w:pageBreakBefore w:val="0"/>
        <w:widowControl/>
        <w:suppressLineNumbers w:val="0"/>
        <w:kinsoku/>
        <w:wordWrap/>
        <w:overflowPunct/>
        <w:topLinePunct w:val="0"/>
        <w:autoSpaceDE/>
        <w:autoSpaceDN/>
        <w:bidi w:val="0"/>
        <w:adjustRightInd/>
        <w:snapToGrid/>
        <w:spacing w:line="560" w:lineRule="atLeast"/>
        <w:ind w:firstLine="62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一是在推进法治建设过程中，抓好依法行政，开展全镇行政执法人员培训，不断提升执法队伍依法行政素养水平，全年无领导干部干预司法活动、插手具体案件处理情况；二是</w:t>
      </w:r>
      <w:r>
        <w:rPr>
          <w:rFonts w:hint="eastAsia" w:ascii="仿宋_GB2312" w:hAnsi="仿宋_GB2312" w:eastAsia="仿宋_GB2312" w:cs="仿宋_GB2312"/>
          <w:snapToGrid w:val="0"/>
          <w:color w:val="auto"/>
          <w:spacing w:val="8"/>
          <w:sz w:val="32"/>
          <w:szCs w:val="32"/>
        </w:rPr>
        <w:t>树立“从源头规范行政</w:t>
      </w:r>
      <w:r>
        <w:rPr>
          <w:rFonts w:hint="eastAsia" w:ascii="仿宋_GB2312" w:hAnsi="仿宋_GB2312" w:eastAsia="仿宋_GB2312" w:cs="仿宋_GB2312"/>
          <w:snapToGrid w:val="0"/>
          <w:color w:val="auto"/>
          <w:spacing w:val="8"/>
          <w:sz w:val="32"/>
          <w:szCs w:val="32"/>
          <w:lang w:eastAsia="zh-CN"/>
        </w:rPr>
        <w:t>行为</w:t>
      </w:r>
      <w:r>
        <w:rPr>
          <w:rFonts w:hint="eastAsia" w:ascii="仿宋_GB2312" w:hAnsi="仿宋_GB2312" w:eastAsia="仿宋_GB2312" w:cs="仿宋_GB2312"/>
          <w:snapToGrid w:val="0"/>
          <w:color w:val="auto"/>
          <w:spacing w:val="8"/>
          <w:sz w:val="32"/>
          <w:szCs w:val="32"/>
        </w:rPr>
        <w:t>、从根上提升治理效能”的治理理念，全面落实重大事项合法性审查机制，</w:t>
      </w:r>
      <w:r>
        <w:rPr>
          <w:rFonts w:hint="eastAsia" w:ascii="仿宋_GB2312" w:hAnsi="仿宋_GB2312" w:eastAsia="仿宋_GB2312" w:cs="仿宋_GB2312"/>
          <w:sz w:val="32"/>
          <w:szCs w:val="32"/>
          <w:lang w:val="en-US" w:eastAsia="zh-CN"/>
        </w:rPr>
        <w:t>严格执行重大决策法定程序，充分发挥法律顾问作用，推动重大行政决策合法性审查，全年开展县、镇、村三级合同审查近130件；三是落实行政执法“三项制度”，保证执法信息公开透明、执法过程记录留痕、执法决定合法有效。</w:t>
      </w:r>
    </w:p>
    <w:p>
      <w:pPr>
        <w:pStyle w:val="11"/>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default" w:ascii="Times New Roman" w:hAnsi="Times New Roman" w:eastAsia="黑体" w:cs="Times New Roman"/>
          <w:snapToGrid w:val="0"/>
          <w:color w:val="0C0C0C"/>
          <w:spacing w:val="0"/>
          <w:kern w:val="0"/>
          <w:sz w:val="32"/>
          <w:szCs w:val="32"/>
          <w:u w:val="none"/>
          <w:lang w:val="en-US" w:eastAsia="zh-CN"/>
        </w:rPr>
      </w:pPr>
      <w:r>
        <w:rPr>
          <w:rFonts w:hint="default" w:ascii="Times New Roman" w:hAnsi="Times New Roman" w:eastAsia="方正黑体_GBK" w:cs="Times New Roman"/>
          <w:sz w:val="32"/>
          <w:szCs w:val="32"/>
          <w:lang w:val="en" w:eastAsia="zh-CN"/>
        </w:rPr>
        <w:t>二、</w:t>
      </w:r>
      <w:r>
        <w:rPr>
          <w:rFonts w:hint="default" w:ascii="Times New Roman" w:hAnsi="Times New Roman" w:eastAsia="方正黑体_GBK" w:cs="Times New Roman"/>
          <w:snapToGrid w:val="0"/>
          <w:color w:val="0C0C0C"/>
          <w:spacing w:val="0"/>
          <w:kern w:val="0"/>
          <w:sz w:val="32"/>
          <w:szCs w:val="32"/>
          <w:u w:val="none"/>
          <w:lang w:val="en-US" w:eastAsia="zh"/>
        </w:rPr>
        <w:t>党政主</w:t>
      </w:r>
      <w:r>
        <w:rPr>
          <w:rFonts w:hint="default" w:ascii="Times New Roman" w:hAnsi="Times New Roman" w:eastAsia="黑体" w:cs="Times New Roman"/>
          <w:snapToGrid w:val="0"/>
          <w:color w:val="0C0C0C"/>
          <w:spacing w:val="0"/>
          <w:kern w:val="0"/>
          <w:sz w:val="32"/>
          <w:szCs w:val="32"/>
          <w:u w:val="none"/>
          <w:lang w:val="en-US" w:eastAsia="zh"/>
        </w:rPr>
        <w:t>要负责人履行</w:t>
      </w:r>
      <w:r>
        <w:rPr>
          <w:rFonts w:hint="default" w:ascii="Times New Roman" w:hAnsi="Times New Roman" w:eastAsia="黑体" w:cs="Times New Roman"/>
          <w:snapToGrid w:val="0"/>
          <w:color w:val="0C0C0C"/>
          <w:spacing w:val="0"/>
          <w:kern w:val="0"/>
          <w:sz w:val="32"/>
          <w:szCs w:val="32"/>
          <w:u w:val="none"/>
          <w:lang w:val="en-US" w:eastAsia="zh-CN"/>
        </w:rPr>
        <w:t>推进法治建设</w:t>
      </w:r>
      <w:r>
        <w:rPr>
          <w:rFonts w:hint="default" w:ascii="Times New Roman" w:hAnsi="Times New Roman" w:eastAsia="黑体" w:cs="Times New Roman"/>
          <w:snapToGrid w:val="0"/>
          <w:color w:val="0C0C0C"/>
          <w:spacing w:val="0"/>
          <w:kern w:val="0"/>
          <w:sz w:val="32"/>
          <w:szCs w:val="32"/>
          <w:u w:val="none"/>
          <w:lang w:val="en-US" w:eastAsia="zh"/>
        </w:rPr>
        <w:t>第一责任</w:t>
      </w:r>
      <w:r>
        <w:rPr>
          <w:rFonts w:hint="default" w:ascii="Times New Roman" w:hAnsi="Times New Roman" w:eastAsia="黑体" w:cs="Times New Roman"/>
          <w:snapToGrid w:val="0"/>
          <w:color w:val="0C0C0C"/>
          <w:spacing w:val="0"/>
          <w:kern w:val="0"/>
          <w:sz w:val="32"/>
          <w:szCs w:val="32"/>
          <w:u w:val="none"/>
          <w:lang w:val="en-US" w:eastAsia="zh-CN"/>
        </w:rPr>
        <w:t>人职责情况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楷体_GB2312" w:hAnsi="楷体_GB2312" w:eastAsia="楷体_GB2312" w:cs="楷体_GB2312"/>
          <w:color w:val="000000"/>
          <w:kern w:val="0"/>
          <w:sz w:val="32"/>
          <w:szCs w:val="32"/>
          <w:lang w:val="en-US" w:eastAsia="zh-CN" w:bidi="ar"/>
        </w:rPr>
        <w:t>（一）领导班子带头学，不断提升法治素养。</w:t>
      </w:r>
      <w:r>
        <w:rPr>
          <w:rFonts w:hint="eastAsia" w:ascii="仿宋_GB2312" w:hAnsi="宋体" w:eastAsia="仿宋_GB2312" w:cs="仿宋_GB2312"/>
          <w:color w:val="000000"/>
          <w:kern w:val="0"/>
          <w:sz w:val="31"/>
          <w:szCs w:val="31"/>
          <w:lang w:val="en-US" w:eastAsia="zh-CN" w:bidi="ar"/>
        </w:rPr>
        <w:t>鲁村</w:t>
      </w:r>
      <w:r>
        <w:rPr>
          <w:rFonts w:hint="eastAsia" w:ascii="仿宋_GB2312" w:hAnsi="仿宋_GB2312" w:eastAsia="仿宋_GB2312" w:cs="仿宋_GB2312"/>
          <w:sz w:val="32"/>
          <w:szCs w:val="32"/>
          <w:lang w:val="en-US" w:eastAsia="zh-CN"/>
        </w:rPr>
        <w:t>镇在年初制定了镇党委理论中心组学习习近平法治思想课程方案，制定了党政联席会议会前学法计划，形成以上率下的示范效果，今年以来，党委理论中心组开展学习3次，举办法治专题讲座2次；党政联席会议开展会前学法5次，进一步推动习近平法治思想入脑入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2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宋体" w:eastAsia="楷体_GB2312" w:cs="楷体_GB2312"/>
          <w:color w:val="000000"/>
          <w:kern w:val="0"/>
          <w:sz w:val="31"/>
          <w:szCs w:val="31"/>
          <w:lang w:val="en-US" w:eastAsia="zh-CN" w:bidi="ar"/>
        </w:rPr>
        <w:t>（二）主要干部率先做，深入推进依法治镇。</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镇党委主要负责人切实履行好推进法治建设“第一责任人”职责，</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主要负责人签批县委依法治县办等部门法治建设重要文件</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11件；</w:t>
      </w:r>
      <w:r>
        <w:rPr>
          <w:rFonts w:hint="eastAsia" w:ascii="仿宋_GB2312" w:hAnsi="仿宋_GB2312" w:eastAsia="仿宋_GB2312" w:cs="仿宋_GB2312"/>
          <w:sz w:val="32"/>
          <w:szCs w:val="32"/>
          <w:lang w:val="en-US" w:eastAsia="zh-CN"/>
        </w:rPr>
        <w:t>今年9月中旬，在全县率先成立依法治镇委员会，出台委员会成立文件并召开第一次全体会议，开展专题讲话要求委员会全体成员充分发挥领导干部尊法、学法、守法、用法的头雁效应，不断提升领导班子依法治理的能力。今年以来，司法所长列席党政联席扩大会3场次，向领导班子汇报法治建设情况1次。</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1"/>
          <w:szCs w:val="31"/>
          <w:lang w:val="en-US" w:eastAsia="zh-CN" w:bidi="ar"/>
        </w:rPr>
        <w:t>（三）不断提升法治效能，依法助力乡村振兴。</w:t>
      </w:r>
      <w:r>
        <w:rPr>
          <w:rFonts w:hint="eastAsia" w:ascii="仿宋_GB2312" w:hAnsi="仿宋_GB2312" w:eastAsia="仿宋_GB2312" w:cs="仿宋_GB2312"/>
          <w:color w:val="000000"/>
          <w:kern w:val="0"/>
          <w:sz w:val="32"/>
          <w:szCs w:val="32"/>
          <w:lang w:val="en-US" w:eastAsia="zh-CN" w:bidi="ar"/>
        </w:rPr>
        <w:t>一是切实规范依法决策，</w:t>
      </w:r>
      <w:r>
        <w:rPr>
          <w:rFonts w:hint="eastAsia" w:ascii="仿宋_GB2312" w:hAnsi="仿宋_GB2312" w:eastAsia="仿宋_GB2312" w:cs="仿宋_GB2312"/>
          <w:color w:val="000000" w:themeColor="text1"/>
          <w:sz w:val="32"/>
          <w:szCs w:val="32"/>
          <w:lang w:eastAsia="zh-CN"/>
          <w14:textFill>
            <w14:solidFill>
              <w14:schemeClr w14:val="tx1"/>
            </w14:solidFill>
          </w14:textFill>
        </w:rPr>
        <w:t>抓好镇村重大文件制度、项目合同法律顾问全程参与审查、司法所备案登记制度，</w:t>
      </w:r>
      <w:r>
        <w:rPr>
          <w:rFonts w:hint="eastAsia" w:ascii="仿宋_GB2312" w:hAnsi="仿宋_GB2312" w:eastAsia="仿宋_GB2312" w:cs="仿宋_GB2312"/>
          <w:snapToGrid w:val="0"/>
          <w:color w:val="auto"/>
          <w:spacing w:val="8"/>
          <w:sz w:val="32"/>
          <w:szCs w:val="32"/>
        </w:rPr>
        <w:t>构建“</w:t>
      </w:r>
      <w:r>
        <w:rPr>
          <w:rFonts w:hint="eastAsia" w:ascii="仿宋_GB2312" w:hAnsi="仿宋_GB2312" w:eastAsia="仿宋_GB2312" w:cs="仿宋_GB2312"/>
          <w:snapToGrid w:val="0"/>
          <w:color w:val="auto"/>
          <w:spacing w:val="8"/>
          <w:sz w:val="32"/>
          <w:szCs w:val="32"/>
          <w:lang w:val="en-US" w:eastAsia="zh-CN"/>
        </w:rPr>
        <w:t>镇+</w:t>
      </w:r>
      <w:r>
        <w:rPr>
          <w:rFonts w:hint="eastAsia" w:ascii="仿宋_GB2312" w:hAnsi="仿宋_GB2312" w:eastAsia="仿宋_GB2312" w:cs="仿宋_GB2312"/>
          <w:snapToGrid w:val="0"/>
          <w:color w:val="auto"/>
          <w:spacing w:val="8"/>
          <w:sz w:val="32"/>
          <w:szCs w:val="32"/>
          <w:lang w:eastAsia="zh-CN"/>
        </w:rPr>
        <w:t>司法行政部门</w:t>
      </w:r>
      <w:r>
        <w:rPr>
          <w:rFonts w:hint="eastAsia" w:ascii="仿宋_GB2312" w:hAnsi="仿宋_GB2312" w:eastAsia="仿宋_GB2312" w:cs="仿宋_GB2312"/>
          <w:snapToGrid w:val="0"/>
          <w:color w:val="auto"/>
          <w:spacing w:val="8"/>
          <w:sz w:val="32"/>
          <w:szCs w:val="32"/>
          <w:lang w:val="en-US" w:eastAsia="zh-CN"/>
        </w:rPr>
        <w:t>+村+法律顾问</w:t>
      </w:r>
      <w:r>
        <w:rPr>
          <w:rFonts w:hint="eastAsia" w:ascii="仿宋_GB2312" w:hAnsi="仿宋_GB2312" w:eastAsia="仿宋_GB2312" w:cs="仿宋_GB2312"/>
          <w:snapToGrid w:val="0"/>
          <w:color w:val="auto"/>
          <w:spacing w:val="8"/>
          <w:sz w:val="32"/>
          <w:szCs w:val="32"/>
        </w:rPr>
        <w:t>”的合法性审查</w:t>
      </w:r>
      <w:r>
        <w:rPr>
          <w:rFonts w:hint="eastAsia" w:ascii="仿宋_GB2312" w:hAnsi="仿宋_GB2312" w:eastAsia="仿宋_GB2312" w:cs="仿宋_GB2312"/>
          <w:snapToGrid w:val="0"/>
          <w:color w:val="auto"/>
          <w:spacing w:val="8"/>
          <w:sz w:val="32"/>
          <w:szCs w:val="32"/>
          <w:lang w:eastAsia="zh-CN"/>
        </w:rPr>
        <w:t>四维</w:t>
      </w:r>
      <w:r>
        <w:rPr>
          <w:rFonts w:hint="eastAsia" w:ascii="仿宋_GB2312" w:hAnsi="仿宋_GB2312" w:eastAsia="仿宋_GB2312" w:cs="仿宋_GB2312"/>
          <w:snapToGrid w:val="0"/>
          <w:color w:val="auto"/>
          <w:spacing w:val="8"/>
          <w:sz w:val="32"/>
          <w:szCs w:val="32"/>
        </w:rPr>
        <w:t>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结合镇重点项目，对合法性审查范围程序进行细化，切实提升基层依法治理效能；</w:t>
      </w:r>
      <w:r>
        <w:rPr>
          <w:rFonts w:hint="eastAsia" w:ascii="仿宋_GB2312" w:hAnsi="仿宋_GB2312" w:eastAsia="仿宋_GB2312" w:cs="仿宋_GB2312"/>
          <w:color w:val="000000"/>
          <w:kern w:val="0"/>
          <w:sz w:val="32"/>
          <w:szCs w:val="32"/>
          <w:lang w:val="en-US" w:eastAsia="zh-CN" w:bidi="ar"/>
        </w:rPr>
        <w:t>二是抓好矛盾纠纷化解，</w:t>
      </w:r>
      <w:r>
        <w:rPr>
          <w:rFonts w:hint="default" w:ascii="仿宋_GB2312" w:eastAsia="仿宋_GB2312"/>
          <w:b w:val="0"/>
          <w:bCs w:val="0"/>
          <w:color w:val="000000" w:themeColor="text1"/>
          <w:sz w:val="32"/>
          <w:szCs w:val="32"/>
          <w:lang w:val="en-US" w:eastAsia="zh-CN"/>
          <w14:textFill>
            <w14:solidFill>
              <w14:schemeClr w14:val="tx1"/>
            </w14:solidFill>
          </w14:textFill>
        </w:rPr>
        <w:t>多措并举抓好关键点，构建党建引领，</w:t>
      </w:r>
      <w:r>
        <w:rPr>
          <w:rFonts w:hint="eastAsia" w:ascii="仿宋_GB2312" w:eastAsia="仿宋_GB2312"/>
          <w:b w:val="0"/>
          <w:bCs w:val="0"/>
          <w:color w:val="000000" w:themeColor="text1"/>
          <w:sz w:val="32"/>
          <w:szCs w:val="32"/>
          <w:lang w:val="en-US" w:eastAsia="zh-CN"/>
          <w14:textFill>
            <w14:solidFill>
              <w14:schemeClr w14:val="tx1"/>
            </w14:solidFill>
          </w14:textFill>
        </w:rPr>
        <w:t>1234</w:t>
      </w:r>
      <w:r>
        <w:rPr>
          <w:rFonts w:hint="default" w:ascii="仿宋_GB2312" w:eastAsia="仿宋_GB2312"/>
          <w:b w:val="0"/>
          <w:bCs w:val="0"/>
          <w:color w:val="000000" w:themeColor="text1"/>
          <w:sz w:val="32"/>
          <w:szCs w:val="32"/>
          <w:lang w:val="en-US" w:eastAsia="zh-CN"/>
          <w14:textFill>
            <w14:solidFill>
              <w14:schemeClr w14:val="tx1"/>
            </w14:solidFill>
          </w14:textFill>
        </w:rPr>
        <w:t>矛盾纠纷排查化解模式，构建多层次、多领域的调解网络体系</w:t>
      </w:r>
      <w:r>
        <w:rPr>
          <w:rFonts w:hint="eastAsia" w:ascii="仿宋_GB2312" w:eastAsia="仿宋_GB2312"/>
          <w:b w:val="0"/>
          <w:bCs w:val="0"/>
          <w:color w:val="000000" w:themeColor="text1"/>
          <w:sz w:val="32"/>
          <w:szCs w:val="32"/>
          <w:lang w:val="en-US" w:eastAsia="zh-CN"/>
          <w14:textFill>
            <w14:solidFill>
              <w14:schemeClr w14:val="tx1"/>
            </w14:solidFill>
          </w14:textFill>
        </w:rPr>
        <w:t>，</w:t>
      </w:r>
      <w:r>
        <w:rPr>
          <w:rFonts w:hint="default" w:ascii="仿宋_GB2312" w:eastAsia="仿宋_GB2312"/>
          <w:b w:val="0"/>
          <w:bCs w:val="0"/>
          <w:color w:val="000000" w:themeColor="text1"/>
          <w:sz w:val="32"/>
          <w:szCs w:val="32"/>
          <w:lang w:val="en-US" w:eastAsia="zh-CN"/>
          <w14:textFill>
            <w14:solidFill>
              <w14:schemeClr w14:val="tx1"/>
            </w14:solidFill>
          </w14:textFill>
        </w:rPr>
        <w:t>建立跟踪回访机制，避免</w:t>
      </w:r>
      <w:r>
        <w:rPr>
          <w:rFonts w:hint="eastAsia" w:ascii="仿宋_GB2312" w:eastAsia="仿宋_GB2312"/>
          <w:b w:val="0"/>
          <w:bCs w:val="0"/>
          <w:color w:val="000000" w:themeColor="text1"/>
          <w:sz w:val="32"/>
          <w:szCs w:val="32"/>
          <w:lang w:val="en-US" w:eastAsia="zh-CN"/>
          <w14:textFill>
            <w14:solidFill>
              <w14:schemeClr w14:val="tx1"/>
            </w14:solidFill>
          </w14:textFill>
        </w:rPr>
        <w:t>“</w:t>
      </w:r>
      <w:r>
        <w:rPr>
          <w:rFonts w:hint="default" w:ascii="仿宋_GB2312" w:eastAsia="仿宋_GB2312"/>
          <w:b w:val="0"/>
          <w:bCs w:val="0"/>
          <w:color w:val="000000" w:themeColor="text1"/>
          <w:sz w:val="32"/>
          <w:szCs w:val="32"/>
          <w:lang w:val="en-US" w:eastAsia="zh-CN"/>
          <w14:textFill>
            <w14:solidFill>
              <w14:schemeClr w14:val="tx1"/>
            </w14:solidFill>
          </w14:textFill>
        </w:rPr>
        <w:t>旧疾复发</w:t>
      </w:r>
      <w:r>
        <w:rPr>
          <w:rFonts w:hint="eastAsia" w:ascii="仿宋_GB2312" w:eastAsia="仿宋_GB2312"/>
          <w:b w:val="0"/>
          <w:bCs w:val="0"/>
          <w:color w:val="000000" w:themeColor="text1"/>
          <w:sz w:val="32"/>
          <w:szCs w:val="32"/>
          <w:lang w:val="en-US" w:eastAsia="zh-CN"/>
          <w14:textFill>
            <w14:solidFill>
              <w14:schemeClr w14:val="tx1"/>
            </w14:solidFill>
          </w14:textFill>
        </w:rPr>
        <w:t>”</w:t>
      </w:r>
      <w:r>
        <w:rPr>
          <w:rFonts w:hint="default" w:ascii="仿宋_GB2312" w:eastAsia="仿宋_GB2312"/>
          <w:b w:val="0"/>
          <w:bCs w:val="0"/>
          <w:color w:val="000000" w:themeColor="text1"/>
          <w:sz w:val="32"/>
          <w:szCs w:val="32"/>
          <w:lang w:val="en-US" w:eastAsia="zh-CN"/>
          <w14:textFill>
            <w14:solidFill>
              <w14:schemeClr w14:val="tx1"/>
            </w14:solidFill>
          </w14:textFill>
        </w:rPr>
        <w:t>，实现矛盾纠纷就地化</w:t>
      </w:r>
      <w:r>
        <w:rPr>
          <w:rFonts w:hint="eastAsia" w:ascii="仿宋_GB2312" w:eastAsia="仿宋_GB2312"/>
          <w:b w:val="0"/>
          <w:bCs w:val="0"/>
          <w:color w:val="000000" w:themeColor="text1"/>
          <w:sz w:val="32"/>
          <w:szCs w:val="32"/>
          <w:lang w:val="en-US" w:eastAsia="zh-CN"/>
          <w14:textFill>
            <w14:solidFill>
              <w14:schemeClr w14:val="tx1"/>
            </w14:solidFill>
          </w14:textFill>
        </w:rPr>
        <w:t>解，以维护社会稳定助力推动乡村振兴</w:t>
      </w:r>
      <w:r>
        <w:rPr>
          <w:rFonts w:hint="default" w:ascii="仿宋_GB2312" w:eastAsia="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kern w:val="0"/>
          <w:sz w:val="32"/>
          <w:szCs w:val="32"/>
          <w:lang w:val="en-US" w:eastAsia="zh-CN" w:bidi="ar"/>
        </w:rPr>
        <w:t>三是不断强化法治阵地建设，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投资近5万元，实现全镇67个行政村法治文化阵地全覆盖，打造鲁村三村为省级民主法治示范村，在全镇范围内形成普法宣传合力。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70" w:lineRule="exact"/>
        <w:ind w:right="0" w:firstLine="640" w:firstLineChars="200"/>
        <w:jc w:val="both"/>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三、</w:t>
      </w:r>
      <w:r>
        <w:rPr>
          <w:rFonts w:hint="default" w:ascii="Times New Roman" w:hAnsi="Times New Roman" w:eastAsia="黑体" w:cs="Times New Roman"/>
          <w:sz w:val="32"/>
          <w:szCs w:val="32"/>
          <w:lang w:eastAsia="zh-CN"/>
        </w:rPr>
        <w:t>推进</w:t>
      </w:r>
      <w:r>
        <w:rPr>
          <w:rFonts w:hint="default" w:ascii="Times New Roman" w:hAnsi="Times New Roman" w:eastAsia="黑体" w:cs="Times New Roman"/>
          <w:sz w:val="32"/>
          <w:szCs w:val="32"/>
        </w:rPr>
        <w:t>法治政府建设</w:t>
      </w:r>
      <w:r>
        <w:rPr>
          <w:rFonts w:hint="default" w:ascii="Times New Roman" w:hAnsi="Times New Roman" w:eastAsia="黑体" w:cs="Times New Roman"/>
          <w:color w:val="000000"/>
          <w:sz w:val="32"/>
          <w:szCs w:val="32"/>
          <w:lang w:eastAsia="zh-CN"/>
        </w:rPr>
        <w:t>存在的不足和原因</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宋体" w:eastAsia="仿宋_GB2312" w:cs="仿宋_GB2312"/>
          <w:color w:val="000000"/>
          <w:kern w:val="0"/>
          <w:sz w:val="32"/>
          <w:szCs w:val="32"/>
          <w:lang w:val="en-US" w:eastAsia="zh-CN" w:bidi="ar"/>
        </w:rPr>
        <w:t>（一）</w:t>
      </w:r>
      <w:r>
        <w:rPr>
          <w:rFonts w:hint="eastAsia" w:ascii="仿宋_GB2312" w:hAnsi="仿宋_GB2312" w:eastAsia="仿宋_GB2312" w:cs="仿宋_GB2312"/>
          <w:b w:val="0"/>
          <w:bCs w:val="0"/>
          <w:sz w:val="32"/>
          <w:szCs w:val="32"/>
          <w:lang w:val="en-US" w:eastAsia="zh-CN"/>
        </w:rPr>
        <w:t>全面依法治镇委员会及办事机构作用发挥不充分，实质性推进法治建设工作力度不够，对法治建设研究过于“表面”，重部署轻督导，推动重点工作成效有待提升。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宋体" w:eastAsia="仿宋_GB2312" w:cs="仿宋_GB2312"/>
          <w:color w:val="000000"/>
          <w:kern w:val="0"/>
          <w:sz w:val="32"/>
          <w:szCs w:val="32"/>
          <w:lang w:val="en-US" w:eastAsia="zh-CN" w:bidi="ar"/>
        </w:rPr>
        <w:t>干部综合执法能力有待加强。全镇干部年龄偏大，对行政执法工作理解不够深，面对日益复杂的多样化违法案件接触较少，面对不同类型的违法案件时容易出现执法不够大胆果断，执法程序不严谨，执法警示效果不佳等问题，导致个别群众对执法不理解、不配合，出现复议、诉讼、上访等行为，给执法工作造成被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微软雅黑" w:eastAsia="仿宋_GB2312" w:cs="仿宋_GB2312"/>
          <w:i w:val="0"/>
          <w:caps w:val="0"/>
          <w:color w:val="000000" w:themeColor="text1"/>
          <w:spacing w:val="0"/>
          <w:sz w:val="32"/>
          <w:szCs w:val="32"/>
          <w:shd w:val="clear" w:color="auto" w:fill="FFFFFF"/>
          <w:lang w:eastAsia="zh-CN"/>
          <w14:textFill>
            <w14:solidFill>
              <w14:schemeClr w14:val="tx1"/>
            </w14:solidFill>
          </w14:textFill>
        </w:rPr>
      </w:pPr>
      <w:r>
        <w:rPr>
          <w:rFonts w:hint="eastAsia" w:ascii="仿宋_GB2312" w:hAnsi="宋体" w:eastAsia="仿宋_GB2312" w:cs="仿宋_GB2312"/>
          <w:color w:val="000000"/>
          <w:kern w:val="0"/>
          <w:sz w:val="32"/>
          <w:szCs w:val="32"/>
          <w:lang w:val="en-US" w:eastAsia="zh-CN" w:bidi="ar"/>
        </w:rPr>
        <w:t>（三）</w:t>
      </w:r>
      <w:r>
        <w:rPr>
          <w:rFonts w:hint="eastAsia" w:ascii="仿宋_GB2312" w:hAnsi="微软雅黑" w:eastAsia="仿宋_GB2312" w:cs="仿宋_GB2312"/>
          <w:i w:val="0"/>
          <w:caps w:val="0"/>
          <w:color w:val="000000" w:themeColor="text1"/>
          <w:spacing w:val="0"/>
          <w:sz w:val="32"/>
          <w:szCs w:val="32"/>
          <w:shd w:val="clear" w:color="auto" w:fill="FFFFFF"/>
          <w:lang w:eastAsia="zh-CN"/>
          <w14:textFill>
            <w14:solidFill>
              <w14:schemeClr w14:val="tx1"/>
            </w14:solidFill>
          </w14:textFill>
        </w:rPr>
        <w:t>法治宣传教育有待加强。一是法治宣传教育工作主要依托集会、标语等形式开展进行，但影响力仍不足，没有在群众中形成自觉学法、守法、用法的风气。二是宣传方法欠缺、效果欠佳。宣传方式主要以法律条文的宣讲、制作法治宣传栏、发放普法资料为主，群众参与度较低，没有形成双向的互动关系，渗透不足，法治宣传教育手段单一，造成效果不佳。</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黑体" w:cs="Times New Roman"/>
          <w:color w:val="000000"/>
          <w:sz w:val="32"/>
          <w:szCs w:val="32"/>
          <w:lang w:eastAsia="zh-CN"/>
        </w:rPr>
      </w:pPr>
      <w:r>
        <w:rPr>
          <w:rFonts w:hint="eastAsia" w:ascii="仿宋_GB2312" w:hAnsi="宋体" w:eastAsia="仿宋_GB2312" w:cs="仿宋_GB2312"/>
          <w:color w:val="000000"/>
          <w:kern w:val="0"/>
          <w:sz w:val="32"/>
          <w:szCs w:val="32"/>
          <w:lang w:val="en-US" w:eastAsia="zh-CN" w:bidi="ar"/>
        </w:rPr>
        <w:t>（四）</w:t>
      </w:r>
      <w:r>
        <w:rPr>
          <w:rFonts w:hint="eastAsia" w:ascii="仿宋_GB2312" w:hAnsi="仿宋_GB2312" w:eastAsia="仿宋_GB2312" w:cs="仿宋_GB2312"/>
          <w:b w:val="0"/>
          <w:bCs w:val="0"/>
          <w:sz w:val="32"/>
          <w:szCs w:val="32"/>
          <w:lang w:val="en-US" w:eastAsia="zh-CN"/>
        </w:rPr>
        <w:t>法治文化阵地建设品牌较少，未结合镇实际进行打造提升，标准有待进一步提高。普法形式单一、群众参与度低，渗透不足。公共法律服务站法治服务效能未有效发挥。</w:t>
      </w:r>
    </w:p>
    <w:p>
      <w:pPr>
        <w:pStyle w:val="7"/>
        <w:keepNext w:val="0"/>
        <w:keepLines w:val="0"/>
        <w:pageBreakBefore w:val="0"/>
        <w:widowControl w:val="0"/>
        <w:suppressLineNumbers w:val="0"/>
        <w:shd w:val="clear" w:color="auto" w:fill="FFFFFF"/>
        <w:kinsoku/>
        <w:wordWrap/>
        <w:overflowPunct w:val="0"/>
        <w:topLinePunct w:val="0"/>
        <w:autoSpaceDE/>
        <w:autoSpaceDN/>
        <w:bidi w:val="0"/>
        <w:spacing w:before="0" w:beforeAutospacing="0" w:after="0" w:afterAutospacing="0" w:line="570" w:lineRule="exact"/>
        <w:ind w:left="0" w:right="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w:t>
      </w:r>
      <w:r>
        <w:rPr>
          <w:rFonts w:hint="default" w:ascii="Times New Roman" w:hAnsi="Times New Roman" w:eastAsia="黑体" w:cs="Times New Roman"/>
          <w:sz w:val="32"/>
          <w:szCs w:val="32"/>
        </w:rPr>
        <w:t>20</w:t>
      </w:r>
      <w:r>
        <w:rPr>
          <w:rFonts w:hint="default" w:ascii="Times New Roman" w:hAnsi="Times New Roman" w:eastAsia="黑体" w:cs="Times New Roman"/>
          <w:sz w:val="32"/>
          <w:szCs w:val="32"/>
          <w:lang w:val="en-US" w:eastAsia="zh-CN"/>
        </w:rPr>
        <w:t>24</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eastAsia="zh-CN"/>
        </w:rPr>
        <w:t>推进法治政府建设的主要计划安排</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宋体" w:eastAsia="仿宋_GB2312" w:cs="仿宋_GB2312"/>
          <w:color w:val="000000"/>
          <w:kern w:val="0"/>
          <w:sz w:val="32"/>
          <w:szCs w:val="32"/>
          <w:lang w:val="en-US" w:eastAsia="zh-CN" w:bidi="ar"/>
        </w:rPr>
        <w:t>（一）对习近平法治思想学深悟透程度不够，学用结合不紧，重视集体学习，对班子成员学习重部署请督促，没有完全将法治思想切实运用到解决工作实际问题中去，缺少和专家顾问深入交流探讨思想精华。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宋体" w:eastAsia="仿宋_GB2312" w:cs="仿宋_GB2312"/>
          <w:color w:val="000000"/>
          <w:kern w:val="0"/>
          <w:sz w:val="32"/>
          <w:szCs w:val="32"/>
          <w:lang w:val="en-US" w:eastAsia="zh-CN" w:bidi="ar"/>
        </w:rPr>
        <w:t>干部综合执法能力有待加强。全镇干部年龄偏大，对行政执法工作理解不够深，面对日益复杂的多样化违法案件接触较少，面对不同类型的违法案件时容易出现执法不够大胆果断，执法程序不严谨，执法警示效果不佳等问题，导致个别群众对执法不理解、不配合，出现复议、诉讼、上访等行为，给执法工作造成被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微软雅黑" w:eastAsia="仿宋_GB2312" w:cs="仿宋_GB2312"/>
          <w:i w:val="0"/>
          <w:caps w:val="0"/>
          <w:color w:val="000000" w:themeColor="text1"/>
          <w:spacing w:val="0"/>
          <w:sz w:val="32"/>
          <w:szCs w:val="32"/>
          <w:shd w:val="clear" w:color="auto" w:fill="FFFFFF"/>
          <w:lang w:eastAsia="zh-CN"/>
          <w14:textFill>
            <w14:solidFill>
              <w14:schemeClr w14:val="tx1"/>
            </w14:solidFill>
          </w14:textFill>
        </w:rPr>
      </w:pPr>
      <w:r>
        <w:rPr>
          <w:rFonts w:hint="eastAsia" w:ascii="仿宋_GB2312" w:hAnsi="宋体" w:eastAsia="仿宋_GB2312" w:cs="仿宋_GB2312"/>
          <w:color w:val="000000"/>
          <w:kern w:val="0"/>
          <w:sz w:val="32"/>
          <w:szCs w:val="32"/>
          <w:lang w:val="en-US" w:eastAsia="zh-CN" w:bidi="ar"/>
        </w:rPr>
        <w:t>（三）</w:t>
      </w:r>
      <w:r>
        <w:rPr>
          <w:rFonts w:hint="eastAsia" w:ascii="仿宋_GB2312" w:hAnsi="微软雅黑" w:eastAsia="仿宋_GB2312" w:cs="仿宋_GB2312"/>
          <w:i w:val="0"/>
          <w:caps w:val="0"/>
          <w:color w:val="000000" w:themeColor="text1"/>
          <w:spacing w:val="0"/>
          <w:sz w:val="32"/>
          <w:szCs w:val="32"/>
          <w:shd w:val="clear" w:color="auto" w:fill="FFFFFF"/>
          <w:lang w:eastAsia="zh-CN"/>
          <w14:textFill>
            <w14:solidFill>
              <w14:schemeClr w14:val="tx1"/>
            </w14:solidFill>
          </w14:textFill>
        </w:rPr>
        <w:t>法治宣传教育有待加强。一是法治宣传教育工作主要依托集会、标语等形式开展进行，但影响力仍不足，没有在群众中形成自觉学法、守法、用法的风气。二是宣传方法欠缺、效果欠佳。宣传方式主要以法律条文的宣讲、制作法治宣传栏、发放普法资料为主，群众参与度较低，没有形成双向的互动关系，渗透不足，法治宣传教育手段单一，造成效果不佳。</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bidi="ar"/>
        </w:rPr>
        <w:t>（四）</w:t>
      </w:r>
      <w:r>
        <w:rPr>
          <w:rFonts w:hint="eastAsia" w:ascii="仿宋_GB2312" w:hAnsi="仿宋_GB2312" w:eastAsia="仿宋_GB2312" w:cs="仿宋_GB2312"/>
          <w:b w:val="0"/>
          <w:bCs w:val="0"/>
          <w:sz w:val="32"/>
          <w:szCs w:val="32"/>
          <w:lang w:val="en-US" w:eastAsia="zh-CN"/>
        </w:rPr>
        <w:t>法治文化阵地建设品牌较少，未结合镇实际进行打造提升，标准有待进一步提高。普法形式单一、群众参与度低，渗透不足。公共法律服务站法治服务效能未有效发挥。</w:t>
      </w:r>
    </w:p>
    <w:p>
      <w:pPr>
        <w:keepNext w:val="0"/>
        <w:keepLines w:val="0"/>
        <w:pageBreakBefore w:val="0"/>
        <w:widowControl w:val="0"/>
        <w:kinsoku/>
        <w:wordWrap/>
        <w:overflowPunct w:val="0"/>
        <w:topLinePunct w:val="0"/>
        <w:autoSpaceDE/>
        <w:autoSpaceDN/>
        <w:bidi w:val="0"/>
        <w:adjustRightInd/>
        <w:spacing w:line="570" w:lineRule="exact"/>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特此报告。</w:t>
      </w:r>
    </w:p>
    <w:p>
      <w:pPr>
        <w:pStyle w:val="2"/>
        <w:rPr>
          <w:rFonts w:hint="default" w:ascii="Times New Roman" w:hAnsi="Times New Roman" w:eastAsia="仿宋_GB2312" w:cs="Times New Roman"/>
          <w:color w:val="000000"/>
          <w:kern w:val="0"/>
          <w:sz w:val="32"/>
          <w:szCs w:val="32"/>
          <w:lang w:val="en-US" w:eastAsia="zh-CN"/>
        </w:rPr>
      </w:pPr>
    </w:p>
    <w:p>
      <w:pPr>
        <w:pStyle w:val="2"/>
        <w:rPr>
          <w:rFonts w:hint="default" w:ascii="Times New Roman" w:hAnsi="Times New Roman" w:eastAsia="仿宋_GB2312" w:cs="Times New Roman"/>
          <w:color w:val="000000"/>
          <w:kern w:val="0"/>
          <w:sz w:val="32"/>
          <w:szCs w:val="32"/>
          <w:lang w:val="en-US" w:eastAsia="zh-CN"/>
        </w:rPr>
      </w:pPr>
    </w:p>
    <w:p>
      <w:pPr>
        <w:keepNext w:val="0"/>
        <w:keepLines w:val="0"/>
        <w:pageBreakBefore w:val="0"/>
        <w:widowControl w:val="0"/>
        <w:kinsoku/>
        <w:wordWrap/>
        <w:overflowPunct w:val="0"/>
        <w:topLinePunct w:val="0"/>
        <w:autoSpaceDE/>
        <w:autoSpaceDN/>
        <w:bidi w:val="0"/>
        <w:adjustRightInd/>
        <w:spacing w:line="570" w:lineRule="exact"/>
        <w:ind w:firstLine="5760" w:firstLineChars="1800"/>
        <w:jc w:val="left"/>
        <w:textAlignment w:val="auto"/>
        <w:outlineLvl w:val="9"/>
        <w:rPr>
          <w:rFonts w:hint="default" w:ascii="Times New Roman" w:hAnsi="Times New Roman" w:eastAsia="仿宋_GB2312" w:cs="Times New Roman"/>
          <w:color w:val="000000"/>
          <w:kern w:val="0"/>
          <w:sz w:val="32"/>
          <w:szCs w:val="32"/>
          <w:lang w:val="en-US" w:eastAsia="zh-CN"/>
        </w:rPr>
      </w:pPr>
      <w:bookmarkStart w:id="0" w:name="_GoBack"/>
      <w:bookmarkEnd w:id="0"/>
      <w:r>
        <w:rPr>
          <w:rFonts w:hint="default" w:ascii="Times New Roman" w:hAnsi="Times New Roman" w:eastAsia="仿宋_GB2312" w:cs="Times New Roman"/>
          <w:color w:val="000000"/>
          <w:kern w:val="0"/>
          <w:sz w:val="32"/>
          <w:szCs w:val="32"/>
          <w:lang w:val="en-US" w:eastAsia="zh-CN"/>
        </w:rPr>
        <w:t>中共</w:t>
      </w:r>
      <w:r>
        <w:rPr>
          <w:rFonts w:hint="eastAsia" w:ascii="Times New Roman" w:hAnsi="Times New Roman" w:eastAsia="仿宋_GB2312" w:cs="Times New Roman"/>
          <w:color w:val="000000"/>
          <w:kern w:val="0"/>
          <w:sz w:val="32"/>
          <w:szCs w:val="32"/>
          <w:lang w:val="en-US" w:eastAsia="zh-CN"/>
        </w:rPr>
        <w:t>鲁村镇</w:t>
      </w:r>
      <w:r>
        <w:rPr>
          <w:rFonts w:hint="default" w:ascii="Times New Roman" w:hAnsi="Times New Roman" w:eastAsia="仿宋_GB2312" w:cs="Times New Roman"/>
          <w:color w:val="000000"/>
          <w:kern w:val="0"/>
          <w:sz w:val="32"/>
          <w:szCs w:val="32"/>
          <w:lang w:val="en-US" w:eastAsia="zh-CN"/>
        </w:rPr>
        <w:t>委</w:t>
      </w:r>
    </w:p>
    <w:p>
      <w:pPr>
        <w:keepNext w:val="0"/>
        <w:keepLines w:val="0"/>
        <w:pageBreakBefore w:val="0"/>
        <w:widowControl w:val="0"/>
        <w:kinsoku/>
        <w:wordWrap/>
        <w:overflowPunct w:val="0"/>
        <w:topLinePunct w:val="0"/>
        <w:autoSpaceDE/>
        <w:autoSpaceDN/>
        <w:bidi w:val="0"/>
        <w:adjustRightInd/>
        <w:spacing w:line="570" w:lineRule="exact"/>
        <w:ind w:firstLine="5440" w:firstLineChars="1700"/>
        <w:jc w:val="left"/>
        <w:textAlignment w:val="auto"/>
        <w:outlineLvl w:val="9"/>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鲁村镇</w:t>
      </w:r>
      <w:r>
        <w:rPr>
          <w:rFonts w:hint="default" w:ascii="Times New Roman" w:hAnsi="Times New Roman" w:eastAsia="仿宋_GB2312" w:cs="Times New Roman"/>
          <w:color w:val="000000"/>
          <w:kern w:val="0"/>
          <w:sz w:val="32"/>
          <w:szCs w:val="32"/>
          <w:lang w:val="en-US" w:eastAsia="zh-CN"/>
        </w:rPr>
        <w:t>人民政府</w:t>
      </w:r>
    </w:p>
    <w:p>
      <w:pPr>
        <w:pStyle w:val="3"/>
        <w:keepNext w:val="0"/>
        <w:keepLines w:val="0"/>
        <w:pageBreakBefore w:val="0"/>
        <w:widowControl w:val="0"/>
        <w:kinsoku/>
        <w:wordWrap/>
        <w:overflowPunct w:val="0"/>
        <w:topLinePunct w:val="0"/>
        <w:autoSpaceDE/>
        <w:autoSpaceDN/>
        <w:bidi w:val="0"/>
        <w:adjustRightInd/>
        <w:spacing w:line="570" w:lineRule="exact"/>
        <w:ind w:firstLine="5440" w:firstLineChars="1700"/>
        <w:jc w:val="both"/>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2024年</w:t>
      </w:r>
      <w:r>
        <w:rPr>
          <w:rFonts w:hint="eastAsia" w:asci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lang w:val="en-US" w:eastAsia="zh-CN"/>
        </w:rPr>
        <w:t>月</w:t>
      </w:r>
      <w:r>
        <w:rPr>
          <w:rFonts w:hint="eastAsia" w:ascii="Times New Roman" w:eastAsia="仿宋_GB2312" w:cs="Times New Roman"/>
          <w:color w:val="000000"/>
          <w:kern w:val="0"/>
          <w:sz w:val="32"/>
          <w:szCs w:val="32"/>
          <w:lang w:val="en-US" w:eastAsia="zh-CN"/>
        </w:rPr>
        <w:t>15</w:t>
      </w:r>
      <w:r>
        <w:rPr>
          <w:rFonts w:hint="default" w:ascii="Times New Roman" w:hAnsi="Times New Roman" w:eastAsia="仿宋_GB2312" w:cs="Times New Roman"/>
          <w:color w:val="000000"/>
          <w:kern w:val="0"/>
          <w:sz w:val="32"/>
          <w:szCs w:val="32"/>
          <w:lang w:val="en-US" w:eastAsia="zh-CN"/>
        </w:rPr>
        <w:t>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jlkYTBhMGI3NzQyMTk0NzgxMDBlY2UyNDIzNzMifQ=="/>
  </w:docVars>
  <w:rsids>
    <w:rsidRoot w:val="00000000"/>
    <w:rsid w:val="2C645E65"/>
    <w:rsid w:val="61D83886"/>
    <w:rsid w:val="6D346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spacing w:line="240" w:lineRule="auto"/>
    </w:pPr>
    <w:rPr>
      <w:rFonts w:ascii="Times New Roman" w:hAnsi="Times New Roman"/>
    </w:rPr>
  </w:style>
  <w:style w:type="paragraph" w:styleId="3">
    <w:name w:val="Body Text"/>
    <w:basedOn w:val="1"/>
    <w:next w:val="4"/>
    <w:autoRedefine/>
    <w:qFormat/>
    <w:uiPriority w:val="0"/>
    <w:pPr>
      <w:jc w:val="center"/>
    </w:pPr>
    <w:rPr>
      <w:rFonts w:ascii="宋体" w:hAnsi="Times New Roman" w:eastAsia="宋体" w:cs="Times New Roman"/>
      <w:sz w:val="44"/>
    </w:rPr>
  </w:style>
  <w:style w:type="paragraph" w:styleId="4">
    <w:name w:val="Body Text First Indent"/>
    <w:basedOn w:val="3"/>
    <w:autoRedefine/>
    <w:qFormat/>
    <w:uiPriority w:val="0"/>
    <w:pPr>
      <w:ind w:firstLine="420" w:firstLineChars="100"/>
    </w:pPr>
    <w:rPr>
      <w:rFonts w:ascii="Times New Roma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qFormat/>
    <w:uiPriority w:val="99"/>
    <w:pPr>
      <w:jc w:val="left"/>
    </w:pPr>
    <w:rPr>
      <w:kern w:val="0"/>
      <w:sz w:val="24"/>
      <w:szCs w:val="24"/>
    </w:rPr>
  </w:style>
  <w:style w:type="paragraph" w:customStyle="1" w:styleId="11">
    <w:name w:val="Default"/>
    <w:autoRedefine/>
    <w:qFormat/>
    <w:uiPriority w:val="99"/>
    <w:pPr>
      <w:widowControl w:val="0"/>
      <w:autoSpaceDE w:val="0"/>
      <w:autoSpaceDN w:val="0"/>
      <w:adjustRightInd w:val="0"/>
    </w:pPr>
    <w:rPr>
      <w:rFonts w:ascii="黑体" w:hAnsi="黑体" w:eastAsia="黑体" w:cs="黑体"/>
      <w:color w:val="000000"/>
      <w:sz w:val="24"/>
      <w:szCs w:val="24"/>
      <w:lang w:val="en-US" w:eastAsia="zh-CN" w:bidi="ar-SA"/>
    </w:rPr>
  </w:style>
  <w:style w:type="paragraph" w:customStyle="1" w:styleId="12">
    <w:name w:val="BodyText"/>
    <w:basedOn w:val="1"/>
    <w:autoRedefine/>
    <w:qFormat/>
    <w:uiPriority w:val="0"/>
    <w:pPr>
      <w:widowControl w:val="0"/>
      <w:adjustRightInd/>
      <w:snapToGrid/>
      <w:spacing w:after="0"/>
      <w:jc w:val="both"/>
      <w:textAlignment w:val="baseline"/>
    </w:pPr>
    <w:rPr>
      <w:rFonts w:ascii="Arial" w:hAnsi="Arial"/>
      <w:color w:val="000000"/>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2024-01-15T00:17:00Z</dcterms:created>
  <dc:creator>LC001</dc:creator>
  <cp:lastModifiedBy>Gabriel</cp:lastModifiedBy>
  <dcterms:modified xsi:type="dcterms:W3CDTF">2024-01-15T00:33:02Z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BA2DA30E48794F799205884A95AD8C1F_13</vt:lpwstr>
  </property>
</Properties>
</file>