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（</w:t>
      </w:r>
      <w:r>
        <w:rPr>
          <w:rFonts w:hint="eastAsia" w:cs="Times New Roman"/>
          <w:b w:val="0"/>
          <w:bCs w:val="0"/>
          <w:color w:val="auto"/>
          <w:sz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类）</w:t>
      </w:r>
    </w:p>
    <w:p w14:paraId="56752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000" w:lineRule="exact"/>
        <w:ind w:left="0" w:leftChars="0" w:right="342" w:rightChars="107" w:firstLine="0" w:firstLineChars="0"/>
        <w:jc w:val="center"/>
        <w:textAlignment w:val="auto"/>
        <w:rPr>
          <w:rFonts w:ascii="方正小标宋简体" w:hAnsi="华文中宋" w:eastAsia="方正小标宋简体"/>
          <w:color w:val="FF0000"/>
          <w:spacing w:val="45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5"/>
          <w:w w:val="50"/>
          <w:sz w:val="140"/>
          <w:szCs w:val="140"/>
        </w:rPr>
        <w:t>沂源县科学技术局文件</w:t>
      </w:r>
    </w:p>
    <w:p w14:paraId="0DF6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eastAsia" w:cs="Times New Roman"/>
          <w:b w:val="0"/>
          <w:bCs w:val="0"/>
          <w:color w:val="auto"/>
          <w:sz w:val="32"/>
          <w:lang w:val="en-US" w:eastAsia="zh-CN"/>
        </w:rPr>
        <w:t>源科字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〕</w:t>
      </w:r>
      <w:r>
        <w:rPr>
          <w:rFonts w:hint="eastAsia" w:cs="Times New Roman"/>
          <w:b w:val="0"/>
          <w:bCs w:val="0"/>
          <w:color w:val="auto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签发人：</w:t>
      </w:r>
      <w:r>
        <w:rPr>
          <w:rFonts w:hint="eastAsia" w:cs="Times New Roman"/>
          <w:b w:val="0"/>
          <w:bCs w:val="0"/>
          <w:color w:val="auto"/>
          <w:sz w:val="32"/>
          <w:lang w:val="en-US" w:eastAsia="zh-CN"/>
        </w:rPr>
        <w:t>徐统智</w:t>
      </w:r>
    </w:p>
    <w:p w14:paraId="5A09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109220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8.6pt;height:0pt;width:441pt;z-index:251659264;mso-width-relative:page;mso-height-relative:page;" filled="f" stroked="t" coordsize="21600,21600" o:gfxdata="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pmqt1wAAAAgBAAAPAAAAAAAAAAEAIAAAACIAAABkcnMvZG93bnJldi54bWxQSwEC&#10;FAAUAAAACACHTuJAieuxEfUBAADlAwAADgAAAAAAAAABACAAAAAm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9CA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98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</w:rPr>
      </w:pPr>
    </w:p>
    <w:p w14:paraId="6C44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对县十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届人大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次会议代表第</w:t>
      </w:r>
      <w:r>
        <w:rPr>
          <w:rFonts w:hint="eastAsia" w:eastAsia="方正小标宋简体" w:cs="Times New Roman"/>
          <w:b w:val="0"/>
          <w:bCs w:val="0"/>
          <w:color w:val="auto"/>
          <w:spacing w:val="-20"/>
          <w:sz w:val="44"/>
          <w:szCs w:val="44"/>
          <w:lang w:val="en-US" w:eastAsia="zh-CN"/>
        </w:rPr>
        <w:t>58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号建议的答复</w:t>
      </w:r>
    </w:p>
    <w:p w14:paraId="1737618E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 w14:paraId="193D0230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eastAsia" w:cs="Times New Roman"/>
          <w:b w:val="0"/>
          <w:bCs w:val="0"/>
          <w:color w:val="auto"/>
          <w:sz w:val="32"/>
          <w:lang w:val="en-US" w:eastAsia="zh-CN"/>
        </w:rPr>
        <w:t>周利缘、宋纪刚、刘欣、董娟、徐勤超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代表：</w:t>
      </w:r>
    </w:p>
    <w:p w14:paraId="2536CE24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您提出的关于</w:t>
      </w:r>
      <w:r>
        <w:rPr>
          <w:rFonts w:hint="eastAsia" w:cs="Times New Roman"/>
          <w:b w:val="0"/>
          <w:bCs w:val="0"/>
          <w:color w:val="auto"/>
          <w:sz w:val="32"/>
          <w:lang w:val="en-US" w:eastAsia="zh-CN"/>
        </w:rPr>
        <w:t>关于加大人才引进工作力度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的建议收悉。现答复如下：</w:t>
      </w:r>
    </w:p>
    <w:p w14:paraId="11FB42BD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“科技是第一生产力，人才是第一资源”。作为全县科技人才队伍建设的主管部门，2024年，县科技局坚持“以用为主、服务发展”人才理念，聚焦县域产业发展需求，优化科技人才发展机制，在高层次人才引育、产学研用合作、人才平台打造等方面，蓄势加力、攻坚突破，为全县高质量发展夯实科技人才支撑，赋能科创优势，加快培育县域新质生产力。现将相关工作汇报如下：</w:t>
      </w:r>
    </w:p>
    <w:p w14:paraId="51E09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4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cs="Times New Roman"/>
        </w:rPr>
        <w:t>1、</w:t>
      </w:r>
      <w:r>
        <w:rPr>
          <w:rFonts w:eastAsia="楷体_GB2312" w:cs="Times New Roman"/>
        </w:rPr>
        <w:t>聚焦产业前沿，加速链接高端科技人才</w:t>
      </w:r>
      <w:r>
        <w:rPr>
          <w:rFonts w:cs="Times New Roman"/>
        </w:rPr>
        <w:t>。</w:t>
      </w:r>
      <w:r>
        <w:rPr>
          <w:rFonts w:eastAsia="黑体" w:cs="Times New Roma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探索构建产业引才联盟。整合县域医药、新材料等支柱产业优势，推动形成以药玻公司、华源公司等骨干企业为龙头的“引才共同体”，积极对接“大校大院大所”，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2024年，引进高层次人才20名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</w:rPr>
        <w:t>申报重点人才工程18人次，其中10人次进入国家级评审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高效借智借力推动产业加速发展。</w:t>
      </w:r>
      <w:r>
        <w:rPr>
          <w:rFonts w:eastAsia="黑体" w:cs="Times New Roma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探索实施市场化引才模式。深入贯彻国家级高层次人才工作精神，全力夯实科技担当，全天候推进华源新材与山东省人才发展集团市场化引才合作，帮助企业引进5名以上海外尖端人才，全力推动国家级高层次人才火炬计划申报实现破题，并探索出一条县域企业可复制、可推广的市场化引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径。</w:t>
      </w:r>
      <w:r>
        <w:rPr>
          <w:rFonts w:eastAsia="黑体" w:cs="Times New Roma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建强用好科技副职工作团。通过政府搭台、企业引才模式，帮助企业选聘一批优质高校专家教授担任企业“科技副总”，完善优化科技副总工作团运行机制，用好科技副职“才脉”资源，进一步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展县域产业高端人才“朋友圈”。 目前，累计聘任“科技副总”3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人，解决企业技术难题36个，实现科技成果转化12项。</w:t>
      </w:r>
    </w:p>
    <w:p w14:paraId="14008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4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cs="Times New Roman"/>
        </w:rPr>
        <w:t>2、</w:t>
      </w:r>
      <w:r>
        <w:rPr>
          <w:rFonts w:eastAsia="楷体_GB2312" w:cs="Times New Roman"/>
        </w:rPr>
        <w:t>瞄准企业痛点，全面深化产学研合作</w:t>
      </w:r>
      <w:r>
        <w:rPr>
          <w:rFonts w:cs="Times New Roman"/>
        </w:rPr>
        <w:t>。</w:t>
      </w:r>
      <w:r>
        <w:rPr>
          <w:rFonts w:eastAsia="黑体" w:cs="Times New Roma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建立企业科技人才动态需求机制。坚持常态化入企服务，详细掌握县域企业技术、人才需求情况，定期更新需求台账，帮助企业“按图索骥”精准引才，推动“粗放式、同质化内卷”向“精准化、真需要招引”转变。累计走访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130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余家，征集梳理技术和人才需求30余项。</w:t>
      </w:r>
      <w:r>
        <w:rPr>
          <w:rFonts w:eastAsia="黑体" w:cs="Times New Roma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坚持高位推进。发挥县领导带队引才优势，高标准谋划沂源县“一城多校”科技合作名校直通车-上海专场、广东专场等活动，搭建县内企业与同济大学、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南开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大学、上海大学等知名高校合作渠道，力争新促成项目合作意向10项以上。</w:t>
      </w:r>
      <w:r>
        <w:rPr>
          <w:rFonts w:eastAsia="黑体" w:cs="Times New Roma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创新产学研合作模式。完善“企业当主角、政府搭平台、高校出资源”的政产学研协同创新长效机制，鼓励企业通过“揭榜挂帅”、兼职短聘、技术入股等方式，与高校专家教授建立稳固合作关系，实现企业精准借智高效用才。</w:t>
      </w:r>
    </w:p>
    <w:p w14:paraId="306F3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4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cs="Times New Roman"/>
        </w:rPr>
        <w:t>3、</w:t>
      </w:r>
      <w:r>
        <w:rPr>
          <w:rFonts w:eastAsia="楷体_GB2312" w:cs="Times New Roman"/>
        </w:rPr>
        <w:t>聚力成果转化，做强建优科创平台载体</w:t>
      </w:r>
      <w:r>
        <w:rPr>
          <w:rFonts w:cs="Times New Roman"/>
        </w:rPr>
        <w:t>。</w:t>
      </w:r>
      <w:r>
        <w:rPr>
          <w:rFonts w:eastAsia="黑体" w:cs="Times New Roma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实施高能级创新平台提质扩量行动。坚持分类施策、梯度培育原则，围绕国家及省市重点研发支持方向，立足我县实际，科学有序推动瑞阳制药、药玻公司、鲁阳节能、瑞丰高材等骨干企业，重组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或建设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省重点实验室。加快培育鸿源新材、博拓新材等科技型中小企业，建设市重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科技创新平台。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2024年，新建省重点实验室1家、市重点实验室2家。</w:t>
      </w:r>
      <w:r>
        <w:rPr>
          <w:rFonts w:eastAsia="黑体" w:cs="Times New Roman"/>
        </w:rPr>
        <w:t>二是</w:t>
      </w:r>
      <w:r>
        <w:rPr>
          <w:rFonts w:cs="Times New Roman"/>
        </w:rPr>
        <w:t>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设科技成果转化基地。用好哈工大政务实践基地建设经验，加快推进兴国集团与山东科技大学共建科技成果转化中心，全力打造集成果转化、项目孵化、大学生实践等综合性多功能基地，推动山东科技大学更多科技成果在我县转化，吸引更多优秀学子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县实践锻炼。</w:t>
      </w:r>
      <w:r>
        <w:rPr>
          <w:rFonts w:eastAsia="黑体" w:cs="Times New Roma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支持人才飞地建设。鼓励引导县内有条件的科技型企业，借鉴瑞阳制药等企业科研飞地建设模式，在经济发达、高校密集的城市建设科研飞地，就地吸引和使用人才，弥补产业技术短板，实现“人才引进、科技研发在大城市，成果转化在沂源”，年内实现科技成果转化项目30项以上。</w:t>
      </w:r>
    </w:p>
    <w:p w14:paraId="1116F010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下一步，我们将进一步完善工作思路、优化工作举措，全力以赴抓好科技系统人才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引育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工作，力争各项目标任务实现新突破。</w:t>
      </w:r>
    </w:p>
    <w:p w14:paraId="38CCC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p w14:paraId="6893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510" w:firstLineChars="1097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 xml:space="preserve">      </w:t>
      </w:r>
    </w:p>
    <w:p w14:paraId="35A1F8EB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沂源县科技局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 xml:space="preserve">    </w:t>
      </w:r>
    </w:p>
    <w:p w14:paraId="0C6142C1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日</w:t>
      </w:r>
    </w:p>
    <w:p w14:paraId="66D36F37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 w14:paraId="59446417">
      <w:pPr>
        <w:keepNext w:val="0"/>
        <w:keepLines w:val="0"/>
        <w:pageBreakBefore w:val="0"/>
        <w:widowControl w:val="0"/>
        <w:tabs>
          <w:tab w:val="left" w:pos="4320"/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（联系单位：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县科技局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；联系人：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刘伟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；联系电话：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3241139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）</w:t>
      </w:r>
    </w:p>
    <w:p w14:paraId="6A56EDA9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（可以公开）</w:t>
      </w:r>
    </w:p>
    <w:p w14:paraId="478B0B63"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抄送：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县委办公室、县政府办公室，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县人大常委会人事代表室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。</w:t>
      </w:r>
      <w:bookmarkStart w:id="0" w:name="_GoBack"/>
      <w:bookmarkEnd w:id="0"/>
    </w:p>
    <w:p w14:paraId="4A541565">
      <w:pPr>
        <w:pStyle w:val="7"/>
        <w:rPr>
          <w:rFonts w:hint="default"/>
          <w:lang w:val="en-US" w:eastAsia="zh-CN"/>
        </w:rPr>
      </w:pPr>
    </w:p>
    <w:p w14:paraId="0D17F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eastAsia="方正小标宋简体"/>
          <w:b/>
          <w:bCs/>
          <w:sz w:val="44"/>
          <w:szCs w:val="44"/>
        </w:rPr>
      </w:pPr>
    </w:p>
    <w:p w14:paraId="7E68D50C">
      <w:pPr>
        <w:ind w:firstLine="624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ZjE4NmNkMjRlNTk0YjA2OTI0ZmU0NmU3MzliZDAifQ=="/>
  </w:docVars>
  <w:rsids>
    <w:rsidRoot w:val="00000000"/>
    <w:rsid w:val="3D076BC5"/>
    <w:rsid w:val="4C6B5B06"/>
    <w:rsid w:val="56FD5545"/>
    <w:rsid w:val="61C6117D"/>
    <w:rsid w:val="61E57855"/>
    <w:rsid w:val="6F2D5976"/>
    <w:rsid w:val="777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99"/>
    <w:pPr>
      <w:ind w:firstLine="660" w:firstLineChars="150"/>
    </w:p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1614</Characters>
  <Lines>0</Lines>
  <Paragraphs>0</Paragraphs>
  <TotalTime>5</TotalTime>
  <ScaleCrop>false</ScaleCrop>
  <LinksUpToDate>false</LinksUpToDate>
  <CharactersWithSpaces>1668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2024-09-04T07:29:00Z</dcterms:created>
  <dc:creator>Unis</dc:creator>
  <cp:lastModifiedBy>Leno</cp:lastModifiedBy>
  <dcterms:modified xsi:type="dcterms:W3CDTF">2024-10-17T00:46:36Z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7EAB998F19254433907EAB0743A4269B_13</vt:lpwstr>
  </property>
</Properties>
</file>