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3" w:line="218" w:lineRule="auto"/>
        <w:jc w:val="center"/>
        <w:rPr>
          <w:rFonts w:hint="eastAsia" w:ascii="方正小标宋简体" w:hAnsi="方正小标宋简体" w:eastAsia="方正小标宋简体" w:cs="方正小标宋简体"/>
          <w:b w:val="0"/>
          <w:bCs w:val="0"/>
          <w:spacing w:val="1"/>
          <w:sz w:val="44"/>
          <w:szCs w:val="44"/>
          <w:lang w:val="en-US" w:eastAsia="zh-CN"/>
        </w:rPr>
      </w:pPr>
      <w:r>
        <w:rPr>
          <w:rFonts w:hint="eastAsia" w:ascii="方正小标宋简体" w:hAnsi="方正小标宋简体" w:eastAsia="方正小标宋简体" w:cs="方正小标宋简体"/>
          <w:b w:val="0"/>
          <w:bCs w:val="0"/>
          <w:spacing w:val="1"/>
          <w:sz w:val="44"/>
          <w:szCs w:val="44"/>
          <w:lang w:val="en-US" w:eastAsia="zh-CN"/>
        </w:rPr>
        <w:t>沂源经济开发区管理委员会</w:t>
      </w:r>
    </w:p>
    <w:p>
      <w:pPr>
        <w:spacing w:before="133" w:line="218"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lang w:val="en-US" w:eastAsia="zh-CN"/>
        </w:rPr>
        <w:t>2023年</w:t>
      </w:r>
      <w:r>
        <w:rPr>
          <w:rFonts w:hint="eastAsia" w:ascii="方正小标宋简体" w:hAnsi="方正小标宋简体" w:eastAsia="方正小标宋简体" w:cs="方正小标宋简体"/>
          <w:b w:val="0"/>
          <w:bCs w:val="0"/>
          <w:spacing w:val="1"/>
          <w:sz w:val="44"/>
          <w:szCs w:val="44"/>
        </w:rPr>
        <w:t>政府信息公开工作年度报告</w:t>
      </w:r>
    </w:p>
    <w:p>
      <w:pPr>
        <w:spacing w:line="40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仿宋_GB2312" w:hAnsi="仿宋_GB2312" w:eastAsia="仿宋_GB2312" w:cs="仿宋_GB2312"/>
          <w:snapToGrid w:val="0"/>
          <w:color w:val="000000"/>
          <w:spacing w:val="-1"/>
          <w:kern w:val="0"/>
          <w:sz w:val="32"/>
          <w:szCs w:val="32"/>
          <w:lang w:val="en-US" w:eastAsia="en-US" w:bidi="ar-SA"/>
        </w:rPr>
        <w:t>本报告依据《中华人民共和国政府信息公开条例》（以下简称《条例》）、《国务院办公厅政府信息与政务公开办公室关于印发&lt;中华人民共和国政府信息公开工作年度报告格式&gt;的通知》（国办公开办函〔2021〕30号）及省市有关政府信息公开年报编制要求编制</w:t>
      </w:r>
      <w:r>
        <w:rPr>
          <w:rFonts w:hint="eastAsia" w:ascii="仿宋_GB2312" w:hAnsi="仿宋_GB2312" w:eastAsia="仿宋_GB2312" w:cs="仿宋_GB2312"/>
          <w:snapToGrid w:val="0"/>
          <w:color w:val="000000"/>
          <w:spacing w:val="-1"/>
          <w:kern w:val="0"/>
          <w:sz w:val="32"/>
          <w:szCs w:val="32"/>
          <w:lang w:val="en-US" w:eastAsia="zh-CN" w:bidi="ar-SA"/>
        </w:rPr>
        <w:t>。报告</w:t>
      </w:r>
      <w:r>
        <w:rPr>
          <w:rFonts w:hint="eastAsia" w:ascii="仿宋_GB2312" w:hAnsi="仿宋_GB2312" w:eastAsia="仿宋_GB2312" w:cs="仿宋_GB2312"/>
          <w:snapToGrid w:val="0"/>
          <w:color w:val="000000"/>
          <w:spacing w:val="-1"/>
          <w:kern w:val="0"/>
          <w:sz w:val="32"/>
          <w:szCs w:val="32"/>
          <w:lang w:val="en-US" w:eastAsia="en-US" w:bidi="ar-SA"/>
        </w:rPr>
        <w:t>全文由总体情况、主动公开政府信息情况、收到和处理政府信息公开申请情况、因政府信息公开工作被申请行政复议与提起行政诉讼情况、政府信息公开工作存在的主要问题及改进情况及其他需要报告的事项等六个部分组成。报告数据统计期限自202</w:t>
      </w:r>
      <w:r>
        <w:rPr>
          <w:rFonts w:hint="eastAsia" w:ascii="仿宋_GB2312" w:hAnsi="仿宋_GB2312" w:eastAsia="仿宋_GB2312" w:cs="仿宋_GB2312"/>
          <w:snapToGrid w:val="0"/>
          <w:color w:val="000000"/>
          <w:spacing w:val="-1"/>
          <w:kern w:val="0"/>
          <w:sz w:val="32"/>
          <w:szCs w:val="32"/>
          <w:lang w:val="en-US" w:eastAsia="zh-CN" w:bidi="ar-SA"/>
        </w:rPr>
        <w:t>3</w:t>
      </w:r>
      <w:r>
        <w:rPr>
          <w:rFonts w:hint="eastAsia" w:ascii="仿宋_GB2312" w:hAnsi="仿宋_GB2312" w:eastAsia="仿宋_GB2312" w:cs="仿宋_GB2312"/>
          <w:snapToGrid w:val="0"/>
          <w:color w:val="000000"/>
          <w:spacing w:val="-1"/>
          <w:kern w:val="0"/>
          <w:sz w:val="32"/>
          <w:szCs w:val="32"/>
          <w:lang w:val="en-US" w:eastAsia="en-US" w:bidi="ar-SA"/>
        </w:rPr>
        <w:t>年1月1日始，至202</w:t>
      </w:r>
      <w:r>
        <w:rPr>
          <w:rFonts w:hint="eastAsia" w:ascii="仿宋_GB2312" w:hAnsi="仿宋_GB2312" w:eastAsia="仿宋_GB2312" w:cs="仿宋_GB2312"/>
          <w:snapToGrid w:val="0"/>
          <w:color w:val="000000"/>
          <w:spacing w:val="-1"/>
          <w:kern w:val="0"/>
          <w:sz w:val="32"/>
          <w:szCs w:val="32"/>
          <w:lang w:val="en-US" w:eastAsia="zh-CN" w:bidi="ar-SA"/>
        </w:rPr>
        <w:t>3</w:t>
      </w:r>
      <w:r>
        <w:rPr>
          <w:rFonts w:hint="eastAsia" w:ascii="仿宋_GB2312" w:hAnsi="仿宋_GB2312" w:eastAsia="仿宋_GB2312" w:cs="仿宋_GB2312"/>
          <w:snapToGrid w:val="0"/>
          <w:color w:val="000000"/>
          <w:spacing w:val="-1"/>
          <w:kern w:val="0"/>
          <w:sz w:val="32"/>
          <w:szCs w:val="32"/>
          <w:lang w:val="en-US" w:eastAsia="en-US" w:bidi="ar-SA"/>
        </w:rPr>
        <w:t>年12月31日止。报告电子版可从沂源县人民政府门户网站（www.yiyuan.gov.cn）下载。如对报告内容有疑问，请与沂源经济开发区管理委员会联系。（地址：沂源县荆山路217号瑞阳科技大厦；邮编：256100；电话：0533-3233585；</w:t>
      </w:r>
      <w:r>
        <w:rPr>
          <w:rFonts w:hint="eastAsia" w:ascii="仿宋_GB2312" w:hAnsi="仿宋_GB2312" w:eastAsia="仿宋_GB2312" w:cs="仿宋_GB2312"/>
          <w:snapToGrid w:val="0"/>
          <w:color w:val="000000"/>
          <w:spacing w:val="-1"/>
          <w:kern w:val="0"/>
          <w:sz w:val="32"/>
          <w:szCs w:val="32"/>
          <w:lang w:val="en-US" w:eastAsia="zh-CN" w:bidi="ar-SA"/>
        </w:rPr>
        <w:t>邮箱</w:t>
      </w:r>
      <w:r>
        <w:rPr>
          <w:rFonts w:hint="eastAsia" w:ascii="仿宋_GB2312" w:hAnsi="仿宋_GB2312" w:eastAsia="仿宋_GB2312" w:cs="仿宋_GB2312"/>
          <w:snapToGrid w:val="0"/>
          <w:color w:val="000000"/>
          <w:spacing w:val="-1"/>
          <w:kern w:val="0"/>
          <w:sz w:val="32"/>
          <w:szCs w:val="32"/>
          <w:lang w:val="en-US" w:eastAsia="en-US" w:bidi="ar-SA"/>
        </w:rPr>
        <w:t>:kfq3233585@zb.shandong.cn）</w:t>
      </w: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594" w:firstLineChars="200"/>
        <w:textAlignment w:val="baseline"/>
        <w:outlineLvl w:val="0"/>
        <w:rPr>
          <w:rFonts w:ascii="黑体" w:hAnsi="黑体" w:eastAsia="黑体" w:cs="黑体"/>
          <w:sz w:val="31"/>
          <w:szCs w:val="31"/>
        </w:rPr>
      </w:pPr>
      <w:r>
        <w:rPr>
          <w:rFonts w:ascii="黑体" w:hAnsi="黑体" w:eastAsia="黑体" w:cs="黑体"/>
          <w:b/>
          <w:bCs/>
          <w:spacing w:val="-7"/>
          <w:sz w:val="31"/>
          <w:szCs w:val="31"/>
        </w:rPr>
        <w:t>一、总体情况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202</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年，沂源经济开发区</w:t>
      </w:r>
      <w:r>
        <w:rPr>
          <w:rFonts w:hint="eastAsia" w:ascii="仿宋_GB2312" w:hAnsi="仿宋_GB2312" w:eastAsia="仿宋_GB2312" w:cs="仿宋_GB2312"/>
          <w:spacing w:val="-1"/>
          <w:sz w:val="32"/>
          <w:szCs w:val="32"/>
          <w:lang w:val="en-US" w:eastAsia="zh-CN"/>
        </w:rPr>
        <w:t>严格按照</w:t>
      </w:r>
      <w:r>
        <w:rPr>
          <w:rFonts w:hint="eastAsia" w:ascii="仿宋_GB2312" w:hAnsi="仿宋_GB2312" w:eastAsia="仿宋_GB2312" w:cs="仿宋_GB2312"/>
          <w:spacing w:val="-1"/>
          <w:sz w:val="32"/>
          <w:szCs w:val="32"/>
        </w:rPr>
        <w:t>《中华人民共和国政府信息公开条例》要求，结合开发区工作实际，加强政务公开组织领导。完善信息公开程序，不断深化公开内容，规范开展政务公开工作，保障人民群众的知情权、参与权和监督权。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（一）主动公开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 本年度共公开各类信息</w:t>
      </w:r>
      <w:r>
        <w:rPr>
          <w:rFonts w:hint="eastAsia" w:ascii="仿宋_GB2312" w:hAnsi="仿宋_GB2312" w:eastAsia="仿宋_GB2312" w:cs="仿宋_GB2312"/>
          <w:spacing w:val="-1"/>
          <w:sz w:val="32"/>
          <w:szCs w:val="32"/>
          <w:lang w:val="en-US" w:eastAsia="zh-CN"/>
        </w:rPr>
        <w:t>20</w:t>
      </w:r>
      <w:r>
        <w:rPr>
          <w:rFonts w:hint="eastAsia" w:ascii="仿宋_GB2312" w:hAnsi="仿宋_GB2312" w:eastAsia="仿宋_GB2312" w:cs="仿宋_GB2312"/>
          <w:spacing w:val="-1"/>
          <w:sz w:val="32"/>
          <w:szCs w:val="32"/>
        </w:rPr>
        <w:t>条，其中部门会议</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条，公示公告3条，政务公开类及其他相关信息</w:t>
      </w:r>
      <w:r>
        <w:rPr>
          <w:rFonts w:hint="eastAsia" w:ascii="仿宋_GB2312" w:hAnsi="仿宋_GB2312" w:eastAsia="仿宋_GB2312" w:cs="仿宋_GB2312"/>
          <w:spacing w:val="-1"/>
          <w:sz w:val="32"/>
          <w:szCs w:val="32"/>
          <w:lang w:val="en-US" w:eastAsia="zh-CN"/>
        </w:rPr>
        <w:t>14</w:t>
      </w:r>
      <w:r>
        <w:rPr>
          <w:rFonts w:hint="eastAsia" w:ascii="仿宋_GB2312" w:hAnsi="仿宋_GB2312" w:eastAsia="仿宋_GB2312" w:cs="仿宋_GB2312"/>
          <w:spacing w:val="-1"/>
          <w:sz w:val="32"/>
          <w:szCs w:val="32"/>
        </w:rPr>
        <w:t>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（二）依申请公开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自20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年1月1日起至202</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年12月31日止，接到1条政府信息公开的申请，与202</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年依公开申请数量持平。开发区严格按照要求进行了依申请公开答复。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drawing>
          <wp:anchor distT="0" distB="0" distL="114300" distR="114300" simplePos="0" relativeHeight="251659264" behindDoc="0" locked="0" layoutInCell="1" allowOverlap="1">
            <wp:simplePos x="0" y="0"/>
            <wp:positionH relativeFrom="column">
              <wp:posOffset>220980</wp:posOffset>
            </wp:positionH>
            <wp:positionV relativeFrom="paragraph">
              <wp:posOffset>111760</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s="仿宋_GB2312"/>
          <w:spacing w:val="-1"/>
          <w:sz w:val="32"/>
          <w:szCs w:val="32"/>
        </w:rPr>
        <w:t>（三）政府信息管理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沂源经济开发区管理委员会</w:t>
      </w:r>
      <w:r>
        <w:rPr>
          <w:rFonts w:hint="eastAsia" w:ascii="仿宋_GB2312" w:hAnsi="仿宋_GB2312" w:eastAsia="仿宋_GB2312" w:cs="仿宋_GB2312"/>
          <w:spacing w:val="-1"/>
          <w:sz w:val="32"/>
          <w:szCs w:val="32"/>
        </w:rPr>
        <w:t>根据工作实际，</w:t>
      </w:r>
      <w:r>
        <w:rPr>
          <w:rFonts w:hint="eastAsia" w:ascii="仿宋_GB2312" w:hAnsi="仿宋_GB2312" w:eastAsia="仿宋_GB2312" w:cs="仿宋_GB2312"/>
          <w:spacing w:val="-1"/>
          <w:sz w:val="32"/>
          <w:szCs w:val="32"/>
          <w:lang w:val="en-US" w:eastAsia="zh-CN"/>
        </w:rPr>
        <w:t>健全政府信息主动公开工作机制和政府信息公开申请受理机制</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规范和完善工作流程。</w:t>
      </w:r>
      <w:r>
        <w:rPr>
          <w:rFonts w:hint="eastAsia" w:ascii="仿宋_GB2312" w:hAnsi="仿宋_GB2312" w:eastAsia="仿宋_GB2312" w:cs="仿宋_GB2312"/>
          <w:spacing w:val="-1"/>
          <w:sz w:val="32"/>
          <w:szCs w:val="32"/>
        </w:rPr>
        <w:t>全链条加强政府信息管理，督促各部门按照各自分工，细化具体内容信息，全面落实公文类政府信息公开属性源头认定机制和政策性文件与解读材料同步起草、同步审签工作制度，实现对</w:t>
      </w:r>
      <w:r>
        <w:rPr>
          <w:rFonts w:hint="eastAsia" w:ascii="仿宋_GB2312" w:hAnsi="仿宋_GB2312" w:eastAsia="仿宋_GB2312" w:cs="仿宋_GB2312"/>
          <w:spacing w:val="-1"/>
          <w:sz w:val="32"/>
          <w:szCs w:val="32"/>
          <w:lang w:val="en-US" w:eastAsia="zh-CN"/>
        </w:rPr>
        <w:t>政府</w:t>
      </w:r>
      <w:r>
        <w:rPr>
          <w:rFonts w:hint="eastAsia" w:ascii="仿宋_GB2312" w:hAnsi="仿宋_GB2312" w:eastAsia="仿宋_GB2312" w:cs="仿宋_GB2312"/>
          <w:spacing w:val="-1"/>
          <w:sz w:val="32"/>
          <w:szCs w:val="32"/>
        </w:rPr>
        <w:t>信息的全生命周期管理。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（四）政府信息公开平台建设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采用多种形式，拓宽公开渠道，通过沂源县人民政府网、“沂源经济开发区管理委员会”微信公众号等多种形式、多种平台公开政府信息，确保群众及时准确掌握政府相关政策及工作动态</w:t>
      </w:r>
      <w:r>
        <w:rPr>
          <w:rFonts w:hint="eastAsia" w:ascii="仿宋_GB2312" w:hAnsi="仿宋_GB2312" w:eastAsia="仿宋_GB2312" w:cs="仿宋_GB2312"/>
          <w:spacing w:val="-1"/>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（五）监督保障情况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根据工作要求，实时调整政府信息公开工作领导小组，明确了分管领导并及时公开了相关信息。按照全县统一部署，积极组织相关人员参加全县政府信息公开工作相关培训，不断提高工作人员专业素养。</w:t>
      </w:r>
    </w:p>
    <w:p>
      <w:pPr>
        <w:spacing w:before="190" w:line="222" w:lineRule="auto"/>
        <w:ind w:left="659"/>
        <w:outlineLvl w:val="0"/>
        <w:rPr>
          <w:rFonts w:ascii="黑体" w:hAnsi="黑体" w:eastAsia="黑体" w:cs="黑体"/>
          <w:sz w:val="31"/>
          <w:szCs w:val="31"/>
        </w:rPr>
      </w:pPr>
      <w:r>
        <w:rPr>
          <w:rFonts w:ascii="黑体" w:hAnsi="黑体" w:eastAsia="黑体" w:cs="黑体"/>
          <w:b/>
          <w:bCs/>
          <w:spacing w:val="-3"/>
          <w:sz w:val="31"/>
          <w:szCs w:val="31"/>
        </w:rPr>
        <w:t>二、主动公开政府信息情况</w:t>
      </w:r>
    </w:p>
    <w:p>
      <w:pPr>
        <w:spacing w:line="236" w:lineRule="exact"/>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8800" w:type="dxa"/>
            <w:gridSpan w:val="4"/>
            <w:shd w:val="clear" w:color="auto" w:fill="C2D6F7"/>
            <w:vAlign w:val="top"/>
          </w:tcPr>
          <w:p>
            <w:pPr>
              <w:pStyle w:val="6"/>
              <w:spacing w:before="203" w:line="219" w:lineRule="auto"/>
              <w:ind w:left="3494"/>
            </w:pPr>
            <w:r>
              <w:rPr>
                <w:color w:val="001F5C"/>
                <w:spacing w:val="1"/>
              </w:rPr>
              <w:t>第二十条 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199" w:line="219" w:lineRule="auto"/>
              <w:ind w:left="1214"/>
            </w:pPr>
            <w:r>
              <w:rPr>
                <w:spacing w:val="-2"/>
              </w:rPr>
              <w:t>信息内容</w:t>
            </w:r>
          </w:p>
        </w:tc>
        <w:tc>
          <w:tcPr>
            <w:tcW w:w="1688" w:type="dxa"/>
            <w:vAlign w:val="top"/>
          </w:tcPr>
          <w:p>
            <w:pPr>
              <w:pStyle w:val="6"/>
              <w:spacing w:before="198" w:line="219" w:lineRule="auto"/>
              <w:ind w:left="233"/>
            </w:pPr>
            <w:r>
              <w:rPr>
                <w:spacing w:val="-2"/>
              </w:rPr>
              <w:t>本年制发件数</w:t>
            </w:r>
          </w:p>
        </w:tc>
        <w:tc>
          <w:tcPr>
            <w:tcW w:w="1818" w:type="dxa"/>
            <w:vAlign w:val="top"/>
          </w:tcPr>
          <w:p>
            <w:pPr>
              <w:pStyle w:val="6"/>
              <w:spacing w:before="198" w:line="219" w:lineRule="auto"/>
              <w:ind w:left="305"/>
            </w:pPr>
            <w:r>
              <w:rPr>
                <w:spacing w:val="-2"/>
              </w:rPr>
              <w:t>本年废止件数</w:t>
            </w:r>
          </w:p>
        </w:tc>
        <w:tc>
          <w:tcPr>
            <w:tcW w:w="2003" w:type="dxa"/>
            <w:vAlign w:val="top"/>
          </w:tcPr>
          <w:p>
            <w:pPr>
              <w:pStyle w:val="6"/>
              <w:spacing w:before="199" w:line="219" w:lineRule="auto"/>
              <w:ind w:left="378"/>
            </w:pPr>
            <w:r>
              <w:rPr>
                <w:spacing w:val="-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8" w:line="219" w:lineRule="auto"/>
              <w:ind w:left="95"/>
            </w:pPr>
            <w:r>
              <w:rPr>
                <w:spacing w:val="7"/>
              </w:rPr>
              <w:t>规章</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199" w:line="219" w:lineRule="auto"/>
              <w:ind w:left="95"/>
            </w:pPr>
            <w:r>
              <w:rPr>
                <w:spacing w:val="1"/>
              </w:rPr>
              <w:t>行政规范性文件</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8800" w:type="dxa"/>
            <w:gridSpan w:val="4"/>
            <w:shd w:val="clear" w:color="auto" w:fill="C3D5F7"/>
            <w:vAlign w:val="top"/>
          </w:tcPr>
          <w:p>
            <w:pPr>
              <w:pStyle w:val="6"/>
              <w:spacing w:before="200" w:line="219" w:lineRule="auto"/>
              <w:ind w:left="3445"/>
            </w:pPr>
            <w:r>
              <w:rPr>
                <w:spacing w:val="1"/>
              </w:rPr>
              <w:t>第二十条  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1" w:line="219" w:lineRule="auto"/>
              <w:ind w:left="1224"/>
            </w:pPr>
            <w:r>
              <w:rPr>
                <w:spacing w:val="-2"/>
              </w:rPr>
              <w:t>信息内容</w:t>
            </w:r>
          </w:p>
        </w:tc>
        <w:tc>
          <w:tcPr>
            <w:tcW w:w="5509" w:type="dxa"/>
            <w:gridSpan w:val="3"/>
            <w:vAlign w:val="top"/>
          </w:tcPr>
          <w:p>
            <w:pPr>
              <w:pStyle w:val="6"/>
              <w:spacing w:before="200" w:line="219" w:lineRule="auto"/>
              <w:ind w:left="1903"/>
            </w:pPr>
            <w:r>
              <w:rPr>
                <w:spacing w:val="-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3" w:line="220" w:lineRule="auto"/>
              <w:ind w:left="95"/>
            </w:pPr>
            <w:r>
              <w:rPr>
                <w:spacing w:val="2"/>
              </w:rPr>
              <w:t>行政许可</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8800" w:type="dxa"/>
            <w:gridSpan w:val="4"/>
            <w:shd w:val="clear" w:color="auto" w:fill="BBCBFA"/>
            <w:vAlign w:val="top"/>
          </w:tcPr>
          <w:p>
            <w:pPr>
              <w:pStyle w:val="6"/>
              <w:spacing w:before="203" w:line="219" w:lineRule="auto"/>
              <w:ind w:left="3494"/>
            </w:pPr>
            <w:r>
              <w:rPr>
                <w:color w:val="001D61"/>
                <w:spacing w:val="1"/>
              </w:rPr>
              <w:t xml:space="preserve">第二十条 </w:t>
            </w:r>
            <w:r>
              <w:rPr>
                <w:color w:val="002266"/>
                <w:spacing w:val="1"/>
              </w:rPr>
              <w:t>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14" w:line="219" w:lineRule="auto"/>
              <w:ind w:left="1214"/>
            </w:pPr>
            <w:r>
              <w:rPr>
                <w:spacing w:val="-2"/>
              </w:rPr>
              <w:t>信息内容</w:t>
            </w:r>
          </w:p>
        </w:tc>
        <w:tc>
          <w:tcPr>
            <w:tcW w:w="5509" w:type="dxa"/>
            <w:gridSpan w:val="3"/>
            <w:vAlign w:val="top"/>
          </w:tcPr>
          <w:p>
            <w:pPr>
              <w:pStyle w:val="6"/>
              <w:spacing w:before="213" w:line="219" w:lineRule="auto"/>
              <w:ind w:left="1903"/>
            </w:pPr>
            <w:r>
              <w:rPr>
                <w:spacing w:val="-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6" w:line="220" w:lineRule="auto"/>
              <w:ind w:left="95"/>
            </w:pPr>
            <w:r>
              <w:rPr>
                <w:spacing w:val="6"/>
              </w:rPr>
              <w:t>行政处罚</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7" w:line="220" w:lineRule="auto"/>
              <w:ind w:left="95"/>
            </w:pPr>
            <w:r>
              <w:rPr>
                <w:spacing w:val="4"/>
              </w:rPr>
              <w:t>行政强制</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8800" w:type="dxa"/>
            <w:gridSpan w:val="4"/>
            <w:shd w:val="clear" w:color="auto" w:fill="BDD1F9"/>
            <w:vAlign w:val="top"/>
          </w:tcPr>
          <w:p>
            <w:pPr>
              <w:pStyle w:val="6"/>
              <w:spacing w:before="217" w:line="219" w:lineRule="auto"/>
              <w:ind w:left="3494"/>
            </w:pPr>
            <w:r>
              <w:rPr>
                <w:spacing w:val="1"/>
              </w:rPr>
              <w:t>第二十条 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7" w:line="219" w:lineRule="auto"/>
              <w:ind w:left="1224"/>
            </w:pPr>
            <w:r>
              <w:rPr>
                <w:spacing w:val="-2"/>
              </w:rPr>
              <w:t>信息内容</w:t>
            </w:r>
          </w:p>
        </w:tc>
        <w:tc>
          <w:tcPr>
            <w:tcW w:w="5509" w:type="dxa"/>
            <w:gridSpan w:val="3"/>
            <w:vAlign w:val="top"/>
          </w:tcPr>
          <w:p>
            <w:pPr>
              <w:pStyle w:val="6"/>
              <w:spacing w:before="206" w:line="219" w:lineRule="auto"/>
              <w:ind w:left="1483"/>
            </w:pPr>
            <w:r>
              <w:rPr>
                <w:spacing w:val="3"/>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3291" w:type="dxa"/>
            <w:vAlign w:val="top"/>
          </w:tcPr>
          <w:p>
            <w:pPr>
              <w:pStyle w:val="6"/>
              <w:spacing w:before="207" w:line="219" w:lineRule="auto"/>
              <w:ind w:left="95"/>
            </w:pPr>
            <w:r>
              <w:rPr>
                <w:spacing w:val="1"/>
              </w:rPr>
              <w:t>行政事业性收费</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bl>
    <w:p>
      <w:pPr>
        <w:spacing w:line="183" w:lineRule="auto"/>
        <w:rPr>
          <w:rFonts w:ascii="宋体" w:hAnsi="宋体" w:eastAsia="宋体" w:cs="宋体"/>
          <w:sz w:val="31"/>
          <w:szCs w:val="31"/>
        </w:rPr>
        <w:sectPr>
          <w:footerReference r:id="rId5" w:type="default"/>
          <w:pgSz w:w="11780" w:h="16720"/>
          <w:pgMar w:top="1984" w:right="1474" w:bottom="1701" w:left="1587" w:header="0" w:footer="0" w:gutter="0"/>
          <w:cols w:space="720" w:num="1"/>
        </w:sectPr>
      </w:pPr>
    </w:p>
    <w:p>
      <w:pPr>
        <w:spacing w:before="97" w:line="222" w:lineRule="auto"/>
        <w:ind w:left="619"/>
        <w:outlineLvl w:val="0"/>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59"/>
          <w:sz w:val="30"/>
          <w:szCs w:val="30"/>
        </w:rPr>
        <w:t xml:space="preserve"> </w:t>
      </w:r>
      <w:r>
        <w:rPr>
          <w:rFonts w:ascii="黑体" w:hAnsi="黑体" w:eastAsia="黑体" w:cs="黑体"/>
          <w:b/>
          <w:bCs/>
          <w:spacing w:val="1"/>
          <w:sz w:val="30"/>
          <w:szCs w:val="30"/>
        </w:rPr>
        <w:t>收到和处理政府信息公开申请情况</w:t>
      </w:r>
    </w:p>
    <w:p>
      <w:pPr>
        <w:spacing w:line="228" w:lineRule="exact"/>
      </w:pPr>
    </w:p>
    <w:tbl>
      <w:tblPr>
        <w:tblStyle w:val="5"/>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49"/>
        <w:gridCol w:w="65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Merge w:val="restart"/>
            <w:tcBorders>
              <w:bottom w:val="nil"/>
            </w:tcBorders>
            <w:vAlign w:val="top"/>
          </w:tcPr>
          <w:p>
            <w:pPr>
              <w:spacing w:line="345" w:lineRule="auto"/>
              <w:rPr>
                <w:rFonts w:ascii="Arial"/>
                <w:sz w:val="21"/>
              </w:rPr>
            </w:pPr>
          </w:p>
          <w:p>
            <w:pPr>
              <w:pStyle w:val="6"/>
              <w:spacing w:before="65" w:line="230" w:lineRule="auto"/>
              <w:ind w:left="514" w:right="293" w:hanging="180"/>
              <w:rPr>
                <w:sz w:val="20"/>
                <w:szCs w:val="20"/>
              </w:rPr>
            </w:pPr>
            <w:r>
              <w:rPr>
                <w:sz w:val="20"/>
                <w:szCs w:val="20"/>
              </w:rPr>
              <w:t>(本列数据的勾稽关系为：第一项加第二</w:t>
            </w:r>
            <w:r>
              <w:rPr>
                <w:spacing w:val="10"/>
                <w:sz w:val="20"/>
                <w:szCs w:val="20"/>
              </w:rPr>
              <w:t xml:space="preserve"> </w:t>
            </w:r>
            <w:r>
              <w:rPr>
                <w:spacing w:val="2"/>
                <w:sz w:val="20"/>
                <w:szCs w:val="20"/>
              </w:rPr>
              <w:t>项之和，等于第三项加第四项之和)</w:t>
            </w:r>
          </w:p>
        </w:tc>
        <w:tc>
          <w:tcPr>
            <w:tcW w:w="4549" w:type="dxa"/>
            <w:gridSpan w:val="7"/>
            <w:vAlign w:val="top"/>
          </w:tcPr>
          <w:p>
            <w:pPr>
              <w:pStyle w:val="6"/>
              <w:spacing w:before="73" w:line="219" w:lineRule="auto"/>
              <w:ind w:left="1744"/>
              <w:rPr>
                <w:sz w:val="20"/>
                <w:szCs w:val="20"/>
              </w:rPr>
            </w:pPr>
            <w:r>
              <w:rPr>
                <w:spacing w:val="1"/>
                <w:sz w:val="20"/>
                <w:szCs w:val="2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pPr>
              <w:rPr>
                <w:rFonts w:ascii="Arial"/>
                <w:sz w:val="21"/>
              </w:rPr>
            </w:pPr>
          </w:p>
        </w:tc>
        <w:tc>
          <w:tcPr>
            <w:tcW w:w="649" w:type="dxa"/>
            <w:vMerge w:val="restart"/>
            <w:tcBorders>
              <w:bottom w:val="nil"/>
            </w:tcBorders>
            <w:vAlign w:val="top"/>
          </w:tcPr>
          <w:p>
            <w:pPr>
              <w:spacing w:line="293" w:lineRule="auto"/>
              <w:rPr>
                <w:rFonts w:ascii="Arial"/>
                <w:sz w:val="21"/>
              </w:rPr>
            </w:pPr>
          </w:p>
          <w:p>
            <w:pPr>
              <w:pStyle w:val="6"/>
              <w:spacing w:before="65" w:line="220" w:lineRule="auto"/>
              <w:jc w:val="right"/>
              <w:rPr>
                <w:sz w:val="20"/>
                <w:szCs w:val="20"/>
              </w:rPr>
            </w:pPr>
            <w:r>
              <w:rPr>
                <w:spacing w:val="1"/>
                <w:sz w:val="20"/>
                <w:szCs w:val="20"/>
              </w:rPr>
              <w:t>自然人</w:t>
            </w:r>
          </w:p>
        </w:tc>
        <w:tc>
          <w:tcPr>
            <w:tcW w:w="3256" w:type="dxa"/>
            <w:gridSpan w:val="5"/>
            <w:vAlign w:val="top"/>
          </w:tcPr>
          <w:p>
            <w:pPr>
              <w:pStyle w:val="6"/>
              <w:spacing w:before="59" w:line="220" w:lineRule="auto"/>
              <w:ind w:left="906"/>
              <w:rPr>
                <w:sz w:val="20"/>
                <w:szCs w:val="20"/>
              </w:rPr>
            </w:pPr>
            <w:r>
              <w:rPr>
                <w:spacing w:val="-2"/>
                <w:sz w:val="20"/>
                <w:szCs w:val="20"/>
              </w:rPr>
              <w:t>法人或其他组织</w:t>
            </w:r>
          </w:p>
        </w:tc>
        <w:tc>
          <w:tcPr>
            <w:tcW w:w="644" w:type="dxa"/>
            <w:vMerge w:val="restart"/>
            <w:tcBorders>
              <w:bottom w:val="nil"/>
            </w:tcBorders>
            <w:vAlign w:val="top"/>
          </w:tcPr>
          <w:p>
            <w:pPr>
              <w:spacing w:line="293" w:lineRule="auto"/>
              <w:rPr>
                <w:rFonts w:ascii="Arial"/>
                <w:sz w:val="21"/>
              </w:rPr>
            </w:pPr>
          </w:p>
          <w:p>
            <w:pPr>
              <w:pStyle w:val="6"/>
              <w:spacing w:before="65" w:line="221" w:lineRule="auto"/>
              <w:ind w:left="109"/>
              <w:rPr>
                <w:sz w:val="20"/>
                <w:szCs w:val="20"/>
              </w:rPr>
            </w:pPr>
            <w:r>
              <w:rPr>
                <w:spacing w:val="4"/>
                <w:sz w:val="20"/>
                <w:szCs w:val="2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659" w:type="dxa"/>
            <w:vAlign w:val="top"/>
          </w:tcPr>
          <w:p>
            <w:pPr>
              <w:pStyle w:val="6"/>
              <w:spacing w:before="69" w:line="231" w:lineRule="auto"/>
              <w:ind w:left="126"/>
              <w:rPr>
                <w:sz w:val="20"/>
                <w:szCs w:val="20"/>
              </w:rPr>
            </w:pPr>
            <w:r>
              <w:rPr>
                <w:spacing w:val="-3"/>
                <w:sz w:val="20"/>
                <w:szCs w:val="20"/>
              </w:rPr>
              <w:t>商业</w:t>
            </w:r>
          </w:p>
          <w:p>
            <w:pPr>
              <w:pStyle w:val="6"/>
              <w:spacing w:line="229" w:lineRule="auto"/>
              <w:ind w:left="126"/>
              <w:rPr>
                <w:sz w:val="20"/>
                <w:szCs w:val="20"/>
              </w:rPr>
            </w:pPr>
            <w:r>
              <w:rPr>
                <w:spacing w:val="-3"/>
                <w:sz w:val="20"/>
                <w:szCs w:val="20"/>
              </w:rPr>
              <w:t>企业</w:t>
            </w:r>
          </w:p>
        </w:tc>
        <w:tc>
          <w:tcPr>
            <w:tcW w:w="639" w:type="dxa"/>
            <w:vAlign w:val="top"/>
          </w:tcPr>
          <w:p>
            <w:pPr>
              <w:pStyle w:val="6"/>
              <w:spacing w:before="68" w:line="220" w:lineRule="auto"/>
              <w:ind w:left="116" w:right="98"/>
              <w:rPr>
                <w:sz w:val="20"/>
                <w:szCs w:val="20"/>
              </w:rPr>
            </w:pPr>
            <w:r>
              <w:rPr>
                <w:spacing w:val="-4"/>
                <w:sz w:val="20"/>
                <w:szCs w:val="20"/>
              </w:rPr>
              <w:t>科研</w:t>
            </w:r>
            <w:r>
              <w:rPr>
                <w:sz w:val="20"/>
                <w:szCs w:val="20"/>
              </w:rPr>
              <w:t xml:space="preserve"> </w:t>
            </w:r>
            <w:r>
              <w:rPr>
                <w:spacing w:val="6"/>
                <w:sz w:val="20"/>
                <w:szCs w:val="20"/>
              </w:rPr>
              <w:t>机构</w:t>
            </w:r>
          </w:p>
        </w:tc>
        <w:tc>
          <w:tcPr>
            <w:tcW w:w="650" w:type="dxa"/>
            <w:vAlign w:val="top"/>
          </w:tcPr>
          <w:p>
            <w:pPr>
              <w:pStyle w:val="6"/>
              <w:spacing w:before="67" w:line="236" w:lineRule="auto"/>
              <w:ind w:left="18" w:right="10"/>
              <w:rPr>
                <w:sz w:val="20"/>
                <w:szCs w:val="20"/>
              </w:rPr>
            </w:pPr>
            <w:r>
              <w:rPr>
                <w:spacing w:val="3"/>
                <w:sz w:val="20"/>
                <w:szCs w:val="20"/>
              </w:rPr>
              <w:t>社会公</w:t>
            </w:r>
            <w:r>
              <w:rPr>
                <w:spacing w:val="1"/>
                <w:sz w:val="20"/>
                <w:szCs w:val="20"/>
              </w:rPr>
              <w:t xml:space="preserve"> </w:t>
            </w:r>
            <w:r>
              <w:rPr>
                <w:spacing w:val="3"/>
                <w:sz w:val="20"/>
                <w:szCs w:val="20"/>
              </w:rPr>
              <w:t>益组织</w:t>
            </w:r>
          </w:p>
        </w:tc>
        <w:tc>
          <w:tcPr>
            <w:tcW w:w="649" w:type="dxa"/>
            <w:vAlign w:val="top"/>
          </w:tcPr>
          <w:p>
            <w:pPr>
              <w:pStyle w:val="6"/>
              <w:spacing w:before="68" w:line="234" w:lineRule="auto"/>
              <w:ind w:left="18" w:right="7"/>
              <w:rPr>
                <w:sz w:val="20"/>
                <w:szCs w:val="20"/>
              </w:rPr>
            </w:pPr>
            <w:r>
              <w:rPr>
                <w:spacing w:val="-3"/>
                <w:sz w:val="20"/>
                <w:szCs w:val="20"/>
              </w:rPr>
              <w:t>法律服</w:t>
            </w:r>
            <w:r>
              <w:rPr>
                <w:sz w:val="20"/>
                <w:szCs w:val="20"/>
              </w:rPr>
              <w:t xml:space="preserve"> </w:t>
            </w:r>
            <w:r>
              <w:rPr>
                <w:spacing w:val="4"/>
                <w:sz w:val="20"/>
                <w:szCs w:val="20"/>
              </w:rPr>
              <w:t>务机构</w:t>
            </w:r>
          </w:p>
        </w:tc>
        <w:tc>
          <w:tcPr>
            <w:tcW w:w="659" w:type="dxa"/>
            <w:vAlign w:val="top"/>
          </w:tcPr>
          <w:p>
            <w:pPr>
              <w:pStyle w:val="6"/>
              <w:spacing w:before="199" w:line="220" w:lineRule="auto"/>
              <w:ind w:left="129"/>
              <w:rPr>
                <w:sz w:val="20"/>
                <w:szCs w:val="20"/>
              </w:rPr>
            </w:pPr>
            <w:r>
              <w:rPr>
                <w:spacing w:val="-3"/>
                <w:sz w:val="20"/>
                <w:szCs w:val="20"/>
              </w:rPr>
              <w:t>其他</w:t>
            </w:r>
          </w:p>
        </w:tc>
        <w:tc>
          <w:tcPr>
            <w:tcW w:w="6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pPr>
              <w:pStyle w:val="6"/>
              <w:spacing w:before="68" w:line="219" w:lineRule="auto"/>
              <w:ind w:left="114"/>
              <w:rPr>
                <w:sz w:val="20"/>
                <w:szCs w:val="20"/>
              </w:rPr>
            </w:pPr>
            <w:r>
              <w:rPr>
                <w:spacing w:val="-2"/>
                <w:sz w:val="20"/>
                <w:szCs w:val="20"/>
              </w:rPr>
              <w:t>一、本年新收政府信息公开申请数量</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pPr>
              <w:pStyle w:val="6"/>
              <w:spacing w:before="68" w:line="219" w:lineRule="auto"/>
              <w:ind w:left="114"/>
              <w:rPr>
                <w:sz w:val="20"/>
                <w:szCs w:val="20"/>
              </w:rPr>
            </w:pPr>
            <w:r>
              <w:rPr>
                <w:spacing w:val="-1"/>
                <w:sz w:val="20"/>
                <w:szCs w:val="20"/>
              </w:rPr>
              <w:t>二、上年结转政府信息公开申请数量</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192" w:lineRule="auto"/>
              <w:jc w:val="right"/>
              <w:rPr>
                <w:sz w:val="20"/>
                <w:szCs w:val="20"/>
              </w:rPr>
            </w:pPr>
            <w:r>
              <w:rPr>
                <w:spacing w:val="-29"/>
                <w:sz w:val="20"/>
                <w:szCs w:val="20"/>
              </w:rPr>
              <w:t>三、本</w:t>
            </w:r>
            <w:r>
              <w:rPr>
                <w:spacing w:val="-9"/>
                <w:sz w:val="20"/>
                <w:szCs w:val="20"/>
              </w:rPr>
              <w:t>年</w:t>
            </w:r>
          </w:p>
        </w:tc>
        <w:tc>
          <w:tcPr>
            <w:tcW w:w="3416" w:type="dxa"/>
            <w:gridSpan w:val="2"/>
            <w:vAlign w:val="top"/>
          </w:tcPr>
          <w:p>
            <w:pPr>
              <w:pStyle w:val="6"/>
              <w:spacing w:before="71" w:line="221" w:lineRule="auto"/>
              <w:ind w:left="121"/>
              <w:rPr>
                <w:sz w:val="20"/>
                <w:szCs w:val="20"/>
              </w:rPr>
            </w:pPr>
            <w:r>
              <w:rPr>
                <w:spacing w:val="1"/>
                <w:sz w:val="20"/>
                <w:szCs w:val="20"/>
              </w:rPr>
              <w:t>(一)予以公开</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1</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3416" w:type="dxa"/>
            <w:gridSpan w:val="2"/>
            <w:vAlign w:val="top"/>
          </w:tcPr>
          <w:p>
            <w:pPr>
              <w:pStyle w:val="6"/>
              <w:spacing w:before="80" w:line="230" w:lineRule="auto"/>
              <w:ind w:left="120" w:right="196" w:hanging="19"/>
              <w:rPr>
                <w:sz w:val="20"/>
                <w:szCs w:val="20"/>
              </w:rPr>
            </w:pPr>
            <w:r>
              <w:rPr>
                <w:sz w:val="20"/>
                <w:szCs w:val="20"/>
              </w:rPr>
              <w:t>(二)部分公开(区分处理的，只计这</w:t>
            </w:r>
            <w:r>
              <w:rPr>
                <w:spacing w:val="7"/>
                <w:sz w:val="20"/>
                <w:szCs w:val="20"/>
              </w:rPr>
              <w:t xml:space="preserve"> </w:t>
            </w:r>
            <w:r>
              <w:rPr>
                <w:spacing w:val="3"/>
                <w:sz w:val="20"/>
                <w:szCs w:val="20"/>
              </w:rPr>
              <w:t>一情形，不计其他情形)</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65" w:line="230" w:lineRule="auto"/>
              <w:ind w:left="51" w:right="46"/>
              <w:rPr>
                <w:sz w:val="20"/>
                <w:szCs w:val="20"/>
              </w:rPr>
            </w:pPr>
            <w:r>
              <w:rPr>
                <w:spacing w:val="2"/>
                <w:sz w:val="20"/>
                <w:szCs w:val="20"/>
              </w:rPr>
              <w:t>(三)不 予公开</w:t>
            </w:r>
          </w:p>
        </w:tc>
        <w:tc>
          <w:tcPr>
            <w:tcW w:w="2697" w:type="dxa"/>
            <w:vAlign w:val="top"/>
          </w:tcPr>
          <w:p>
            <w:pPr>
              <w:pStyle w:val="6"/>
              <w:spacing w:before="71" w:line="219" w:lineRule="auto"/>
              <w:ind w:left="121"/>
              <w:rPr>
                <w:sz w:val="20"/>
                <w:szCs w:val="20"/>
              </w:rPr>
            </w:pPr>
            <w:r>
              <w:rPr>
                <w:spacing w:val="1"/>
                <w:sz w:val="20"/>
                <w:szCs w:val="20"/>
              </w:rPr>
              <w:t>1.属于国家秘密</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89" w:line="227" w:lineRule="auto"/>
              <w:ind w:left="121" w:right="395" w:hanging="19"/>
              <w:rPr>
                <w:sz w:val="20"/>
                <w:szCs w:val="20"/>
              </w:rPr>
            </w:pPr>
            <w:r>
              <w:rPr>
                <w:spacing w:val="-1"/>
                <w:sz w:val="20"/>
                <w:szCs w:val="20"/>
              </w:rPr>
              <w:t>2.其他法律行政法规禁止</w:t>
            </w:r>
            <w:r>
              <w:rPr>
                <w:sz w:val="20"/>
                <w:szCs w:val="20"/>
              </w:rPr>
              <w:t xml:space="preserve"> </w:t>
            </w:r>
            <w:r>
              <w:rPr>
                <w:spacing w:val="4"/>
                <w:sz w:val="20"/>
                <w:szCs w:val="20"/>
              </w:rPr>
              <w:t>公开</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2" w:line="219" w:lineRule="auto"/>
              <w:ind w:left="121"/>
              <w:rPr>
                <w:sz w:val="20"/>
                <w:szCs w:val="20"/>
              </w:rPr>
            </w:pPr>
            <w:r>
              <w:rPr>
                <w:spacing w:val="16"/>
                <w:sz w:val="20"/>
                <w:szCs w:val="20"/>
              </w:rPr>
              <w:t>3.危及“三安全一稳定”</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2" w:line="219" w:lineRule="auto"/>
              <w:ind w:left="121"/>
              <w:rPr>
                <w:sz w:val="20"/>
                <w:szCs w:val="20"/>
              </w:rPr>
            </w:pPr>
            <w:r>
              <w:rPr>
                <w:spacing w:val="-1"/>
                <w:sz w:val="20"/>
                <w:szCs w:val="20"/>
              </w:rPr>
              <w:t>4.保护第三方合法权益</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62" w:line="219" w:lineRule="auto"/>
              <w:ind w:left="121"/>
              <w:rPr>
                <w:sz w:val="20"/>
                <w:szCs w:val="20"/>
              </w:rPr>
            </w:pPr>
            <w:r>
              <w:rPr>
                <w:spacing w:val="1"/>
                <w:sz w:val="20"/>
                <w:szCs w:val="20"/>
              </w:rPr>
              <w:t>5.属于三类内部事务信息</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3" w:line="219" w:lineRule="auto"/>
              <w:ind w:left="121"/>
              <w:rPr>
                <w:sz w:val="20"/>
                <w:szCs w:val="20"/>
              </w:rPr>
            </w:pPr>
            <w:r>
              <w:rPr>
                <w:spacing w:val="1"/>
                <w:sz w:val="20"/>
                <w:szCs w:val="20"/>
              </w:rPr>
              <w:t>6.属于四类过程性信息</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3" w:line="219" w:lineRule="auto"/>
              <w:ind w:left="121"/>
              <w:rPr>
                <w:sz w:val="20"/>
                <w:szCs w:val="20"/>
              </w:rPr>
            </w:pPr>
            <w:r>
              <w:rPr>
                <w:sz w:val="20"/>
                <w:szCs w:val="20"/>
              </w:rPr>
              <w:t>7.属于行政执法案卷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pStyle w:val="6"/>
              <w:spacing w:before="73" w:line="220" w:lineRule="auto"/>
              <w:ind w:left="121"/>
              <w:rPr>
                <w:sz w:val="20"/>
                <w:szCs w:val="20"/>
              </w:rPr>
            </w:pPr>
            <w:r>
              <w:rPr>
                <w:spacing w:val="1"/>
                <w:sz w:val="20"/>
                <w:szCs w:val="20"/>
              </w:rPr>
              <w:t>8.属于行政查询事项</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pStyle w:val="6"/>
              <w:spacing w:before="294" w:line="219" w:lineRule="auto"/>
              <w:ind w:left="51" w:right="49"/>
              <w:rPr>
                <w:sz w:val="20"/>
                <w:szCs w:val="20"/>
              </w:rPr>
            </w:pPr>
            <w:r>
              <w:rPr>
                <w:spacing w:val="2"/>
                <w:sz w:val="20"/>
                <w:szCs w:val="20"/>
              </w:rPr>
              <w:t>(四)无</w:t>
            </w:r>
            <w:r>
              <w:rPr>
                <w:sz w:val="20"/>
                <w:szCs w:val="20"/>
              </w:rPr>
              <w:t xml:space="preserve"> </w:t>
            </w:r>
            <w:r>
              <w:rPr>
                <w:spacing w:val="-2"/>
                <w:sz w:val="20"/>
                <w:szCs w:val="20"/>
              </w:rPr>
              <w:t>法提供</w:t>
            </w:r>
          </w:p>
        </w:tc>
        <w:tc>
          <w:tcPr>
            <w:tcW w:w="2697" w:type="dxa"/>
            <w:vAlign w:val="top"/>
          </w:tcPr>
          <w:p>
            <w:pPr>
              <w:pStyle w:val="6"/>
              <w:spacing w:before="72" w:line="219" w:lineRule="auto"/>
              <w:ind w:right="7"/>
              <w:jc w:val="right"/>
              <w:rPr>
                <w:sz w:val="20"/>
                <w:szCs w:val="20"/>
              </w:rPr>
            </w:pPr>
            <w:r>
              <w:rPr>
                <w:spacing w:val="-2"/>
                <w:sz w:val="20"/>
                <w:szCs w:val="20"/>
              </w:rPr>
              <w:t>1.本机关不掌握相关政府信息</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3" w:line="219" w:lineRule="auto"/>
              <w:jc w:val="right"/>
              <w:rPr>
                <w:sz w:val="20"/>
                <w:szCs w:val="20"/>
              </w:rPr>
            </w:pPr>
            <w:r>
              <w:rPr>
                <w:sz w:val="20"/>
                <w:szCs w:val="20"/>
              </w:rPr>
              <w:t>2.没有现成信息需要另行制作</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Merge w:val="restart"/>
            <w:tcBorders>
              <w:bottom w:val="nil"/>
            </w:tcBorders>
            <w:vAlign w:val="top"/>
          </w:tcPr>
          <w:p>
            <w:pPr>
              <w:pStyle w:val="6"/>
              <w:spacing w:before="143" w:line="219" w:lineRule="auto"/>
              <w:ind w:left="55"/>
              <w:rPr>
                <w:sz w:val="20"/>
                <w:szCs w:val="20"/>
              </w:rPr>
            </w:pPr>
            <w:r>
              <w:rPr>
                <w:spacing w:val="-2"/>
                <w:sz w:val="20"/>
                <w:szCs w:val="20"/>
              </w:rPr>
              <w:t>度办理</w:t>
            </w:r>
          </w:p>
          <w:p>
            <w:pPr>
              <w:pStyle w:val="6"/>
              <w:spacing w:before="23" w:line="220" w:lineRule="auto"/>
              <w:ind w:left="155"/>
              <w:rPr>
                <w:sz w:val="20"/>
                <w:szCs w:val="20"/>
              </w:rPr>
            </w:pPr>
            <w:r>
              <w:rPr>
                <w:spacing w:val="5"/>
                <w:sz w:val="20"/>
                <w:szCs w:val="20"/>
              </w:rPr>
              <w:t>结果</w:t>
            </w:r>
          </w:p>
        </w:tc>
        <w:tc>
          <w:tcPr>
            <w:tcW w:w="719" w:type="dxa"/>
            <w:vMerge w:val="continue"/>
            <w:tcBorders>
              <w:top w:val="nil"/>
            </w:tcBorders>
            <w:vAlign w:val="top"/>
          </w:tcPr>
          <w:p>
            <w:pPr>
              <w:rPr>
                <w:rFonts w:ascii="Arial"/>
                <w:sz w:val="21"/>
              </w:rPr>
            </w:pPr>
          </w:p>
        </w:tc>
        <w:tc>
          <w:tcPr>
            <w:tcW w:w="2697" w:type="dxa"/>
            <w:vAlign w:val="top"/>
          </w:tcPr>
          <w:p>
            <w:pPr>
              <w:pStyle w:val="6"/>
              <w:spacing w:before="63" w:line="219" w:lineRule="auto"/>
              <w:ind w:left="121"/>
              <w:rPr>
                <w:sz w:val="20"/>
                <w:szCs w:val="20"/>
              </w:rPr>
            </w:pPr>
            <w:r>
              <w:rPr>
                <w:spacing w:val="1"/>
                <w:sz w:val="20"/>
                <w:szCs w:val="20"/>
              </w:rPr>
              <w:t>3.补正后申请内容仍不明确</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35" w:lineRule="auto"/>
              <w:ind w:left="51" w:right="46"/>
              <w:rPr>
                <w:sz w:val="20"/>
                <w:szCs w:val="20"/>
              </w:rPr>
            </w:pPr>
            <w:r>
              <w:rPr>
                <w:spacing w:val="2"/>
                <w:sz w:val="20"/>
                <w:szCs w:val="20"/>
              </w:rPr>
              <w:t>(五)不 予处理</w:t>
            </w:r>
          </w:p>
        </w:tc>
        <w:tc>
          <w:tcPr>
            <w:tcW w:w="2697" w:type="dxa"/>
            <w:vAlign w:val="top"/>
          </w:tcPr>
          <w:p>
            <w:pPr>
              <w:pStyle w:val="6"/>
              <w:spacing w:before="72" w:line="219" w:lineRule="auto"/>
              <w:ind w:left="121"/>
              <w:rPr>
                <w:sz w:val="20"/>
                <w:szCs w:val="20"/>
              </w:rPr>
            </w:pPr>
            <w:r>
              <w:rPr>
                <w:sz w:val="20"/>
                <w:szCs w:val="20"/>
              </w:rPr>
              <w:t>1.信访举报投诉类申请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4" w:line="219" w:lineRule="auto"/>
              <w:ind w:left="121"/>
              <w:rPr>
                <w:sz w:val="20"/>
                <w:szCs w:val="20"/>
              </w:rPr>
            </w:pPr>
            <w:r>
              <w:rPr>
                <w:spacing w:val="-2"/>
                <w:sz w:val="20"/>
                <w:szCs w:val="20"/>
              </w:rPr>
              <w:t>2.重复申请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72" w:line="219" w:lineRule="auto"/>
              <w:ind w:left="121"/>
              <w:rPr>
                <w:sz w:val="20"/>
                <w:szCs w:val="20"/>
              </w:rPr>
            </w:pPr>
            <w:r>
              <w:rPr>
                <w:sz w:val="20"/>
                <w:szCs w:val="20"/>
              </w:rPr>
              <w:t>3.要求提供公开出版物</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95" w:line="229" w:lineRule="auto"/>
              <w:ind w:left="121" w:right="95" w:hanging="19"/>
              <w:rPr>
                <w:sz w:val="20"/>
                <w:szCs w:val="20"/>
              </w:rPr>
            </w:pPr>
            <w:r>
              <w:rPr>
                <w:spacing w:val="-14"/>
                <w:sz w:val="20"/>
                <w:szCs w:val="20"/>
              </w:rPr>
              <w:t>4</w:t>
            </w:r>
            <w:r>
              <w:rPr>
                <w:spacing w:val="-28"/>
                <w:sz w:val="20"/>
                <w:szCs w:val="20"/>
              </w:rPr>
              <w:t xml:space="preserve"> </w:t>
            </w:r>
            <w:r>
              <w:rPr>
                <w:spacing w:val="-14"/>
                <w:sz w:val="20"/>
                <w:szCs w:val="20"/>
              </w:rPr>
              <w:t>.</w:t>
            </w:r>
            <w:r>
              <w:rPr>
                <w:spacing w:val="-41"/>
                <w:sz w:val="20"/>
                <w:szCs w:val="20"/>
              </w:rPr>
              <w:t xml:space="preserve"> </w:t>
            </w:r>
            <w:r>
              <w:rPr>
                <w:spacing w:val="-14"/>
                <w:sz w:val="20"/>
                <w:szCs w:val="20"/>
              </w:rPr>
              <w:t>无</w:t>
            </w:r>
            <w:r>
              <w:rPr>
                <w:spacing w:val="-39"/>
                <w:sz w:val="20"/>
                <w:szCs w:val="20"/>
              </w:rPr>
              <w:t xml:space="preserve"> </w:t>
            </w:r>
            <w:r>
              <w:rPr>
                <w:spacing w:val="-14"/>
                <w:sz w:val="20"/>
                <w:szCs w:val="20"/>
              </w:rPr>
              <w:t>正</w:t>
            </w:r>
            <w:r>
              <w:rPr>
                <w:spacing w:val="-30"/>
                <w:sz w:val="20"/>
                <w:szCs w:val="20"/>
              </w:rPr>
              <w:t xml:space="preserve"> </w:t>
            </w:r>
            <w:r>
              <w:rPr>
                <w:spacing w:val="-14"/>
                <w:sz w:val="20"/>
                <w:szCs w:val="20"/>
              </w:rPr>
              <w:t>当</w:t>
            </w:r>
            <w:r>
              <w:rPr>
                <w:spacing w:val="-40"/>
                <w:sz w:val="20"/>
                <w:szCs w:val="20"/>
              </w:rPr>
              <w:t xml:space="preserve"> </w:t>
            </w:r>
            <w:r>
              <w:rPr>
                <w:spacing w:val="-14"/>
                <w:sz w:val="20"/>
                <w:szCs w:val="20"/>
              </w:rPr>
              <w:t>理</w:t>
            </w:r>
            <w:r>
              <w:rPr>
                <w:spacing w:val="-18"/>
                <w:sz w:val="20"/>
                <w:szCs w:val="20"/>
              </w:rPr>
              <w:t xml:space="preserve"> </w:t>
            </w:r>
            <w:r>
              <w:rPr>
                <w:spacing w:val="-14"/>
                <w:sz w:val="20"/>
                <w:szCs w:val="20"/>
              </w:rPr>
              <w:t>由</w:t>
            </w:r>
            <w:r>
              <w:rPr>
                <w:spacing w:val="-41"/>
                <w:sz w:val="20"/>
                <w:szCs w:val="20"/>
              </w:rPr>
              <w:t xml:space="preserve"> </w:t>
            </w:r>
            <w:r>
              <w:rPr>
                <w:spacing w:val="-14"/>
                <w:sz w:val="20"/>
                <w:szCs w:val="20"/>
              </w:rPr>
              <w:t>大</w:t>
            </w:r>
            <w:r>
              <w:rPr>
                <w:spacing w:val="-42"/>
                <w:sz w:val="20"/>
                <w:szCs w:val="20"/>
              </w:rPr>
              <w:t xml:space="preserve"> </w:t>
            </w:r>
            <w:r>
              <w:rPr>
                <w:spacing w:val="-14"/>
                <w:sz w:val="20"/>
                <w:szCs w:val="20"/>
              </w:rPr>
              <w:t>量</w:t>
            </w:r>
            <w:r>
              <w:rPr>
                <w:spacing w:val="-42"/>
                <w:sz w:val="20"/>
                <w:szCs w:val="20"/>
              </w:rPr>
              <w:t xml:space="preserve"> </w:t>
            </w:r>
            <w:r>
              <w:rPr>
                <w:spacing w:val="-14"/>
                <w:sz w:val="20"/>
                <w:szCs w:val="20"/>
              </w:rPr>
              <w:t>反</w:t>
            </w:r>
            <w:r>
              <w:rPr>
                <w:spacing w:val="-37"/>
                <w:sz w:val="20"/>
                <w:szCs w:val="20"/>
              </w:rPr>
              <w:t xml:space="preserve"> </w:t>
            </w:r>
            <w:r>
              <w:rPr>
                <w:spacing w:val="-14"/>
                <w:sz w:val="20"/>
                <w:szCs w:val="20"/>
              </w:rPr>
              <w:t>复</w:t>
            </w:r>
            <w:r>
              <w:rPr>
                <w:sz w:val="20"/>
                <w:szCs w:val="20"/>
              </w:rPr>
              <w:t xml:space="preserve"> </w:t>
            </w:r>
            <w:r>
              <w:rPr>
                <w:spacing w:val="4"/>
                <w:sz w:val="20"/>
                <w:szCs w:val="20"/>
              </w:rPr>
              <w:t>申请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pStyle w:val="6"/>
              <w:spacing w:before="113" w:line="221" w:lineRule="auto"/>
              <w:ind w:left="121" w:right="375" w:hanging="19"/>
              <w:rPr>
                <w:sz w:val="20"/>
                <w:szCs w:val="20"/>
              </w:rPr>
            </w:pPr>
            <w:r>
              <w:rPr>
                <w:sz w:val="20"/>
                <w:szCs w:val="20"/>
              </w:rPr>
              <w:t>5.要求行政机关确认或重</w:t>
            </w:r>
            <w:r>
              <w:rPr>
                <w:spacing w:val="8"/>
                <w:sz w:val="20"/>
                <w:szCs w:val="20"/>
              </w:rPr>
              <w:t xml:space="preserve"> </w:t>
            </w:r>
            <w:r>
              <w:rPr>
                <w:spacing w:val="1"/>
                <w:sz w:val="20"/>
                <w:szCs w:val="20"/>
              </w:rPr>
              <w:t>新出具已获取信息</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5" w:line="234" w:lineRule="auto"/>
              <w:ind w:left="51" w:right="49"/>
              <w:rPr>
                <w:sz w:val="20"/>
                <w:szCs w:val="20"/>
              </w:rPr>
            </w:pPr>
            <w:r>
              <w:rPr>
                <w:spacing w:val="2"/>
                <w:sz w:val="20"/>
                <w:szCs w:val="20"/>
              </w:rPr>
              <w:t>(六)其</w:t>
            </w:r>
            <w:r>
              <w:rPr>
                <w:sz w:val="20"/>
                <w:szCs w:val="20"/>
              </w:rPr>
              <w:t xml:space="preserve"> </w:t>
            </w:r>
            <w:r>
              <w:rPr>
                <w:spacing w:val="-2"/>
                <w:sz w:val="20"/>
                <w:szCs w:val="20"/>
              </w:rPr>
              <w:t>他处理</w:t>
            </w:r>
          </w:p>
        </w:tc>
        <w:tc>
          <w:tcPr>
            <w:tcW w:w="2697" w:type="dxa"/>
            <w:vAlign w:val="top"/>
          </w:tcPr>
          <w:p>
            <w:pPr>
              <w:pStyle w:val="6"/>
              <w:spacing w:before="115" w:line="233" w:lineRule="auto"/>
              <w:ind w:left="121" w:right="176"/>
              <w:rPr>
                <w:sz w:val="20"/>
                <w:szCs w:val="20"/>
              </w:rPr>
            </w:pPr>
            <w:r>
              <w:rPr>
                <w:sz w:val="20"/>
                <w:szCs w:val="20"/>
              </w:rPr>
              <w:t xml:space="preserve">1.申请人无正当理由逾期  </w:t>
            </w:r>
            <w:r>
              <w:rPr>
                <w:spacing w:val="-1"/>
                <w:sz w:val="20"/>
                <w:szCs w:val="20"/>
              </w:rPr>
              <w:t>不补正、行政机关不再处理</w:t>
            </w:r>
            <w:r>
              <w:rPr>
                <w:sz w:val="20"/>
                <w:szCs w:val="20"/>
              </w:rPr>
              <w:t xml:space="preserve"> </w:t>
            </w:r>
            <w:r>
              <w:rPr>
                <w:spacing w:val="-1"/>
                <w:sz w:val="20"/>
                <w:szCs w:val="20"/>
              </w:rPr>
              <w:t>其政府信息公开申请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pStyle w:val="6"/>
              <w:spacing w:before="97" w:line="219" w:lineRule="auto"/>
              <w:ind w:left="91"/>
              <w:rPr>
                <w:sz w:val="20"/>
                <w:szCs w:val="20"/>
              </w:rPr>
            </w:pPr>
            <w:r>
              <w:rPr>
                <w:spacing w:val="1"/>
                <w:sz w:val="20"/>
                <w:szCs w:val="20"/>
              </w:rPr>
              <w:t>2.申请人逾期未按收费通知</w:t>
            </w:r>
          </w:p>
          <w:p>
            <w:pPr>
              <w:pStyle w:val="6"/>
              <w:spacing w:before="41" w:line="232" w:lineRule="auto"/>
              <w:ind w:left="121"/>
              <w:rPr>
                <w:sz w:val="20"/>
                <w:szCs w:val="20"/>
              </w:rPr>
            </w:pPr>
            <w:r>
              <w:rPr>
                <w:spacing w:val="-3"/>
                <w:sz w:val="20"/>
                <w:szCs w:val="20"/>
              </w:rPr>
              <w:t>要求缴纳费用、行政机关不再</w:t>
            </w:r>
            <w:r>
              <w:rPr>
                <w:spacing w:val="3"/>
                <w:sz w:val="20"/>
                <w:szCs w:val="20"/>
              </w:rPr>
              <w:t xml:space="preserve"> </w:t>
            </w:r>
            <w:r>
              <w:rPr>
                <w:sz w:val="20"/>
                <w:szCs w:val="20"/>
              </w:rPr>
              <w:t>处理其政府信息公开申请</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pStyle w:val="6"/>
              <w:spacing w:before="78" w:line="220" w:lineRule="auto"/>
              <w:ind w:left="121"/>
              <w:rPr>
                <w:sz w:val="20"/>
                <w:szCs w:val="20"/>
              </w:rPr>
            </w:pPr>
            <w:r>
              <w:rPr>
                <w:spacing w:val="-3"/>
                <w:sz w:val="20"/>
                <w:szCs w:val="20"/>
              </w:rPr>
              <w:t>3.其他</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pPr>
              <w:rPr>
                <w:rFonts w:ascii="Arial"/>
                <w:sz w:val="21"/>
              </w:rPr>
            </w:pPr>
          </w:p>
        </w:tc>
        <w:tc>
          <w:tcPr>
            <w:tcW w:w="3416" w:type="dxa"/>
            <w:gridSpan w:val="2"/>
            <w:vAlign w:val="top"/>
          </w:tcPr>
          <w:p>
            <w:pPr>
              <w:pStyle w:val="6"/>
              <w:spacing w:before="79" w:line="221" w:lineRule="auto"/>
              <w:ind w:left="121"/>
              <w:rPr>
                <w:sz w:val="20"/>
                <w:szCs w:val="20"/>
              </w:rPr>
            </w:pPr>
            <w:r>
              <w:rPr>
                <w:spacing w:val="1"/>
                <w:sz w:val="20"/>
                <w:szCs w:val="20"/>
              </w:rPr>
              <w:t>(七)总计</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150" w:type="dxa"/>
            <w:gridSpan w:val="3"/>
            <w:vAlign w:val="top"/>
          </w:tcPr>
          <w:p>
            <w:pPr>
              <w:pStyle w:val="6"/>
              <w:spacing w:before="68" w:line="219" w:lineRule="auto"/>
              <w:ind w:left="114"/>
              <w:rPr>
                <w:sz w:val="20"/>
                <w:szCs w:val="20"/>
              </w:rPr>
            </w:pPr>
            <w:r>
              <w:rPr>
                <w:sz w:val="20"/>
                <w:szCs w:val="20"/>
              </w:rPr>
              <w:t>四、结转下年度继续办理</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spacing w:before="284" w:line="182" w:lineRule="auto"/>
        <w:rPr>
          <w:rFonts w:ascii="宋体" w:hAnsi="宋体" w:eastAsia="宋体" w:cs="宋体"/>
          <w:sz w:val="30"/>
          <w:szCs w:val="30"/>
        </w:rPr>
        <w:sectPr>
          <w:pgSz w:w="11820" w:h="16730"/>
          <w:pgMar w:top="1422" w:right="1555" w:bottom="400" w:left="1555" w:header="0" w:footer="0" w:gutter="0"/>
          <w:cols w:space="720" w:num="1"/>
        </w:sectPr>
      </w:pPr>
    </w:p>
    <w:p>
      <w:pPr>
        <w:spacing w:before="98" w:line="220" w:lineRule="auto"/>
        <w:ind w:left="619"/>
        <w:outlineLvl w:val="0"/>
        <w:rPr>
          <w:rFonts w:ascii="黑体" w:hAnsi="黑体" w:eastAsia="黑体" w:cs="黑体"/>
          <w:sz w:val="30"/>
          <w:szCs w:val="30"/>
        </w:rPr>
      </w:pPr>
      <w:r>
        <w:rPr>
          <w:rFonts w:ascii="黑体" w:hAnsi="黑体" w:eastAsia="黑体" w:cs="黑体"/>
          <w:b/>
          <w:bCs/>
          <w:spacing w:val="-9"/>
          <w:sz w:val="30"/>
          <w:szCs w:val="30"/>
        </w:rPr>
        <w:t>四、政府信息公开行政复议、行政诉讼情况</w:t>
      </w:r>
    </w:p>
    <w:p>
      <w:pPr>
        <w:spacing w:before="21"/>
      </w:pPr>
    </w:p>
    <w:tbl>
      <w:tblPr>
        <w:tblStyle w:val="5"/>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pStyle w:val="6"/>
              <w:spacing w:before="63" w:line="220" w:lineRule="auto"/>
              <w:ind w:left="1035"/>
              <w:rPr>
                <w:sz w:val="20"/>
                <w:szCs w:val="20"/>
              </w:rPr>
            </w:pPr>
            <w:r>
              <w:rPr>
                <w:spacing w:val="2"/>
                <w:sz w:val="20"/>
                <w:szCs w:val="20"/>
              </w:rPr>
              <w:t>行政复议</w:t>
            </w:r>
          </w:p>
        </w:tc>
        <w:tc>
          <w:tcPr>
            <w:tcW w:w="5817" w:type="dxa"/>
            <w:gridSpan w:val="10"/>
            <w:vAlign w:val="top"/>
          </w:tcPr>
          <w:p>
            <w:pPr>
              <w:pStyle w:val="6"/>
              <w:spacing w:before="63" w:line="220" w:lineRule="auto"/>
              <w:ind w:left="2493"/>
              <w:rPr>
                <w:sz w:val="20"/>
                <w:szCs w:val="20"/>
              </w:rPr>
            </w:pPr>
            <w:r>
              <w:rPr>
                <w:spacing w:val="-3"/>
                <w:sz w:val="20"/>
                <w:szCs w:val="20"/>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pStyle w:val="6"/>
              <w:spacing w:before="230" w:line="234" w:lineRule="auto"/>
              <w:ind w:left="85" w:right="77"/>
              <w:rPr>
                <w:sz w:val="20"/>
                <w:szCs w:val="20"/>
              </w:rPr>
            </w:pPr>
            <w:r>
              <w:rPr>
                <w:spacing w:val="5"/>
                <w:sz w:val="20"/>
                <w:szCs w:val="20"/>
              </w:rPr>
              <w:t>结果</w:t>
            </w:r>
            <w:r>
              <w:rPr>
                <w:sz w:val="20"/>
                <w:szCs w:val="20"/>
              </w:rPr>
              <w:t xml:space="preserve"> </w:t>
            </w:r>
            <w:r>
              <w:rPr>
                <w:spacing w:val="-3"/>
                <w:sz w:val="20"/>
                <w:szCs w:val="20"/>
              </w:rPr>
              <w:t>维持</w:t>
            </w:r>
          </w:p>
        </w:tc>
        <w:tc>
          <w:tcPr>
            <w:tcW w:w="580" w:type="dxa"/>
            <w:vMerge w:val="restart"/>
            <w:tcBorders>
              <w:bottom w:val="nil"/>
            </w:tcBorders>
            <w:vAlign w:val="top"/>
          </w:tcPr>
          <w:p>
            <w:pPr>
              <w:pStyle w:val="6"/>
              <w:spacing w:before="221" w:line="239" w:lineRule="auto"/>
              <w:ind w:left="81" w:right="77"/>
              <w:rPr>
                <w:sz w:val="20"/>
                <w:szCs w:val="20"/>
              </w:rPr>
            </w:pPr>
            <w:r>
              <w:rPr>
                <w:spacing w:val="5"/>
                <w:sz w:val="20"/>
                <w:szCs w:val="20"/>
              </w:rPr>
              <w:t>结果</w:t>
            </w:r>
            <w:r>
              <w:rPr>
                <w:sz w:val="20"/>
                <w:szCs w:val="20"/>
              </w:rPr>
              <w:t xml:space="preserve"> </w:t>
            </w:r>
            <w:r>
              <w:rPr>
                <w:spacing w:val="5"/>
                <w:sz w:val="20"/>
                <w:szCs w:val="20"/>
              </w:rPr>
              <w:t>纠正</w:t>
            </w:r>
          </w:p>
        </w:tc>
        <w:tc>
          <w:tcPr>
            <w:tcW w:w="579" w:type="dxa"/>
            <w:vMerge w:val="restart"/>
            <w:tcBorders>
              <w:bottom w:val="nil"/>
            </w:tcBorders>
            <w:vAlign w:val="top"/>
          </w:tcPr>
          <w:p>
            <w:pPr>
              <w:pStyle w:val="6"/>
              <w:spacing w:before="260" w:line="221" w:lineRule="auto"/>
              <w:ind w:left="80" w:right="76"/>
              <w:rPr>
                <w:sz w:val="20"/>
                <w:szCs w:val="20"/>
              </w:rPr>
            </w:pPr>
            <w:r>
              <w:rPr>
                <w:spacing w:val="-5"/>
                <w:sz w:val="20"/>
                <w:szCs w:val="20"/>
              </w:rPr>
              <w:t>其他</w:t>
            </w:r>
            <w:r>
              <w:rPr>
                <w:sz w:val="20"/>
                <w:szCs w:val="20"/>
              </w:rPr>
              <w:t xml:space="preserve"> </w:t>
            </w:r>
            <w:r>
              <w:rPr>
                <w:spacing w:val="5"/>
                <w:sz w:val="20"/>
                <w:szCs w:val="20"/>
              </w:rPr>
              <w:t>结果</w:t>
            </w:r>
          </w:p>
        </w:tc>
        <w:tc>
          <w:tcPr>
            <w:tcW w:w="579" w:type="dxa"/>
            <w:vMerge w:val="restart"/>
            <w:tcBorders>
              <w:bottom w:val="nil"/>
            </w:tcBorders>
            <w:vAlign w:val="top"/>
          </w:tcPr>
          <w:p>
            <w:pPr>
              <w:pStyle w:val="6"/>
              <w:spacing w:before="260" w:line="221" w:lineRule="auto"/>
              <w:ind w:left="82" w:right="75"/>
              <w:rPr>
                <w:sz w:val="20"/>
                <w:szCs w:val="20"/>
              </w:rPr>
            </w:pPr>
            <w:r>
              <w:rPr>
                <w:spacing w:val="5"/>
                <w:sz w:val="20"/>
                <w:szCs w:val="20"/>
              </w:rPr>
              <w:t>尚未</w:t>
            </w:r>
            <w:r>
              <w:rPr>
                <w:sz w:val="20"/>
                <w:szCs w:val="20"/>
              </w:rPr>
              <w:t xml:space="preserve"> </w:t>
            </w:r>
            <w:r>
              <w:rPr>
                <w:spacing w:val="5"/>
                <w:sz w:val="20"/>
                <w:szCs w:val="20"/>
              </w:rPr>
              <w:t>审结</w:t>
            </w:r>
          </w:p>
        </w:tc>
        <w:tc>
          <w:tcPr>
            <w:tcW w:w="590" w:type="dxa"/>
            <w:vMerge w:val="restart"/>
            <w:tcBorders>
              <w:bottom w:val="nil"/>
            </w:tcBorders>
            <w:vAlign w:val="top"/>
          </w:tcPr>
          <w:p>
            <w:pPr>
              <w:spacing w:line="304" w:lineRule="auto"/>
              <w:rPr>
                <w:rFonts w:ascii="Arial"/>
                <w:sz w:val="21"/>
              </w:rPr>
            </w:pPr>
          </w:p>
          <w:p>
            <w:pPr>
              <w:pStyle w:val="6"/>
              <w:spacing w:before="65" w:line="221" w:lineRule="auto"/>
              <w:ind w:left="93"/>
              <w:rPr>
                <w:sz w:val="20"/>
                <w:szCs w:val="20"/>
              </w:rPr>
            </w:pPr>
            <w:r>
              <w:rPr>
                <w:spacing w:val="4"/>
                <w:sz w:val="20"/>
                <w:szCs w:val="20"/>
              </w:rPr>
              <w:t>总计</w:t>
            </w:r>
          </w:p>
        </w:tc>
        <w:tc>
          <w:tcPr>
            <w:tcW w:w="2906" w:type="dxa"/>
            <w:gridSpan w:val="5"/>
            <w:vAlign w:val="top"/>
          </w:tcPr>
          <w:p>
            <w:pPr>
              <w:pStyle w:val="6"/>
              <w:spacing w:before="60" w:line="219" w:lineRule="auto"/>
              <w:ind w:left="622"/>
              <w:rPr>
                <w:sz w:val="20"/>
                <w:szCs w:val="20"/>
              </w:rPr>
            </w:pPr>
            <w:r>
              <w:rPr>
                <w:spacing w:val="-2"/>
                <w:sz w:val="20"/>
                <w:szCs w:val="20"/>
              </w:rPr>
              <w:t>未经复议直接起诉</w:t>
            </w:r>
          </w:p>
        </w:tc>
        <w:tc>
          <w:tcPr>
            <w:tcW w:w="2911" w:type="dxa"/>
            <w:gridSpan w:val="5"/>
            <w:vAlign w:val="top"/>
          </w:tcPr>
          <w:p>
            <w:pPr>
              <w:pStyle w:val="6"/>
              <w:spacing w:before="60" w:line="219" w:lineRule="auto"/>
              <w:ind w:left="947"/>
              <w:rPr>
                <w:sz w:val="20"/>
                <w:szCs w:val="20"/>
              </w:rPr>
            </w:pPr>
            <w:r>
              <w:rPr>
                <w:spacing w:val="1"/>
                <w:sz w:val="20"/>
                <w:szCs w:val="2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589" w:type="dxa"/>
            <w:vAlign w:val="top"/>
          </w:tcPr>
          <w:p>
            <w:pPr>
              <w:pStyle w:val="6"/>
              <w:spacing w:before="83" w:line="238" w:lineRule="auto"/>
              <w:ind w:left="83" w:right="84"/>
              <w:rPr>
                <w:sz w:val="20"/>
                <w:szCs w:val="20"/>
              </w:rPr>
            </w:pPr>
            <w:r>
              <w:rPr>
                <w:spacing w:val="5"/>
                <w:sz w:val="20"/>
                <w:szCs w:val="20"/>
              </w:rPr>
              <w:t>结果</w:t>
            </w:r>
            <w:r>
              <w:rPr>
                <w:sz w:val="20"/>
                <w:szCs w:val="20"/>
              </w:rPr>
              <w:t xml:space="preserve"> </w:t>
            </w:r>
            <w:r>
              <w:rPr>
                <w:spacing w:val="-3"/>
                <w:sz w:val="20"/>
                <w:szCs w:val="20"/>
              </w:rPr>
              <w:t>维持</w:t>
            </w:r>
          </w:p>
        </w:tc>
        <w:tc>
          <w:tcPr>
            <w:tcW w:w="579" w:type="dxa"/>
            <w:vAlign w:val="top"/>
          </w:tcPr>
          <w:p>
            <w:pPr>
              <w:pStyle w:val="6"/>
              <w:spacing w:before="83" w:line="225" w:lineRule="auto"/>
              <w:ind w:left="84" w:right="73"/>
              <w:rPr>
                <w:sz w:val="20"/>
                <w:szCs w:val="20"/>
              </w:rPr>
            </w:pPr>
            <w:r>
              <w:rPr>
                <w:spacing w:val="5"/>
                <w:sz w:val="20"/>
                <w:szCs w:val="20"/>
              </w:rPr>
              <w:t>结果</w:t>
            </w:r>
            <w:r>
              <w:rPr>
                <w:sz w:val="20"/>
                <w:szCs w:val="20"/>
              </w:rPr>
              <w:t xml:space="preserve"> </w:t>
            </w:r>
            <w:r>
              <w:rPr>
                <w:spacing w:val="5"/>
                <w:sz w:val="20"/>
                <w:szCs w:val="20"/>
              </w:rPr>
              <w:t>纠正</w:t>
            </w:r>
          </w:p>
        </w:tc>
        <w:tc>
          <w:tcPr>
            <w:tcW w:w="580" w:type="dxa"/>
            <w:vAlign w:val="top"/>
          </w:tcPr>
          <w:p>
            <w:pPr>
              <w:pStyle w:val="6"/>
              <w:spacing w:before="82" w:line="235" w:lineRule="auto"/>
              <w:ind w:left="85" w:right="73"/>
              <w:rPr>
                <w:sz w:val="20"/>
                <w:szCs w:val="20"/>
              </w:rPr>
            </w:pPr>
            <w:r>
              <w:rPr>
                <w:spacing w:val="-5"/>
                <w:sz w:val="20"/>
                <w:szCs w:val="20"/>
              </w:rPr>
              <w:t>其他</w:t>
            </w:r>
            <w:r>
              <w:rPr>
                <w:sz w:val="20"/>
                <w:szCs w:val="20"/>
              </w:rPr>
              <w:t xml:space="preserve"> </w:t>
            </w:r>
            <w:r>
              <w:rPr>
                <w:spacing w:val="5"/>
                <w:sz w:val="20"/>
                <w:szCs w:val="20"/>
              </w:rPr>
              <w:t>结果</w:t>
            </w:r>
          </w:p>
        </w:tc>
        <w:tc>
          <w:tcPr>
            <w:tcW w:w="579" w:type="dxa"/>
            <w:vAlign w:val="top"/>
          </w:tcPr>
          <w:p>
            <w:pPr>
              <w:pStyle w:val="6"/>
              <w:spacing w:before="82" w:line="221" w:lineRule="auto"/>
              <w:ind w:left="84" w:right="72"/>
              <w:rPr>
                <w:sz w:val="20"/>
                <w:szCs w:val="20"/>
              </w:rPr>
            </w:pPr>
            <w:r>
              <w:rPr>
                <w:spacing w:val="5"/>
                <w:sz w:val="20"/>
                <w:szCs w:val="20"/>
              </w:rPr>
              <w:t>尚未</w:t>
            </w:r>
            <w:r>
              <w:rPr>
                <w:sz w:val="20"/>
                <w:szCs w:val="20"/>
              </w:rPr>
              <w:t xml:space="preserve"> </w:t>
            </w:r>
            <w:r>
              <w:rPr>
                <w:spacing w:val="5"/>
                <w:sz w:val="20"/>
                <w:szCs w:val="20"/>
              </w:rPr>
              <w:t>审结</w:t>
            </w:r>
          </w:p>
        </w:tc>
        <w:tc>
          <w:tcPr>
            <w:tcW w:w="579" w:type="dxa"/>
            <w:vAlign w:val="top"/>
          </w:tcPr>
          <w:p>
            <w:pPr>
              <w:pStyle w:val="6"/>
              <w:spacing w:before="213" w:line="221" w:lineRule="auto"/>
              <w:ind w:left="95"/>
              <w:rPr>
                <w:sz w:val="20"/>
                <w:szCs w:val="20"/>
              </w:rPr>
            </w:pPr>
            <w:r>
              <w:rPr>
                <w:spacing w:val="4"/>
                <w:sz w:val="20"/>
                <w:szCs w:val="20"/>
              </w:rPr>
              <w:t>总计</w:t>
            </w:r>
          </w:p>
        </w:tc>
        <w:tc>
          <w:tcPr>
            <w:tcW w:w="579" w:type="dxa"/>
            <w:vAlign w:val="top"/>
          </w:tcPr>
          <w:p>
            <w:pPr>
              <w:pStyle w:val="6"/>
              <w:spacing w:before="72" w:line="225" w:lineRule="auto"/>
              <w:ind w:left="87" w:right="70"/>
              <w:rPr>
                <w:sz w:val="20"/>
                <w:szCs w:val="20"/>
              </w:rPr>
            </w:pPr>
            <w:r>
              <w:rPr>
                <w:spacing w:val="5"/>
                <w:sz w:val="20"/>
                <w:szCs w:val="20"/>
              </w:rPr>
              <w:t>结果</w:t>
            </w:r>
            <w:r>
              <w:rPr>
                <w:sz w:val="20"/>
                <w:szCs w:val="20"/>
              </w:rPr>
              <w:t xml:space="preserve"> </w:t>
            </w:r>
            <w:r>
              <w:rPr>
                <w:spacing w:val="-3"/>
                <w:sz w:val="20"/>
                <w:szCs w:val="20"/>
              </w:rPr>
              <w:t>维持</w:t>
            </w:r>
          </w:p>
        </w:tc>
        <w:tc>
          <w:tcPr>
            <w:tcW w:w="580" w:type="dxa"/>
            <w:vAlign w:val="top"/>
          </w:tcPr>
          <w:p>
            <w:pPr>
              <w:pStyle w:val="6"/>
              <w:spacing w:before="82" w:line="221" w:lineRule="auto"/>
              <w:ind w:left="87" w:right="70"/>
              <w:rPr>
                <w:sz w:val="20"/>
                <w:szCs w:val="20"/>
              </w:rPr>
            </w:pPr>
            <w:r>
              <w:rPr>
                <w:spacing w:val="5"/>
                <w:sz w:val="20"/>
                <w:szCs w:val="20"/>
              </w:rPr>
              <w:t>结果</w:t>
            </w:r>
            <w:r>
              <w:rPr>
                <w:sz w:val="20"/>
                <w:szCs w:val="20"/>
              </w:rPr>
              <w:t xml:space="preserve"> </w:t>
            </w:r>
            <w:r>
              <w:rPr>
                <w:spacing w:val="5"/>
                <w:sz w:val="20"/>
                <w:szCs w:val="20"/>
              </w:rPr>
              <w:t>纠正</w:t>
            </w:r>
          </w:p>
        </w:tc>
        <w:tc>
          <w:tcPr>
            <w:tcW w:w="589" w:type="dxa"/>
            <w:vAlign w:val="top"/>
          </w:tcPr>
          <w:p>
            <w:pPr>
              <w:pStyle w:val="6"/>
              <w:spacing w:before="72" w:line="235" w:lineRule="auto"/>
              <w:ind w:left="87" w:right="79"/>
              <w:rPr>
                <w:sz w:val="20"/>
                <w:szCs w:val="20"/>
              </w:rPr>
            </w:pPr>
            <w:r>
              <w:rPr>
                <w:spacing w:val="-5"/>
                <w:sz w:val="20"/>
                <w:szCs w:val="20"/>
              </w:rPr>
              <w:t>其他</w:t>
            </w:r>
            <w:r>
              <w:rPr>
                <w:sz w:val="20"/>
                <w:szCs w:val="20"/>
              </w:rPr>
              <w:t xml:space="preserve"> </w:t>
            </w:r>
            <w:r>
              <w:rPr>
                <w:spacing w:val="5"/>
                <w:sz w:val="20"/>
                <w:szCs w:val="20"/>
              </w:rPr>
              <w:t>结果</w:t>
            </w:r>
          </w:p>
        </w:tc>
        <w:tc>
          <w:tcPr>
            <w:tcW w:w="589" w:type="dxa"/>
            <w:vAlign w:val="top"/>
          </w:tcPr>
          <w:p>
            <w:pPr>
              <w:pStyle w:val="6"/>
              <w:spacing w:before="82" w:line="221" w:lineRule="auto"/>
              <w:ind w:left="88" w:right="78"/>
              <w:rPr>
                <w:sz w:val="20"/>
                <w:szCs w:val="20"/>
              </w:rPr>
            </w:pPr>
            <w:r>
              <w:rPr>
                <w:spacing w:val="5"/>
                <w:sz w:val="20"/>
                <w:szCs w:val="20"/>
              </w:rPr>
              <w:t>尚未</w:t>
            </w:r>
            <w:r>
              <w:rPr>
                <w:sz w:val="20"/>
                <w:szCs w:val="20"/>
              </w:rPr>
              <w:t xml:space="preserve"> </w:t>
            </w:r>
            <w:r>
              <w:rPr>
                <w:spacing w:val="5"/>
                <w:sz w:val="20"/>
                <w:szCs w:val="20"/>
              </w:rPr>
              <w:t>审结</w:t>
            </w:r>
          </w:p>
        </w:tc>
        <w:tc>
          <w:tcPr>
            <w:tcW w:w="574" w:type="dxa"/>
            <w:vAlign w:val="top"/>
          </w:tcPr>
          <w:p>
            <w:pPr>
              <w:pStyle w:val="6"/>
              <w:spacing w:before="213" w:line="221" w:lineRule="auto"/>
              <w:ind w:left="89"/>
              <w:rPr>
                <w:sz w:val="20"/>
                <w:szCs w:val="20"/>
              </w:rPr>
            </w:pPr>
            <w:r>
              <w:rPr>
                <w:spacing w:val="4"/>
                <w:sz w:val="20"/>
                <w:szCs w:val="2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84"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9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spacing w:before="281" w:line="222" w:lineRule="auto"/>
        <w:ind w:left="619"/>
        <w:outlineLvl w:val="0"/>
        <w:rPr>
          <w:rFonts w:ascii="黑体" w:hAnsi="黑体" w:eastAsia="黑体" w:cs="黑体"/>
          <w:sz w:val="30"/>
          <w:szCs w:val="30"/>
        </w:rPr>
      </w:pPr>
      <w:r>
        <w:rPr>
          <w:rFonts w:ascii="黑体" w:hAnsi="黑体" w:eastAsia="黑体" w:cs="黑体"/>
          <w:b/>
          <w:bCs/>
          <w:spacing w:val="-3"/>
          <w:sz w:val="30"/>
          <w:szCs w:val="30"/>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6" w:firstLineChars="200"/>
        <w:textAlignment w:val="baseline"/>
        <w:outlineLvl w:val="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（一）存在问题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6" w:firstLineChars="200"/>
        <w:textAlignment w:val="baseline"/>
        <w:outlineLvl w:val="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对</w:t>
      </w:r>
      <w:r>
        <w:rPr>
          <w:rFonts w:hint="eastAsia" w:ascii="仿宋_GB2312" w:hAnsi="仿宋_GB2312" w:eastAsia="仿宋_GB2312" w:cs="仿宋_GB2312"/>
          <w:spacing w:val="9"/>
          <w:sz w:val="32"/>
          <w:szCs w:val="32"/>
          <w:lang w:val="en-US" w:eastAsia="zh-CN"/>
        </w:rPr>
        <w:t>政策</w:t>
      </w:r>
      <w:r>
        <w:rPr>
          <w:rFonts w:hint="eastAsia" w:ascii="仿宋_GB2312" w:hAnsi="仿宋_GB2312" w:eastAsia="仿宋_GB2312" w:cs="仿宋_GB2312"/>
          <w:spacing w:val="9"/>
          <w:sz w:val="32"/>
          <w:szCs w:val="32"/>
        </w:rPr>
        <w:t>理解不够透彻，公开信息的数量</w:t>
      </w:r>
      <w:r>
        <w:rPr>
          <w:rFonts w:hint="eastAsia" w:ascii="仿宋_GB2312" w:hAnsi="仿宋_GB2312" w:eastAsia="仿宋_GB2312" w:cs="仿宋_GB2312"/>
          <w:spacing w:val="9"/>
          <w:sz w:val="32"/>
          <w:szCs w:val="32"/>
          <w:lang w:val="en-US" w:eastAsia="zh-CN"/>
        </w:rPr>
        <w:t>少</w:t>
      </w:r>
      <w:r>
        <w:rPr>
          <w:rFonts w:hint="eastAsia" w:ascii="仿宋_GB2312" w:hAnsi="仿宋_GB2312" w:eastAsia="仿宋_GB2312" w:cs="仿宋_GB2312"/>
          <w:spacing w:val="9"/>
          <w:sz w:val="32"/>
          <w:szCs w:val="32"/>
        </w:rPr>
        <w:t>、内容单一</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质量不高</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主动性不强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实效性仍需进一步提高。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6" w:firstLineChars="200"/>
        <w:textAlignment w:val="baseline"/>
        <w:outlineLvl w:val="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（二）改进措施和办法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6" w:firstLineChars="200"/>
        <w:textAlignment w:val="baseline"/>
        <w:outlineLvl w:val="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加强组织领导，进一步强化制度建设</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落实部门责任，健全完善工作机制</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规范公开内容。加大政务公开的学习与培训</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着力提升专职人员对依申请公开件办理规范性，提高政务公开工作业务能力和水平</w:t>
      </w:r>
      <w:r>
        <w:rPr>
          <w:rFonts w:hint="eastAsia" w:ascii="仿宋_GB2312" w:hAnsi="仿宋_GB2312" w:eastAsia="仿宋_GB2312" w:cs="仿宋_GB2312"/>
          <w:spacing w:val="9"/>
          <w:sz w:val="32"/>
          <w:szCs w:val="32"/>
          <w:lang w:eastAsia="zh-CN"/>
        </w:rPr>
        <w:t>。</w:t>
      </w:r>
    </w:p>
    <w:p>
      <w:pPr>
        <w:spacing w:before="222" w:line="222" w:lineRule="auto"/>
        <w:ind w:left="619"/>
        <w:outlineLvl w:val="0"/>
        <w:rPr>
          <w:rFonts w:ascii="黑体" w:hAnsi="黑体" w:eastAsia="黑体" w:cs="黑体"/>
          <w:sz w:val="30"/>
          <w:szCs w:val="30"/>
        </w:rPr>
      </w:pPr>
      <w:r>
        <w:rPr>
          <w:rFonts w:ascii="黑体" w:hAnsi="黑体" w:eastAsia="黑体" w:cs="黑体"/>
          <w:b/>
          <w:bCs/>
          <w:spacing w:val="-7"/>
          <w:sz w:val="30"/>
          <w:szCs w:val="30"/>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（一）依据《政府信息公开信息处理费管理办法》收取信息处理费的情况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落实上级年度政务公开工作要点工作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0" w:firstLine="632"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沂源经济开发区积极落实县委、县政府对于政务公开工作的各项部署，积极开展各项政务公开工作。</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政务公开制度、内容、形式和平台建设方面的创新实践情况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不断完善政务公开制度，加强信息公开的范围和内容，建立健全工作机制，推动政府信息公开标准化、规范化、制度化。积极开展政务公开工作，</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开展政务公开培训、建立新媒体</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rPr>
        <w:t>，提高政务公开的透明度和便利性。</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人大代表建议和政协提案办理结果公开情况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2023年，未收到收到县人大建议。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2023年，未收到收到县政协提案。</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沂源经济开发区管理委员会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2024年1月30日</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9" w:line="184" w:lineRule="auto"/>
        <w:rPr>
          <w:rFonts w:ascii="宋体" w:hAnsi="宋体" w:eastAsia="宋体" w:cs="宋体"/>
          <w:sz w:val="30"/>
          <w:szCs w:val="30"/>
        </w:rPr>
      </w:pPr>
    </w:p>
    <w:sectPr>
      <w:pgSz w:w="11800" w:h="16730"/>
      <w:pgMar w:top="1422" w:right="1615" w:bottom="400" w:left="144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B74C3"/>
    <w:multiLevelType w:val="singleLevel"/>
    <w:tmpl w:val="4F0B74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hlZGE1NGIwY2EwMDVjNDZmNjMzMGJjMWJlODZhMTAifQ=="/>
  </w:docVars>
  <w:rsids>
    <w:rsidRoot w:val="00000000"/>
    <w:rsid w:val="0A342878"/>
    <w:rsid w:val="302535DF"/>
    <w:rsid w:val="353F2F26"/>
    <w:rsid w:val="376A1EF8"/>
    <w:rsid w:val="40877D2F"/>
    <w:rsid w:val="432A3A7C"/>
    <w:rsid w:val="6BE2746D"/>
    <w:rsid w:val="770E0F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0"/>
      <w:szCs w:val="30"/>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依申请公开数量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申请公开数量</c:v>
                </c:pt>
              </c:strCache>
            </c:strRef>
          </c:tx>
          <c:spPr>
            <a:solidFill>
              <a:schemeClr val="accent1"/>
            </a:solidFill>
            <a:ln>
              <a:noFill/>
            </a:ln>
            <a:effectLst/>
          </c:spPr>
          <c:invertIfNegative val="0"/>
          <c:dLbls>
            <c:delete val="1"/>
          </c:dLbls>
          <c:cat>
            <c:numRef>
              <c:f>Sheet1!$A$2:$A$4</c:f>
              <c:numCache>
                <c:formatCode>General</c:formatCode>
                <c:ptCount val="3"/>
                <c:pt idx="0">
                  <c:v>2021</c:v>
                </c:pt>
                <c:pt idx="1">
                  <c:v>2022</c:v>
                </c:pt>
                <c:pt idx="2">
                  <c:v>2023</c:v>
                </c:pt>
              </c:numCache>
            </c:numRef>
          </c:cat>
          <c:val>
            <c:numRef>
              <c:f>Sheet1!$B$2:$B$4</c:f>
              <c:numCache>
                <c:formatCode>General</c:formatCode>
                <c:ptCount val="3"/>
                <c:pt idx="0">
                  <c:v>1</c:v>
                </c:pt>
                <c:pt idx="1">
                  <c:v>1</c:v>
                </c:pt>
                <c:pt idx="2">
                  <c:v>1</c:v>
                </c:pt>
              </c:numCache>
            </c:numRef>
          </c:val>
        </c:ser>
        <c:dLbls>
          <c:showLegendKey val="0"/>
          <c:showVal val="0"/>
          <c:showCatName val="0"/>
          <c:showSerName val="0"/>
          <c:showPercent val="0"/>
          <c:showBubbleSize val="0"/>
        </c:dLbls>
        <c:gapWidth val="246"/>
        <c:overlap val="-28"/>
        <c:axId val="309626078"/>
        <c:axId val="604096302"/>
      </c:barChart>
      <c:catAx>
        <c:axId val="3096260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096302"/>
        <c:crosses val="autoZero"/>
        <c:auto val="1"/>
        <c:lblAlgn val="ctr"/>
        <c:lblOffset val="100"/>
        <c:noMultiLvlLbl val="0"/>
      </c:catAx>
      <c:valAx>
        <c:axId val="6040963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6260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2024-01-29T10:30:00Z</dcterms:created>
  <dc:creator>Kingsoft-PDF</dc:creator>
  <cp:lastModifiedBy>WPS_321496988</cp:lastModifiedBy>
  <cp:lastPrinted>2024-01-29T03:40:00Z</cp:lastPrinted>
  <dcterms:modified xsi:type="dcterms:W3CDTF">2024-01-30T02:52:31Z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2024-01-29T10:30:26Z</vt:filetime>
  </property>
  <property fmtid="{D5CDD505-2E9C-101B-9397-08002B2CF9AE}" pid="4" name="UsrData">
    <vt:lpwstr>65b70dbccf550f001fc4f915wl</vt:lpwstr>
  </property>
  <property fmtid="{D5CDD505-2E9C-101B-9397-08002B2CF9AE}" pid="5" name="KSOProductBuildVer">
    <vt:lpwstr>2052-12.1.0.16250</vt:lpwstr>
  </property>
  <property fmtid="{D5CDD505-2E9C-101B-9397-08002B2CF9AE}" pid="6" name="ICV">
    <vt:lpwstr>6B6F63EDF97344CE912ED94E51FF63B4_12</vt:lpwstr>
  </property>
</Properties>
</file>