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3D7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caps w:val="0"/>
          <w:color w:val="auto"/>
          <w:spacing w:val="0"/>
          <w:sz w:val="44"/>
          <w:szCs w:val="44"/>
        </w:rPr>
      </w:pPr>
      <w:r>
        <w:rPr>
          <w:rFonts w:hint="default" w:ascii="Times New Roman" w:hAnsi="Times New Roman" w:eastAsia="方正小标宋简体" w:cs="Times New Roman"/>
          <w:b w:val="0"/>
          <w:bCs w:val="0"/>
          <w:i w:val="0"/>
          <w:caps w:val="0"/>
          <w:color w:val="auto"/>
          <w:spacing w:val="0"/>
          <w:sz w:val="44"/>
          <w:szCs w:val="44"/>
          <w:lang w:eastAsia="zh-CN"/>
        </w:rPr>
        <w:t>沂源</w:t>
      </w:r>
      <w:r>
        <w:rPr>
          <w:rFonts w:hint="default" w:ascii="Times New Roman" w:hAnsi="Times New Roman" w:eastAsia="方正小标宋简体" w:cs="Times New Roman"/>
          <w:b w:val="0"/>
          <w:bCs w:val="0"/>
          <w:i w:val="0"/>
          <w:caps w:val="0"/>
          <w:color w:val="auto"/>
          <w:spacing w:val="0"/>
          <w:sz w:val="44"/>
          <w:szCs w:val="44"/>
        </w:rPr>
        <w:t>县发展</w:t>
      </w:r>
      <w:r>
        <w:rPr>
          <w:rFonts w:hint="default" w:ascii="Times New Roman" w:hAnsi="Times New Roman" w:eastAsia="方正小标宋简体" w:cs="Times New Roman"/>
          <w:b w:val="0"/>
          <w:bCs w:val="0"/>
          <w:i w:val="0"/>
          <w:caps w:val="0"/>
          <w:color w:val="auto"/>
          <w:spacing w:val="0"/>
          <w:sz w:val="44"/>
          <w:szCs w:val="44"/>
          <w:lang w:eastAsia="zh-CN"/>
        </w:rPr>
        <w:t>和</w:t>
      </w:r>
      <w:r>
        <w:rPr>
          <w:rFonts w:hint="default" w:ascii="Times New Roman" w:hAnsi="Times New Roman" w:eastAsia="方正小标宋简体" w:cs="Times New Roman"/>
          <w:b w:val="0"/>
          <w:bCs w:val="0"/>
          <w:i w:val="0"/>
          <w:caps w:val="0"/>
          <w:color w:val="auto"/>
          <w:spacing w:val="0"/>
          <w:sz w:val="44"/>
          <w:szCs w:val="44"/>
        </w:rPr>
        <w:t>改革局</w:t>
      </w:r>
    </w:p>
    <w:p w14:paraId="2D7F73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方正小标宋简体" w:cs="Times New Roman"/>
          <w:b w:val="0"/>
          <w:bCs w:val="0"/>
          <w:i w:val="0"/>
          <w:caps w:val="0"/>
          <w:color w:val="auto"/>
          <w:spacing w:val="0"/>
          <w:sz w:val="44"/>
          <w:szCs w:val="44"/>
          <w:lang w:eastAsia="zh-CN"/>
        </w:rPr>
        <w:t>202</w:t>
      </w:r>
      <w:r>
        <w:rPr>
          <w:rFonts w:hint="eastAsia" w:ascii="Times New Roman" w:hAnsi="Times New Roman" w:eastAsia="方正小标宋简体" w:cs="Times New Roman"/>
          <w:b w:val="0"/>
          <w:bCs w:val="0"/>
          <w:i w:val="0"/>
          <w:caps w:val="0"/>
          <w:color w:val="auto"/>
          <w:spacing w:val="0"/>
          <w:sz w:val="44"/>
          <w:szCs w:val="44"/>
          <w:lang w:val="en-US" w:eastAsia="zh-CN"/>
        </w:rPr>
        <w:t>5</w:t>
      </w:r>
      <w:r>
        <w:rPr>
          <w:rFonts w:hint="default" w:ascii="Times New Roman" w:hAnsi="Times New Roman" w:eastAsia="方正小标宋简体" w:cs="Times New Roman"/>
          <w:b w:val="0"/>
          <w:bCs w:val="0"/>
          <w:i w:val="0"/>
          <w:caps w:val="0"/>
          <w:color w:val="auto"/>
          <w:spacing w:val="0"/>
          <w:sz w:val="44"/>
          <w:szCs w:val="44"/>
        </w:rPr>
        <w:t>年政府信息公开工作年度报告</w:t>
      </w:r>
      <w:bookmarkStart w:id="0" w:name="_GoBack"/>
      <w:bookmarkEnd w:id="0"/>
    </w:p>
    <w:p w14:paraId="701B7E1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p>
    <w:p w14:paraId="4B2BDE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根据《中华人民共和国政府信息公开条例》规定，现特向社会公布《</w:t>
      </w: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沂源县发展和改革局2025年度政府信息公开工作年度报告》。</w:t>
      </w:r>
    </w:p>
    <w:p w14:paraId="5903121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本</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报告中所列数据的统计期限自202</w:t>
      </w: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年1月1日起至202</w:t>
      </w: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年12月31日止。如对报告内容有疑问，请与沂源县发展和改革局联系（地址：沂源县振兴路61号；邮编：25610；电话：0533-3241092；邮箱：</w:t>
      </w:r>
      <w:r>
        <w:rPr>
          <w:rFonts w:hint="default" w:ascii="Times New Roman" w:hAnsi="Times New Roman" w:eastAsia="仿宋_GB2312" w:cs="Times New Roman"/>
          <w:b w:val="0"/>
          <w:bCs w:val="0"/>
          <w:i w:val="0"/>
          <w:iCs w:val="0"/>
          <w:caps w:val="0"/>
          <w:color w:val="auto"/>
          <w:spacing w:val="0"/>
          <w:kern w:val="0"/>
          <w:sz w:val="32"/>
          <w:szCs w:val="32"/>
          <w:u w:val="none"/>
          <w:shd w:val="clear" w:fill="FFFFFF"/>
          <w:lang w:val="en-US" w:eastAsia="zh-CN" w:bidi="ar"/>
        </w:rPr>
        <w:t>yyxfgj3241092@zb.shandong.cn）。</w:t>
      </w:r>
    </w:p>
    <w:p w14:paraId="0358D3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rPr>
      </w:pPr>
      <w:r>
        <w:rPr>
          <w:rFonts w:hint="default" w:ascii="Times New Roman" w:hAnsi="Times New Roman" w:eastAsia="黑体" w:cs="Times New Roman"/>
          <w:b w:val="0"/>
          <w:bCs w:val="0"/>
          <w:i w:val="0"/>
          <w:iCs w:val="0"/>
          <w:caps w:val="0"/>
          <w:color w:val="auto"/>
          <w:spacing w:val="0"/>
          <w:sz w:val="32"/>
          <w:szCs w:val="32"/>
          <w:shd w:val="clear" w:fill="FFFFFF"/>
        </w:rPr>
        <w:t>一、总体情况</w:t>
      </w:r>
    </w:p>
    <w:p w14:paraId="1B779A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202</w:t>
      </w: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年，县发展改革局坚持以习近平新时代中国特色社会主义思想为指导，深入贯彻落实党的二十大精神，紧紧围绕县委、县政府中心工作和发改领域重点工作，统筹政务公开与安全保密，聚焦服务“3510”发展目标和“强富美优”城市愿景，推动发改部门政务公开工作扎实有效开展。</w:t>
      </w:r>
    </w:p>
    <w:p w14:paraId="2F775E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fill="FFFFFF"/>
        </w:rPr>
      </w:pPr>
      <w:r>
        <w:rPr>
          <w:rFonts w:hint="default" w:ascii="Times New Roman" w:hAnsi="Times New Roman" w:eastAsia="楷体_GB2312" w:cs="Times New Roman"/>
          <w:b w:val="0"/>
          <w:bCs w:val="0"/>
          <w:i w:val="0"/>
          <w:iCs w:val="0"/>
          <w:caps w:val="0"/>
          <w:color w:val="auto"/>
          <w:spacing w:val="0"/>
          <w:sz w:val="32"/>
          <w:szCs w:val="32"/>
          <w:shd w:val="clear" w:fill="FFFFFF"/>
        </w:rPr>
        <w:t>（一）主动公开情况</w:t>
      </w:r>
    </w:p>
    <w:p w14:paraId="32CB35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县发展改革局紧紧围绕重点领域，加大主动公开力度，坚持以公开促落实，以公开促规范，以公开促服务，及时发布发展改革服务事务和人民群众关注关切的民生信息。</w:t>
      </w:r>
    </w:p>
    <w:p w14:paraId="799155D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3"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w:t>
      </w: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今</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年以来，主动公开政府信息</w:t>
      </w: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71</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条，其中</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政府部门文件</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条，政策解读类</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条，公示公告类</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13</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重大决策类</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3</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条，</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规划计划类</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条，重大建设项目批准和实施类</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8</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条，建议提案办理类</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9</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条，财政信息类</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条，管理和服务公开类</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13</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条，双随机一公开类</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5</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条，公共监管类</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条，信息公开年度报告</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条，政务公开培训</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条等。</w:t>
      </w:r>
    </w:p>
    <w:p w14:paraId="72846DE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3" w:leftChars="0" w:right="0" w:rightChars="0"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2.及时更新县政府门户网站公告栏内容，公布年度工作计划及完成情况、部门领导信息、部门文件、部门预决算、通知公告、重大决策预公开、重大建设项目批准和实施、管理和服务公开等内容。</w:t>
      </w:r>
    </w:p>
    <w:p w14:paraId="5AE252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fill="FFFFFF"/>
        </w:rPr>
      </w:pPr>
      <w:r>
        <w:rPr>
          <w:rFonts w:hint="default" w:ascii="Times New Roman" w:hAnsi="Times New Roman" w:eastAsia="楷体_GB2312" w:cs="Times New Roman"/>
          <w:b w:val="0"/>
          <w:bCs w:val="0"/>
          <w:i w:val="0"/>
          <w:iCs w:val="0"/>
          <w:caps w:val="0"/>
          <w:color w:val="auto"/>
          <w:spacing w:val="0"/>
          <w:sz w:val="32"/>
          <w:szCs w:val="32"/>
          <w:shd w:val="clear" w:fill="FFFFFF"/>
        </w:rPr>
        <w:t>（二）依申请公开情况</w:t>
      </w:r>
    </w:p>
    <w:p w14:paraId="080A31D3">
      <w:pPr>
        <w:pStyle w:val="3"/>
        <w:jc w:val="both"/>
        <w:rPr>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202</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5</w:t>
      </w:r>
      <w:r>
        <w:rPr>
          <w:rFonts w:hint="default" w:ascii="Times New Roman" w:hAnsi="Times New Roman" w:eastAsia="仿宋_GB2312" w:cs="Times New Roman"/>
          <w:b w:val="0"/>
          <w:bCs w:val="0"/>
          <w:i w:val="0"/>
          <w:iCs w:val="0"/>
          <w:caps w:val="0"/>
          <w:color w:val="auto"/>
          <w:spacing w:val="0"/>
          <w:sz w:val="32"/>
          <w:szCs w:val="32"/>
          <w:shd w:val="clear" w:fill="FFFFFF"/>
        </w:rPr>
        <w:t>年，县发改局共受理政府信息公开申请</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rPr>
        <w:t>件，其中网上申请0件，信函申请</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rPr>
        <w:t>件。共办结政府信息公开申请</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rPr>
        <w:t>件。</w:t>
      </w:r>
    </w:p>
    <w:p w14:paraId="126A5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fill="FFFFFF"/>
        </w:rPr>
      </w:pPr>
      <w:r>
        <w:rPr>
          <w:rFonts w:hint="default" w:ascii="Times New Roman" w:hAnsi="Times New Roman" w:eastAsia="楷体_GB2312" w:cs="Times New Roman"/>
          <w:b w:val="0"/>
          <w:bCs w:val="0"/>
          <w:i w:val="0"/>
          <w:iCs w:val="0"/>
          <w:caps w:val="0"/>
          <w:color w:val="auto"/>
          <w:spacing w:val="0"/>
          <w:sz w:val="32"/>
          <w:szCs w:val="32"/>
          <w:shd w:val="clear" w:fill="FFFFFF"/>
        </w:rPr>
        <w:t>（</w:t>
      </w:r>
      <w:r>
        <w:rPr>
          <w:rFonts w:hint="default" w:ascii="Times New Roman" w:hAnsi="Times New Roman" w:eastAsia="楷体_GB2312" w:cs="Times New Roman"/>
          <w:b w:val="0"/>
          <w:bCs w:val="0"/>
          <w:i w:val="0"/>
          <w:iCs w:val="0"/>
          <w:caps w:val="0"/>
          <w:color w:val="auto"/>
          <w:spacing w:val="0"/>
          <w:sz w:val="32"/>
          <w:szCs w:val="32"/>
          <w:shd w:val="clear" w:fill="FFFFFF"/>
          <w:lang w:val="en-US" w:eastAsia="zh-CN"/>
        </w:rPr>
        <w:t>三</w:t>
      </w:r>
      <w:r>
        <w:rPr>
          <w:rFonts w:hint="default" w:ascii="Times New Roman" w:hAnsi="Times New Roman" w:eastAsia="楷体_GB2312" w:cs="Times New Roman"/>
          <w:b w:val="0"/>
          <w:bCs w:val="0"/>
          <w:i w:val="0"/>
          <w:iCs w:val="0"/>
          <w:caps w:val="0"/>
          <w:color w:val="auto"/>
          <w:spacing w:val="0"/>
          <w:sz w:val="32"/>
          <w:szCs w:val="32"/>
          <w:shd w:val="clear" w:fill="FFFFFF"/>
        </w:rPr>
        <w:t>）政府信息管理情况</w:t>
      </w:r>
    </w:p>
    <w:p w14:paraId="304059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rPr>
        <w:t>我局成立了由</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主要负责同志</w:t>
      </w:r>
      <w:r>
        <w:rPr>
          <w:rFonts w:hint="default" w:ascii="Times New Roman" w:hAnsi="Times New Roman" w:eastAsia="仿宋_GB2312" w:cs="Times New Roman"/>
          <w:b w:val="0"/>
          <w:bCs w:val="0"/>
          <w:i w:val="0"/>
          <w:iCs w:val="0"/>
          <w:caps w:val="0"/>
          <w:color w:val="auto"/>
          <w:spacing w:val="0"/>
          <w:sz w:val="32"/>
          <w:szCs w:val="32"/>
          <w:shd w:val="clear" w:fill="FFFFFF"/>
        </w:rPr>
        <w:t>任组长、分管</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负责同志</w:t>
      </w:r>
      <w:r>
        <w:rPr>
          <w:rFonts w:hint="default" w:ascii="Times New Roman" w:hAnsi="Times New Roman" w:eastAsia="仿宋_GB2312" w:cs="Times New Roman"/>
          <w:b w:val="0"/>
          <w:bCs w:val="0"/>
          <w:i w:val="0"/>
          <w:iCs w:val="0"/>
          <w:caps w:val="0"/>
          <w:color w:val="auto"/>
          <w:spacing w:val="0"/>
          <w:sz w:val="32"/>
          <w:szCs w:val="32"/>
          <w:shd w:val="clear" w:fill="FFFFFF"/>
        </w:rPr>
        <w:t>任副组长，各科室负责同志为成员的政府信息公开工作领导小组，</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及时根据工作分工调整小组成员，</w:t>
      </w:r>
      <w:r>
        <w:rPr>
          <w:rFonts w:hint="default" w:ascii="Times New Roman" w:hAnsi="Times New Roman" w:eastAsia="仿宋_GB2312" w:cs="Times New Roman"/>
          <w:b w:val="0"/>
          <w:bCs w:val="0"/>
          <w:i w:val="0"/>
          <w:iCs w:val="0"/>
          <w:caps w:val="0"/>
          <w:color w:val="auto"/>
          <w:spacing w:val="0"/>
          <w:sz w:val="32"/>
          <w:szCs w:val="32"/>
          <w:shd w:val="clear" w:fill="FFFFFF"/>
        </w:rPr>
        <w:t>一级抓一级、层层抓落实</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rPr>
        <w:t>领导小组下设政府信息公开办公室，负责全局政府信息公开工作，确保政府信息公开工作抓好抓实。</w:t>
      </w:r>
    </w:p>
    <w:p w14:paraId="6A594F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rPr>
        <w:t>定期组织开展政务公开专题培训活动，进一步提高思想认识，增强政务公开意识，提高工作质量和水平，促进政务公开工作常态化、制度化、规范化。</w:t>
      </w:r>
    </w:p>
    <w:p w14:paraId="09179386">
      <w:pPr>
        <w:pStyle w:val="2"/>
        <w:ind w:firstLine="640" w:firstLineChars="200"/>
        <w:rPr>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Fonts w:hint="default" w:ascii="Times New Roman" w:hAnsi="Times New Roman" w:eastAsia="仿宋_GB2312" w:cs="Times New Roman"/>
          <w:b w:val="0"/>
          <w:bCs w:val="0"/>
          <w:i w:val="0"/>
          <w:iCs w:val="0"/>
          <w:caps w:val="0"/>
          <w:color w:val="auto"/>
          <w:spacing w:val="0"/>
          <w:kern w:val="2"/>
          <w:sz w:val="32"/>
          <w:szCs w:val="32"/>
          <w:shd w:val="clear" w:fill="FFFFFF"/>
          <w:lang w:val="en-US" w:eastAsia="zh-CN" w:bidi="ar-SA"/>
        </w:rPr>
        <w:t>3.严格落实政府信息公开“三审”制度，加大公开信息的审查，落实“涉密信息不上网，上网信息不涉密”工作要求。加强已发布信息的管理力度，清理过期无效信息；逐个栏目排查，清理说明类信息；重点关注敏感词、错别字的排查。</w:t>
      </w:r>
    </w:p>
    <w:p w14:paraId="4054B5C8">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rPr>
        <w:t>）政府信息公开平台建设</w:t>
      </w:r>
    </w:p>
    <w:p w14:paraId="4B6313E8">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按照上级有关部署要求，重新梳理核定主动公开事项目录，及时发布完善机构职能、领导分工、部门文件、重点领域公开、执法结果等信息，确保公开</w:t>
      </w:r>
      <w:r>
        <w:rPr>
          <w:rFonts w:hint="default" w:ascii="Times New Roman" w:hAnsi="Times New Roman" w:eastAsia="仿宋_GB2312" w:cs="Times New Roman"/>
          <w:color w:val="auto"/>
          <w:sz w:val="32"/>
          <w:szCs w:val="32"/>
          <w:lang w:val="en-US" w:eastAsia="zh-CN"/>
        </w:rPr>
        <w:t>准确、</w:t>
      </w:r>
      <w:r>
        <w:rPr>
          <w:rFonts w:hint="default" w:ascii="Times New Roman" w:hAnsi="Times New Roman" w:eastAsia="仿宋_GB2312" w:cs="Times New Roman"/>
          <w:color w:val="auto"/>
          <w:sz w:val="32"/>
          <w:szCs w:val="32"/>
        </w:rPr>
        <w:t>及时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到位。</w:t>
      </w:r>
    </w:p>
    <w:p w14:paraId="480E96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fill="FFFFFF"/>
        </w:rPr>
      </w:pPr>
      <w:r>
        <w:rPr>
          <w:rFonts w:hint="default" w:ascii="Times New Roman" w:hAnsi="Times New Roman" w:eastAsia="楷体_GB2312" w:cs="Times New Roman"/>
          <w:b w:val="0"/>
          <w:bCs w:val="0"/>
          <w:i w:val="0"/>
          <w:iCs w:val="0"/>
          <w:caps w:val="0"/>
          <w:color w:val="auto"/>
          <w:spacing w:val="0"/>
          <w:sz w:val="32"/>
          <w:szCs w:val="32"/>
          <w:shd w:val="clear" w:fill="FFFFFF"/>
        </w:rPr>
        <w:t>（</w:t>
      </w:r>
      <w:r>
        <w:rPr>
          <w:rFonts w:hint="default" w:ascii="Times New Roman" w:hAnsi="Times New Roman" w:eastAsia="楷体_GB2312" w:cs="Times New Roman"/>
          <w:b w:val="0"/>
          <w:bCs w:val="0"/>
          <w:i w:val="0"/>
          <w:iCs w:val="0"/>
          <w:caps w:val="0"/>
          <w:color w:val="auto"/>
          <w:spacing w:val="0"/>
          <w:sz w:val="32"/>
          <w:szCs w:val="32"/>
          <w:shd w:val="clear" w:fill="FFFFFF"/>
          <w:lang w:val="en-US" w:eastAsia="zh-CN"/>
        </w:rPr>
        <w:t>五</w:t>
      </w:r>
      <w:r>
        <w:rPr>
          <w:rFonts w:hint="default" w:ascii="Times New Roman" w:hAnsi="Times New Roman" w:eastAsia="楷体_GB2312" w:cs="Times New Roman"/>
          <w:b w:val="0"/>
          <w:bCs w:val="0"/>
          <w:i w:val="0"/>
          <w:iCs w:val="0"/>
          <w:caps w:val="0"/>
          <w:color w:val="auto"/>
          <w:spacing w:val="0"/>
          <w:sz w:val="32"/>
          <w:szCs w:val="32"/>
          <w:shd w:val="clear" w:fill="FFFFFF"/>
        </w:rPr>
        <w:t>）监督保障情况</w:t>
      </w:r>
    </w:p>
    <w:p w14:paraId="0E0CCF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i w:val="0"/>
          <w:iCs w:val="0"/>
          <w:caps w:val="0"/>
          <w:color w:val="auto"/>
          <w:spacing w:val="0"/>
          <w:sz w:val="31"/>
          <w:szCs w:val="31"/>
        </w:rPr>
      </w:pPr>
      <w:r>
        <w:rPr>
          <w:rFonts w:hint="default" w:ascii="Times New Roman" w:hAnsi="Times New Roman" w:eastAsia="仿宋_GB2312" w:cs="Times New Roman"/>
          <w:i w:val="0"/>
          <w:iCs w:val="0"/>
          <w:caps w:val="0"/>
          <w:color w:val="auto"/>
          <w:spacing w:val="0"/>
          <w:sz w:val="31"/>
          <w:szCs w:val="31"/>
          <w:lang w:val="en-US" w:eastAsia="zh-CN"/>
        </w:rPr>
        <w:t>严格贯彻落实《条例》规定，做好信息维护监督保障工作。全面维护好各领域栏目信息日常发布，确保公开目录完整、公开内容规范、公开速度及时</w:t>
      </w:r>
      <w:r>
        <w:rPr>
          <w:rFonts w:hint="eastAsia" w:ascii="Times New Roman" w:hAnsi="Times New Roman" w:eastAsia="仿宋_GB2312" w:cs="Times New Roman"/>
          <w:i w:val="0"/>
          <w:iCs w:val="0"/>
          <w:caps w:val="0"/>
          <w:color w:val="auto"/>
          <w:spacing w:val="0"/>
          <w:sz w:val="31"/>
          <w:szCs w:val="31"/>
          <w:lang w:val="en-US" w:eastAsia="zh-CN"/>
        </w:rPr>
        <w:t>，</w:t>
      </w:r>
      <w:r>
        <w:rPr>
          <w:rFonts w:hint="eastAsia" w:ascii="Times New Roman" w:hAnsi="Times New Roman" w:eastAsia="仿宋_GB2312" w:cs="Times New Roman"/>
          <w:b w:val="0"/>
          <w:bCs w:val="0"/>
          <w:i w:val="0"/>
          <w:iCs w:val="0"/>
          <w:caps w:val="0"/>
          <w:color w:val="auto"/>
          <w:spacing w:val="0"/>
          <w:sz w:val="32"/>
          <w:szCs w:val="32"/>
          <w:shd w:val="clear" w:fill="FFFFFF"/>
        </w:rPr>
        <w:t>定期梳理落实情况，定期开展自查评估，认真查缺补漏。</w:t>
      </w:r>
    </w:p>
    <w:p w14:paraId="6757138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rPr>
      </w:pPr>
      <w:r>
        <w:rPr>
          <w:rFonts w:hint="default" w:ascii="Times New Roman" w:hAnsi="Times New Roman" w:eastAsia="黑体" w:cs="Times New Roman"/>
          <w:b w:val="0"/>
          <w:bCs w:val="0"/>
          <w:i w:val="0"/>
          <w:iCs w:val="0"/>
          <w:caps w:val="0"/>
          <w:color w:val="auto"/>
          <w:spacing w:val="0"/>
          <w:sz w:val="32"/>
          <w:szCs w:val="32"/>
          <w:shd w:val="clear" w:fill="FFFFFF"/>
          <w:lang w:val="en-US" w:eastAsia="zh-CN"/>
        </w:rPr>
        <w:t>二、</w:t>
      </w:r>
      <w:r>
        <w:rPr>
          <w:rFonts w:hint="default" w:ascii="Times New Roman" w:hAnsi="Times New Roman" w:eastAsia="黑体" w:cs="Times New Roman"/>
          <w:b w:val="0"/>
          <w:bCs w:val="0"/>
          <w:i w:val="0"/>
          <w:iCs w:val="0"/>
          <w:caps w:val="0"/>
          <w:color w:val="auto"/>
          <w:spacing w:val="0"/>
          <w:sz w:val="32"/>
          <w:szCs w:val="32"/>
          <w:shd w:val="clear" w:fill="FFFFFF"/>
        </w:rPr>
        <w:t>主动公开政府信息情况</w:t>
      </w:r>
    </w:p>
    <w:tbl>
      <w:tblPr>
        <w:tblStyle w:val="7"/>
        <w:tblW w:w="8715" w:type="dxa"/>
        <w:jc w:val="center"/>
        <w:shd w:val="clear" w:color="auto" w:fill="auto"/>
        <w:tblLayout w:type="autofit"/>
        <w:tblCellMar>
          <w:top w:w="0" w:type="dxa"/>
          <w:left w:w="0" w:type="dxa"/>
          <w:bottom w:w="0" w:type="dxa"/>
          <w:right w:w="0" w:type="dxa"/>
        </w:tblCellMar>
      </w:tblPr>
      <w:tblGrid>
        <w:gridCol w:w="2896"/>
        <w:gridCol w:w="2034"/>
        <w:gridCol w:w="1897"/>
        <w:gridCol w:w="1888"/>
      </w:tblGrid>
      <w:tr w14:paraId="2A3DF885">
        <w:tblPrEx>
          <w:tblCellMar>
            <w:top w:w="0" w:type="dxa"/>
            <w:left w:w="0" w:type="dxa"/>
            <w:bottom w:w="0" w:type="dxa"/>
            <w:right w:w="0" w:type="dxa"/>
          </w:tblCellMar>
        </w:tblPrEx>
        <w:trPr>
          <w:trHeight w:val="624" w:hRule="atLeast"/>
          <w:jc w:val="center"/>
        </w:trPr>
        <w:tc>
          <w:tcPr>
            <w:tcW w:w="8715" w:type="dxa"/>
            <w:gridSpan w:val="4"/>
            <w:tcBorders>
              <w:top w:val="single" w:color="auto" w:sz="8" w:space="0"/>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14:paraId="34FB43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第二十条</w:t>
            </w:r>
            <w:r>
              <w:rPr>
                <w:rFonts w:hint="default" w:ascii="Times New Roman" w:hAnsi="Times New Roman" w:eastAsia="宋体" w:cs="Times New Roman"/>
                <w:b w:val="0"/>
                <w:bCs w:val="0"/>
                <w:i w:val="0"/>
                <w:caps w:val="0"/>
                <w:color w:val="auto"/>
                <w:spacing w:val="0"/>
                <w:sz w:val="24"/>
                <w:szCs w:val="24"/>
                <w:lang w:val="en-US" w:eastAsia="zh-CN"/>
              </w:rPr>
              <w:t xml:space="preserve">  </w:t>
            </w:r>
            <w:r>
              <w:rPr>
                <w:rFonts w:hint="default" w:ascii="Times New Roman" w:hAnsi="Times New Roman" w:eastAsia="宋体" w:cs="Times New Roman"/>
                <w:b w:val="0"/>
                <w:bCs w:val="0"/>
                <w:i w:val="0"/>
                <w:caps w:val="0"/>
                <w:color w:val="auto"/>
                <w:spacing w:val="0"/>
                <w:sz w:val="24"/>
                <w:szCs w:val="24"/>
              </w:rPr>
              <w:t>第（一）项</w:t>
            </w:r>
          </w:p>
        </w:tc>
      </w:tr>
      <w:tr w14:paraId="04377FA4">
        <w:tblPrEx>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2CC5E4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信息内容</w:t>
            </w:r>
          </w:p>
        </w:tc>
        <w:tc>
          <w:tcPr>
            <w:tcW w:w="2034"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455C8A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本年制</w:t>
            </w:r>
            <w:r>
              <w:rPr>
                <w:rFonts w:hint="default" w:ascii="Times New Roman" w:hAnsi="Times New Roman" w:eastAsia="宋体" w:cs="Times New Roman"/>
                <w:b w:val="0"/>
                <w:bCs w:val="0"/>
                <w:i w:val="0"/>
                <w:caps w:val="0"/>
                <w:color w:val="auto"/>
                <w:spacing w:val="0"/>
                <w:sz w:val="24"/>
                <w:szCs w:val="24"/>
                <w:lang w:val="en-US" w:eastAsia="zh-CN"/>
              </w:rPr>
              <w:t>发件</w:t>
            </w:r>
            <w:r>
              <w:rPr>
                <w:rFonts w:hint="default" w:ascii="Times New Roman" w:hAnsi="Times New Roman" w:eastAsia="宋体" w:cs="Times New Roman"/>
                <w:b w:val="0"/>
                <w:bCs w:val="0"/>
                <w:i w:val="0"/>
                <w:caps w:val="0"/>
                <w:color w:val="auto"/>
                <w:spacing w:val="0"/>
                <w:sz w:val="24"/>
                <w:szCs w:val="24"/>
              </w:rPr>
              <w:t>数</w:t>
            </w:r>
          </w:p>
        </w:tc>
        <w:tc>
          <w:tcPr>
            <w:tcW w:w="1897"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6D450B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本年</w:t>
            </w:r>
            <w:r>
              <w:rPr>
                <w:rFonts w:hint="default" w:ascii="Times New Roman" w:hAnsi="Times New Roman" w:eastAsia="宋体" w:cs="Times New Roman"/>
                <w:b w:val="0"/>
                <w:bCs w:val="0"/>
                <w:i w:val="0"/>
                <w:caps w:val="0"/>
                <w:color w:val="auto"/>
                <w:spacing w:val="0"/>
                <w:sz w:val="24"/>
                <w:szCs w:val="24"/>
                <w:lang w:val="en-US" w:eastAsia="zh-CN"/>
              </w:rPr>
              <w:t>废止件</w:t>
            </w:r>
            <w:r>
              <w:rPr>
                <w:rFonts w:hint="default" w:ascii="Times New Roman" w:hAnsi="Times New Roman" w:eastAsia="宋体" w:cs="Times New Roman"/>
                <w:b w:val="0"/>
                <w:bCs w:val="0"/>
                <w:i w:val="0"/>
                <w:caps w:val="0"/>
                <w:color w:val="auto"/>
                <w:spacing w:val="0"/>
                <w:sz w:val="24"/>
                <w:szCs w:val="24"/>
              </w:rPr>
              <w:t>数</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14:paraId="29BD96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lang w:val="en-US" w:eastAsia="zh-CN"/>
              </w:rPr>
              <w:t>现行有效件数</w:t>
            </w:r>
          </w:p>
        </w:tc>
      </w:tr>
      <w:tr w14:paraId="6E4C762C">
        <w:tblPrEx>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1EBEB5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规章</w:t>
            </w:r>
          </w:p>
        </w:tc>
        <w:tc>
          <w:tcPr>
            <w:tcW w:w="2034" w:type="dxa"/>
            <w:tcBorders>
              <w:top w:val="nil"/>
              <w:left w:val="nil"/>
              <w:bottom w:val="single" w:color="auto" w:sz="8" w:space="0"/>
              <w:right w:val="single" w:color="auto" w:sz="8" w:space="0"/>
            </w:tcBorders>
            <w:shd w:val="clear" w:color="auto" w:fill="FFFFFF"/>
            <w:tcMar>
              <w:left w:w="105" w:type="dxa"/>
              <w:right w:w="105" w:type="dxa"/>
            </w:tcMar>
            <w:vAlign w:val="center"/>
          </w:tcPr>
          <w:p w14:paraId="26F372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eastAsia="zh-CN"/>
              </w:rPr>
            </w:pPr>
            <w:r>
              <w:rPr>
                <w:rFonts w:hint="default" w:ascii="Times New Roman" w:hAnsi="Times New Roman" w:eastAsia="宋体" w:cs="Times New Roman"/>
                <w:b w:val="0"/>
                <w:bCs w:val="0"/>
                <w:i w:val="0"/>
                <w:caps w:val="0"/>
                <w:color w:val="auto"/>
                <w:spacing w:val="0"/>
                <w:sz w:val="21"/>
                <w:szCs w:val="21"/>
                <w:lang w:val="en-US" w:eastAsia="zh-CN"/>
              </w:rPr>
              <w:t>0</w:t>
            </w:r>
          </w:p>
        </w:tc>
        <w:tc>
          <w:tcPr>
            <w:tcW w:w="1897" w:type="dxa"/>
            <w:tcBorders>
              <w:top w:val="nil"/>
              <w:left w:val="nil"/>
              <w:bottom w:val="single" w:color="auto" w:sz="8" w:space="0"/>
              <w:right w:val="single" w:color="auto" w:sz="8" w:space="0"/>
            </w:tcBorders>
            <w:shd w:val="clear" w:color="auto" w:fill="FFFFFF"/>
            <w:tcMar>
              <w:left w:w="105" w:type="dxa"/>
              <w:right w:w="105" w:type="dxa"/>
            </w:tcMar>
            <w:vAlign w:val="center"/>
          </w:tcPr>
          <w:p w14:paraId="69EB97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eastAsia="zh-CN"/>
              </w:rPr>
            </w:pPr>
            <w:r>
              <w:rPr>
                <w:rFonts w:hint="default" w:ascii="Times New Roman" w:hAnsi="Times New Roman" w:eastAsia="宋体" w:cs="Times New Roman"/>
                <w:b w:val="0"/>
                <w:bCs w:val="0"/>
                <w:i w:val="0"/>
                <w:caps w:val="0"/>
                <w:color w:val="auto"/>
                <w:spacing w:val="0"/>
                <w:sz w:val="21"/>
                <w:szCs w:val="21"/>
                <w:lang w:val="en-US" w:eastAsia="zh-CN"/>
              </w:rPr>
              <w:t>0</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14:paraId="1993CC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1"/>
                <w:szCs w:val="21"/>
              </w:rPr>
              <w:t>0</w:t>
            </w:r>
          </w:p>
        </w:tc>
      </w:tr>
      <w:tr w14:paraId="7E3E5AC2">
        <w:tblPrEx>
          <w:tblCellMar>
            <w:top w:w="0" w:type="dxa"/>
            <w:left w:w="0" w:type="dxa"/>
            <w:bottom w:w="0" w:type="dxa"/>
            <w:right w:w="0" w:type="dxa"/>
          </w:tblCellMar>
        </w:tblPrEx>
        <w:trPr>
          <w:trHeight w:val="90"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3A325C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lang w:val="en-US" w:eastAsia="zh-CN"/>
              </w:rPr>
              <w:t>行政</w:t>
            </w:r>
            <w:r>
              <w:rPr>
                <w:rFonts w:hint="default" w:ascii="Times New Roman" w:hAnsi="Times New Roman" w:eastAsia="宋体" w:cs="Times New Roman"/>
                <w:b w:val="0"/>
                <w:bCs w:val="0"/>
                <w:i w:val="0"/>
                <w:caps w:val="0"/>
                <w:color w:val="auto"/>
                <w:spacing w:val="0"/>
                <w:sz w:val="24"/>
                <w:szCs w:val="24"/>
              </w:rPr>
              <w:t>规范性文件</w:t>
            </w:r>
          </w:p>
        </w:tc>
        <w:tc>
          <w:tcPr>
            <w:tcW w:w="2034" w:type="dxa"/>
            <w:tcBorders>
              <w:top w:val="nil"/>
              <w:left w:val="nil"/>
              <w:bottom w:val="single" w:color="auto" w:sz="8" w:space="0"/>
              <w:right w:val="single" w:color="auto" w:sz="8" w:space="0"/>
            </w:tcBorders>
            <w:shd w:val="clear" w:color="auto" w:fill="FFFFFF"/>
            <w:tcMar>
              <w:left w:w="105" w:type="dxa"/>
              <w:right w:w="105" w:type="dxa"/>
            </w:tcMar>
            <w:vAlign w:val="center"/>
          </w:tcPr>
          <w:p w14:paraId="64E15E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0</w:t>
            </w:r>
          </w:p>
        </w:tc>
        <w:tc>
          <w:tcPr>
            <w:tcW w:w="1897" w:type="dxa"/>
            <w:tcBorders>
              <w:top w:val="nil"/>
              <w:left w:val="nil"/>
              <w:bottom w:val="single" w:color="auto" w:sz="8" w:space="0"/>
              <w:right w:val="single" w:color="auto" w:sz="8" w:space="0"/>
            </w:tcBorders>
            <w:shd w:val="clear" w:color="auto" w:fill="FFFFFF"/>
            <w:tcMar>
              <w:left w:w="105" w:type="dxa"/>
              <w:right w:w="105" w:type="dxa"/>
            </w:tcMar>
            <w:vAlign w:val="center"/>
          </w:tcPr>
          <w:p w14:paraId="5ADD12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val="en-US" w:eastAsia="zh-CN"/>
              </w:rPr>
              <w:t>1</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14:paraId="626776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1</w:t>
            </w:r>
          </w:p>
        </w:tc>
      </w:tr>
      <w:tr w14:paraId="3DC7D919">
        <w:tblPrEx>
          <w:tblCellMar>
            <w:top w:w="0" w:type="dxa"/>
            <w:left w:w="0" w:type="dxa"/>
            <w:bottom w:w="0" w:type="dxa"/>
            <w:right w:w="0" w:type="dxa"/>
          </w:tblCellMar>
        </w:tblPrEx>
        <w:trPr>
          <w:trHeight w:val="624" w:hRule="atLeast"/>
          <w:jc w:val="center"/>
        </w:trPr>
        <w:tc>
          <w:tcPr>
            <w:tcW w:w="8715" w:type="dxa"/>
            <w:gridSpan w:val="4"/>
            <w:tcBorders>
              <w:top w:val="nil"/>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14:paraId="1522BF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第二十条</w:t>
            </w:r>
            <w:r>
              <w:rPr>
                <w:rFonts w:hint="default" w:ascii="Times New Roman" w:hAnsi="Times New Roman" w:eastAsia="宋体" w:cs="Times New Roman"/>
                <w:b w:val="0"/>
                <w:bCs w:val="0"/>
                <w:i w:val="0"/>
                <w:caps w:val="0"/>
                <w:color w:val="auto"/>
                <w:spacing w:val="0"/>
                <w:sz w:val="24"/>
                <w:szCs w:val="24"/>
                <w:lang w:val="en-US" w:eastAsia="zh-CN"/>
              </w:rPr>
              <w:t xml:space="preserve">  </w:t>
            </w:r>
            <w:r>
              <w:rPr>
                <w:rFonts w:hint="default" w:ascii="Times New Roman" w:hAnsi="Times New Roman" w:eastAsia="宋体" w:cs="Times New Roman"/>
                <w:b w:val="0"/>
                <w:bCs w:val="0"/>
                <w:i w:val="0"/>
                <w:caps w:val="0"/>
                <w:color w:val="auto"/>
                <w:spacing w:val="0"/>
                <w:sz w:val="24"/>
                <w:szCs w:val="24"/>
              </w:rPr>
              <w:t>第（五）项</w:t>
            </w:r>
          </w:p>
        </w:tc>
      </w:tr>
      <w:tr w14:paraId="7B14F9FA">
        <w:tblPrEx>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1E5DE1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信息内容</w:t>
            </w:r>
          </w:p>
        </w:tc>
        <w:tc>
          <w:tcPr>
            <w:tcW w:w="5819" w:type="dxa"/>
            <w:gridSpan w:val="3"/>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3926D1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本年处理决定数量</w:t>
            </w:r>
          </w:p>
        </w:tc>
      </w:tr>
      <w:tr w14:paraId="69B7588B">
        <w:tblPrEx>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66B123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行政许可</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14:paraId="03B3C9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62</w:t>
            </w:r>
          </w:p>
        </w:tc>
      </w:tr>
      <w:tr w14:paraId="68C979E9">
        <w:tblPrEx>
          <w:tblCellMar>
            <w:top w:w="0" w:type="dxa"/>
            <w:left w:w="0" w:type="dxa"/>
            <w:bottom w:w="0" w:type="dxa"/>
            <w:right w:w="0" w:type="dxa"/>
          </w:tblCellMar>
        </w:tblPrEx>
        <w:trPr>
          <w:trHeight w:val="624" w:hRule="atLeast"/>
          <w:jc w:val="center"/>
        </w:trPr>
        <w:tc>
          <w:tcPr>
            <w:tcW w:w="8715" w:type="dxa"/>
            <w:gridSpan w:val="4"/>
            <w:tcBorders>
              <w:top w:val="nil"/>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14:paraId="0C48A9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第二十条</w:t>
            </w:r>
            <w:r>
              <w:rPr>
                <w:rFonts w:hint="default" w:ascii="Times New Roman" w:hAnsi="Times New Roman" w:eastAsia="宋体" w:cs="Times New Roman"/>
                <w:b w:val="0"/>
                <w:bCs w:val="0"/>
                <w:i w:val="0"/>
                <w:caps w:val="0"/>
                <w:color w:val="auto"/>
                <w:spacing w:val="0"/>
                <w:sz w:val="24"/>
                <w:szCs w:val="24"/>
                <w:lang w:val="en-US" w:eastAsia="zh-CN"/>
              </w:rPr>
              <w:t xml:space="preserve">  </w:t>
            </w:r>
            <w:r>
              <w:rPr>
                <w:rFonts w:hint="default" w:ascii="Times New Roman" w:hAnsi="Times New Roman" w:eastAsia="宋体" w:cs="Times New Roman"/>
                <w:b w:val="0"/>
                <w:bCs w:val="0"/>
                <w:i w:val="0"/>
                <w:caps w:val="0"/>
                <w:color w:val="auto"/>
                <w:spacing w:val="0"/>
                <w:sz w:val="24"/>
                <w:szCs w:val="24"/>
              </w:rPr>
              <w:t>第（六）项</w:t>
            </w:r>
          </w:p>
        </w:tc>
      </w:tr>
      <w:tr w14:paraId="1CEA93AD">
        <w:tblPrEx>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67CFF8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信息内容</w:t>
            </w:r>
          </w:p>
        </w:tc>
        <w:tc>
          <w:tcPr>
            <w:tcW w:w="5819" w:type="dxa"/>
            <w:gridSpan w:val="3"/>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3FF822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lang w:val="en-US" w:eastAsia="zh-CN"/>
              </w:rPr>
              <w:t>本年</w:t>
            </w:r>
            <w:r>
              <w:rPr>
                <w:rFonts w:hint="default" w:ascii="Times New Roman" w:hAnsi="Times New Roman" w:eastAsia="宋体" w:cs="Times New Roman"/>
                <w:b w:val="0"/>
                <w:bCs w:val="0"/>
                <w:i w:val="0"/>
                <w:caps w:val="0"/>
                <w:color w:val="auto"/>
                <w:spacing w:val="0"/>
                <w:sz w:val="24"/>
                <w:szCs w:val="24"/>
              </w:rPr>
              <w:t>处理决定数量</w:t>
            </w:r>
          </w:p>
        </w:tc>
      </w:tr>
      <w:tr w14:paraId="592A81CE">
        <w:tblPrEx>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30E862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行政处罚</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14:paraId="6E7BB6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0</w:t>
            </w:r>
          </w:p>
        </w:tc>
      </w:tr>
      <w:tr w14:paraId="184A0A41">
        <w:tblPrEx>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0330BC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行政强制</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14:paraId="79BF09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0</w:t>
            </w:r>
          </w:p>
        </w:tc>
      </w:tr>
      <w:tr w14:paraId="45929196">
        <w:tblPrEx>
          <w:tblCellMar>
            <w:top w:w="0" w:type="dxa"/>
            <w:left w:w="0" w:type="dxa"/>
            <w:bottom w:w="0" w:type="dxa"/>
            <w:right w:w="0" w:type="dxa"/>
          </w:tblCellMar>
        </w:tblPrEx>
        <w:trPr>
          <w:trHeight w:val="624" w:hRule="atLeast"/>
          <w:jc w:val="center"/>
        </w:trPr>
        <w:tc>
          <w:tcPr>
            <w:tcW w:w="8715" w:type="dxa"/>
            <w:gridSpan w:val="4"/>
            <w:tcBorders>
              <w:top w:val="nil"/>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14:paraId="5A646F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第二十条</w:t>
            </w:r>
            <w:r>
              <w:rPr>
                <w:rFonts w:hint="default" w:ascii="Times New Roman" w:hAnsi="Times New Roman" w:eastAsia="宋体" w:cs="Times New Roman"/>
                <w:b w:val="0"/>
                <w:bCs w:val="0"/>
                <w:i w:val="0"/>
                <w:caps w:val="0"/>
                <w:color w:val="auto"/>
                <w:spacing w:val="0"/>
                <w:sz w:val="24"/>
                <w:szCs w:val="24"/>
                <w:lang w:val="en-US" w:eastAsia="zh-CN"/>
              </w:rPr>
              <w:t xml:space="preserve">  </w:t>
            </w:r>
            <w:r>
              <w:rPr>
                <w:rFonts w:hint="default" w:ascii="Times New Roman" w:hAnsi="Times New Roman" w:eastAsia="宋体" w:cs="Times New Roman"/>
                <w:b w:val="0"/>
                <w:bCs w:val="0"/>
                <w:i w:val="0"/>
                <w:caps w:val="0"/>
                <w:color w:val="auto"/>
                <w:spacing w:val="0"/>
                <w:sz w:val="24"/>
                <w:szCs w:val="24"/>
              </w:rPr>
              <w:t>第（八）项</w:t>
            </w:r>
          </w:p>
        </w:tc>
      </w:tr>
      <w:tr w14:paraId="7FAF36F3">
        <w:tblPrEx>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6A392C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信息内容</w:t>
            </w:r>
          </w:p>
        </w:tc>
        <w:tc>
          <w:tcPr>
            <w:tcW w:w="5819" w:type="dxa"/>
            <w:gridSpan w:val="3"/>
            <w:tcBorders>
              <w:top w:val="nil"/>
              <w:left w:val="nil"/>
              <w:bottom w:val="single" w:color="auto" w:sz="8" w:space="0"/>
              <w:right w:val="single" w:color="000000" w:sz="8" w:space="0"/>
            </w:tcBorders>
            <w:shd w:val="clear" w:color="auto" w:fill="FFFFFF"/>
            <w:tcMar>
              <w:left w:w="105" w:type="dxa"/>
              <w:right w:w="105" w:type="dxa"/>
            </w:tcMar>
            <w:vAlign w:val="center"/>
          </w:tcPr>
          <w:p w14:paraId="01ED16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本年收费金额（单位：万元）</w:t>
            </w:r>
          </w:p>
        </w:tc>
      </w:tr>
      <w:tr w14:paraId="6ACCC9D3">
        <w:tblPrEx>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7BD785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行政事业性收费</w:t>
            </w:r>
          </w:p>
        </w:tc>
        <w:tc>
          <w:tcPr>
            <w:tcW w:w="5819" w:type="dxa"/>
            <w:gridSpan w:val="3"/>
            <w:tcBorders>
              <w:top w:val="nil"/>
              <w:left w:val="nil"/>
              <w:bottom w:val="single" w:color="auto" w:sz="8" w:space="0"/>
              <w:right w:val="single" w:color="000000" w:sz="8" w:space="0"/>
            </w:tcBorders>
            <w:shd w:val="clear" w:color="auto" w:fill="FFFFFF"/>
            <w:tcMar>
              <w:left w:w="105" w:type="dxa"/>
              <w:right w:w="105" w:type="dxa"/>
            </w:tcMar>
            <w:vAlign w:val="center"/>
          </w:tcPr>
          <w:p w14:paraId="7F6BBA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0</w:t>
            </w:r>
          </w:p>
        </w:tc>
      </w:tr>
    </w:tbl>
    <w:p w14:paraId="2513DF2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lang w:val="en-US" w:eastAsia="zh-CN"/>
        </w:rPr>
      </w:pPr>
      <w:r>
        <w:rPr>
          <w:rFonts w:hint="default" w:ascii="Times New Roman" w:hAnsi="Times New Roman" w:eastAsia="黑体" w:cs="Times New Roman"/>
          <w:b w:val="0"/>
          <w:bCs w:val="0"/>
          <w:i w:val="0"/>
          <w:iCs w:val="0"/>
          <w:caps w:val="0"/>
          <w:color w:val="auto"/>
          <w:spacing w:val="0"/>
          <w:sz w:val="32"/>
          <w:szCs w:val="32"/>
          <w:shd w:val="clear" w:fill="FFFFFF"/>
          <w:lang w:val="en-US" w:eastAsia="zh-CN"/>
        </w:rPr>
        <w:t>三、收到和处理政府信息公开申请情况</w:t>
      </w:r>
    </w:p>
    <w:tbl>
      <w:tblPr>
        <w:tblStyle w:val="7"/>
        <w:tblW w:w="9075" w:type="dxa"/>
        <w:tblInd w:w="0" w:type="dxa"/>
        <w:shd w:val="clear" w:color="auto" w:fill="auto"/>
        <w:tblLayout w:type="autofit"/>
        <w:tblCellMar>
          <w:top w:w="0" w:type="dxa"/>
          <w:left w:w="0" w:type="dxa"/>
          <w:bottom w:w="0" w:type="dxa"/>
          <w:right w:w="0" w:type="dxa"/>
        </w:tblCellMar>
      </w:tblPr>
      <w:tblGrid>
        <w:gridCol w:w="590"/>
        <w:gridCol w:w="1413"/>
        <w:gridCol w:w="2794"/>
        <w:gridCol w:w="847"/>
        <w:gridCol w:w="567"/>
        <w:gridCol w:w="567"/>
        <w:gridCol w:w="567"/>
        <w:gridCol w:w="567"/>
        <w:gridCol w:w="537"/>
        <w:gridCol w:w="626"/>
      </w:tblGrid>
      <w:tr w14:paraId="6098B51B">
        <w:tblPrEx>
          <w:tblCellMar>
            <w:top w:w="0" w:type="dxa"/>
            <w:left w:w="0" w:type="dxa"/>
            <w:bottom w:w="0" w:type="dxa"/>
            <w:right w:w="0" w:type="dxa"/>
          </w:tblCellMar>
        </w:tblPrEx>
        <w:trPr>
          <w:trHeight w:val="113" w:hRule="atLeast"/>
        </w:trPr>
        <w:tc>
          <w:tcPr>
            <w:tcW w:w="4797"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177F1D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（本列数据的勾稽关系为：第一项加第二项之和，</w:t>
            </w:r>
          </w:p>
          <w:p w14:paraId="681355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等于第三项加第四项之和）</w:t>
            </w:r>
          </w:p>
        </w:tc>
        <w:tc>
          <w:tcPr>
            <w:tcW w:w="4278" w:type="dxa"/>
            <w:gridSpan w:val="7"/>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533024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申请人情况</w:t>
            </w:r>
          </w:p>
        </w:tc>
      </w:tr>
      <w:tr w14:paraId="7FA65F95">
        <w:tblPrEx>
          <w:tblCellMar>
            <w:top w:w="0" w:type="dxa"/>
            <w:left w:w="0" w:type="dxa"/>
            <w:bottom w:w="0" w:type="dxa"/>
            <w:right w:w="0" w:type="dxa"/>
          </w:tblCellMar>
        </w:tblPrEx>
        <w:trPr>
          <w:trHeight w:val="113" w:hRule="atLeast"/>
        </w:trPr>
        <w:tc>
          <w:tcPr>
            <w:tcW w:w="479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38E8F50C">
            <w:pPr>
              <w:jc w:val="both"/>
              <w:rPr>
                <w:rFonts w:hint="default" w:ascii="Times New Roman" w:hAnsi="Times New Roman" w:eastAsia="微软雅黑" w:cs="Times New Roman"/>
                <w:b w:val="0"/>
                <w:bCs w:val="0"/>
                <w:i w:val="0"/>
                <w:caps w:val="0"/>
                <w:color w:val="auto"/>
                <w:spacing w:val="0"/>
                <w:sz w:val="27"/>
                <w:szCs w:val="27"/>
              </w:rPr>
            </w:pPr>
          </w:p>
        </w:tc>
        <w:tc>
          <w:tcPr>
            <w:tcW w:w="847"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14:paraId="11F7CB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自然人</w:t>
            </w:r>
          </w:p>
        </w:tc>
        <w:tc>
          <w:tcPr>
            <w:tcW w:w="2805"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72C6F3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法人或其他组织</w:t>
            </w:r>
          </w:p>
        </w:tc>
        <w:tc>
          <w:tcPr>
            <w:tcW w:w="626"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1AF6F3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总计</w:t>
            </w:r>
          </w:p>
        </w:tc>
      </w:tr>
      <w:tr w14:paraId="2ADEF975">
        <w:tblPrEx>
          <w:tblCellMar>
            <w:top w:w="0" w:type="dxa"/>
            <w:left w:w="0" w:type="dxa"/>
            <w:bottom w:w="0" w:type="dxa"/>
            <w:right w:w="0" w:type="dxa"/>
          </w:tblCellMar>
        </w:tblPrEx>
        <w:trPr>
          <w:trHeight w:val="1766" w:hRule="atLeast"/>
        </w:trPr>
        <w:tc>
          <w:tcPr>
            <w:tcW w:w="479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42B3BAA6">
            <w:pPr>
              <w:jc w:val="both"/>
              <w:rPr>
                <w:rFonts w:hint="default" w:ascii="Times New Roman" w:hAnsi="Times New Roman" w:eastAsia="微软雅黑" w:cs="Times New Roman"/>
                <w:b w:val="0"/>
                <w:bCs w:val="0"/>
                <w:i w:val="0"/>
                <w:caps w:val="0"/>
                <w:color w:val="auto"/>
                <w:spacing w:val="0"/>
                <w:sz w:val="27"/>
                <w:szCs w:val="27"/>
              </w:rPr>
            </w:pPr>
          </w:p>
        </w:tc>
        <w:tc>
          <w:tcPr>
            <w:tcW w:w="847"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52D0D417">
            <w:pPr>
              <w:jc w:val="both"/>
              <w:rPr>
                <w:rFonts w:hint="default" w:ascii="Times New Roman" w:hAnsi="Times New Roman" w:eastAsia="微软雅黑" w:cs="Times New Roman"/>
                <w:b w:val="0"/>
                <w:bCs w:val="0"/>
                <w:i w:val="0"/>
                <w:caps w:val="0"/>
                <w:color w:val="auto"/>
                <w:spacing w:val="0"/>
                <w:sz w:val="27"/>
                <w:szCs w:val="27"/>
              </w:rPr>
            </w:pP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0650A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商业企业</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3A140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科研机构</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5F07F6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社会公益组织</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76ADFD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法律服务机构</w:t>
            </w:r>
          </w:p>
        </w:tc>
        <w:tc>
          <w:tcPr>
            <w:tcW w:w="53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67FDD2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其他</w:t>
            </w:r>
          </w:p>
        </w:tc>
        <w:tc>
          <w:tcPr>
            <w:tcW w:w="626"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1CD52A86">
            <w:pPr>
              <w:jc w:val="both"/>
              <w:rPr>
                <w:rFonts w:hint="default" w:ascii="Times New Roman" w:hAnsi="Times New Roman" w:eastAsia="微软雅黑" w:cs="Times New Roman"/>
                <w:b w:val="0"/>
                <w:bCs w:val="0"/>
                <w:i w:val="0"/>
                <w:caps w:val="0"/>
                <w:color w:val="auto"/>
                <w:spacing w:val="0"/>
                <w:sz w:val="27"/>
                <w:szCs w:val="27"/>
              </w:rPr>
            </w:pPr>
          </w:p>
        </w:tc>
      </w:tr>
      <w:tr w14:paraId="10B28F20">
        <w:tblPrEx>
          <w:tblCellMar>
            <w:top w:w="0" w:type="dxa"/>
            <w:left w:w="0" w:type="dxa"/>
            <w:bottom w:w="0" w:type="dxa"/>
            <w:right w:w="0" w:type="dxa"/>
          </w:tblCellMar>
        </w:tblPrEx>
        <w:tc>
          <w:tcPr>
            <w:tcW w:w="4797"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33978B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一、本年新收政府信息公开申请数量</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1DDF15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CE775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4DA59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81D11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5C998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021A50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7C6EAE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r>
      <w:tr w14:paraId="17CB2BEA">
        <w:tblPrEx>
          <w:tblCellMar>
            <w:top w:w="0" w:type="dxa"/>
            <w:left w:w="0" w:type="dxa"/>
            <w:bottom w:w="0" w:type="dxa"/>
            <w:right w:w="0" w:type="dxa"/>
          </w:tblCellMar>
        </w:tblPrEx>
        <w:tc>
          <w:tcPr>
            <w:tcW w:w="4797"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7E6B1A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二、上年结转政府信息公开申请数量</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20BE13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B0711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EECD1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5EA9F5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09888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487B01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5C0D0A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2F1E5708">
        <w:tblPrEx>
          <w:tblCellMar>
            <w:top w:w="0" w:type="dxa"/>
            <w:left w:w="0" w:type="dxa"/>
            <w:bottom w:w="0" w:type="dxa"/>
            <w:right w:w="0" w:type="dxa"/>
          </w:tblCellMar>
        </w:tblPrEx>
        <w:tc>
          <w:tcPr>
            <w:tcW w:w="590"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3F55B7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三、本年度办理结果</w:t>
            </w:r>
          </w:p>
        </w:tc>
        <w:tc>
          <w:tcPr>
            <w:tcW w:w="4207"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14:paraId="794E14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（一）予以公开</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71DE5E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B927D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9A2E7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E2F0A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FFAF0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312A7F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208C30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eastAsia="zh-CN"/>
              </w:rPr>
            </w:pPr>
            <w:r>
              <w:rPr>
                <w:rFonts w:hint="eastAsia" w:ascii="Times New Roman" w:hAnsi="Times New Roman" w:eastAsia="宋体" w:cs="Times New Roman"/>
                <w:b w:val="0"/>
                <w:bCs w:val="0"/>
                <w:i w:val="0"/>
                <w:caps w:val="0"/>
                <w:color w:val="auto"/>
                <w:spacing w:val="0"/>
                <w:sz w:val="21"/>
                <w:szCs w:val="21"/>
                <w:lang w:val="en-US" w:eastAsia="zh-CN"/>
              </w:rPr>
              <w:t>6</w:t>
            </w:r>
          </w:p>
        </w:tc>
      </w:tr>
      <w:tr w14:paraId="5E5BD992">
        <w:tblPrEx>
          <w:tblCellMar>
            <w:top w:w="0" w:type="dxa"/>
            <w:left w:w="0" w:type="dxa"/>
            <w:bottom w:w="0" w:type="dxa"/>
            <w:right w:w="0" w:type="dxa"/>
          </w:tblCellMar>
        </w:tblPrEx>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24A34734">
            <w:pPr>
              <w:jc w:val="both"/>
              <w:rPr>
                <w:rFonts w:hint="default" w:ascii="Times New Roman" w:hAnsi="Times New Roman" w:eastAsia="微软雅黑" w:cs="Times New Roman"/>
                <w:b w:val="0"/>
                <w:bCs w:val="0"/>
                <w:i w:val="0"/>
                <w:caps w:val="0"/>
                <w:color w:val="auto"/>
                <w:spacing w:val="0"/>
                <w:sz w:val="27"/>
                <w:szCs w:val="27"/>
              </w:rPr>
            </w:pPr>
          </w:p>
        </w:tc>
        <w:tc>
          <w:tcPr>
            <w:tcW w:w="4207"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14:paraId="6486F7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（二）部分公开（区分处理的，只计这一情形，不计其他情形）</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0A447E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2F9EF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ED21B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9C525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651F6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5DD5A4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2416D5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3023C59A">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08947086">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14:paraId="1A8CFE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（三）不予公开</w:t>
            </w: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2F20A4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1.属于国家秘密</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3DF091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7B64C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A7D4B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5D3C0E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C248D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1BB059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499B5D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655A6966">
        <w:tblPrEx>
          <w:tblCellMar>
            <w:top w:w="0" w:type="dxa"/>
            <w:left w:w="0" w:type="dxa"/>
            <w:bottom w:w="0" w:type="dxa"/>
            <w:right w:w="0" w:type="dxa"/>
          </w:tblCellMar>
        </w:tblPrEx>
        <w:trPr>
          <w:trHeight w:val="302"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7B6D0E72">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78B4EC0F">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4E026A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2.其他法律行政法规禁止公开</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1E5CAF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D7834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5801F7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36591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FAB70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70D7BD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7B143F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5B45230F">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2E9E06B5">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3EC3B8F5">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1E44F9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3.危及“三安全一稳定”</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07C3B3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E1B10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F11B4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05627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73148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075F24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47294A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2307F280">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432F6152">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465EAF09">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64EAED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4.保护第三方合法权益</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5FB1FE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570190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40DC2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5FDF5B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32A3A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7AD417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137B0A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6CB9BB1B">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7FE9E4EE">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035263BC">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2DB73D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5.属于三类内部事务信息</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65C78A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DF4B0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A7F58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E075A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FB9A6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4205FF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5F7CDB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5274CD57">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516C2734">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55C9DA9A">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37C367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6.属于四类过程性信息</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331C89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7CE76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7546D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04D71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13E5B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78FB0D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1714D7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69B8AE86">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3367E908">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0409936A">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653032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7.属于行政执法案卷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0169BE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AD353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39A37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46906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2EEA6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69EEC8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0CB326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1DD382CE">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231DA6CC">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1C425CB4">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276FA2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8.属于行政查询事项</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295C40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76CD8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70069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85A4D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5C7430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5F4C91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4024A9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4D5D1A0B">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13FA8A0B">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14:paraId="5BFECE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（四）无法提供</w:t>
            </w: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5A2E8B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1.本机关不掌握相关政府信息</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24D0EF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eastAsia="zh-CN"/>
              </w:rPr>
            </w:pPr>
            <w:r>
              <w:rPr>
                <w:rFonts w:hint="eastAsia" w:ascii="Times New Roman" w:hAnsi="Times New Roman" w:eastAsia="宋体" w:cs="Times New Roman"/>
                <w:b w:val="0"/>
                <w:bCs w:val="0"/>
                <w:i w:val="0"/>
                <w:caps w:val="0"/>
                <w:color w:val="auto"/>
                <w:spacing w:val="0"/>
                <w:sz w:val="21"/>
                <w:szCs w:val="21"/>
                <w:lang w:val="en-US" w:eastAsia="zh-CN"/>
              </w:rPr>
              <w:t>1</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20C29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AADE0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28403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1548E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7356AE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073B48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eastAsia="zh-CN"/>
              </w:rPr>
            </w:pPr>
            <w:r>
              <w:rPr>
                <w:rFonts w:hint="eastAsia" w:ascii="Times New Roman" w:hAnsi="Times New Roman" w:eastAsia="宋体" w:cs="Times New Roman"/>
                <w:b w:val="0"/>
                <w:bCs w:val="0"/>
                <w:i w:val="0"/>
                <w:caps w:val="0"/>
                <w:color w:val="auto"/>
                <w:spacing w:val="0"/>
                <w:sz w:val="21"/>
                <w:szCs w:val="21"/>
                <w:lang w:val="en-US" w:eastAsia="zh-CN"/>
              </w:rPr>
              <w:t>1</w:t>
            </w:r>
          </w:p>
        </w:tc>
      </w:tr>
      <w:tr w14:paraId="21F0B80B">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6CC11B2E">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715188DD">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76C5E5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2.没有现成信息需要另行制作</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53009D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463AA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DB2FA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C269E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9D664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32CB41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593A41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31528817">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38269DBF">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5E781F2A">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395632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3.补正后申请内容仍不明确</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50717B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E876B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9B292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E5A8D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C94D6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1567C7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414BD5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45F752DA">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657F66BD">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14:paraId="0A9047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（五）不予处理</w:t>
            </w: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0986AB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1.信访举报投诉类申请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51DC4E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303C6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C882F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746F0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B7D69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34627E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28E4DA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7987B790">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5996A464">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31F1BD51">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7DB527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2.重复申请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0CEF97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DA0E7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5E547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F16A5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3C237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219484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413CCC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77783488">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0EC9A1FA">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2D30AC28">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08608C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3.要求提供公开出版物</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172F5A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728C6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277FE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112D3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5D326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38C543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4AEFEF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2FE2E222">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5C39EA70">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019A3C81">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4CDC0B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4.无正当理由大量反复申请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5F5CCF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CA2B3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59642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993F4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3EE75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32F662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1F685E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16AAB479">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0903EF27">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17E04850">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006D4A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5.要求行政机关确认或重新</w:t>
            </w:r>
          </w:p>
          <w:p w14:paraId="184F84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195"/>
              <w:jc w:val="both"/>
              <w:textAlignment w:val="auto"/>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出具已获取信息</w:t>
            </w:r>
          </w:p>
        </w:tc>
        <w:tc>
          <w:tcPr>
            <w:tcW w:w="84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1E827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3B7C1B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298EC5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EB204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C36C6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1862C1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19859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70EA5585">
        <w:tblPrEx>
          <w:tblCellMar>
            <w:top w:w="0" w:type="dxa"/>
            <w:left w:w="0" w:type="dxa"/>
            <w:bottom w:w="0" w:type="dxa"/>
            <w:right w:w="0" w:type="dxa"/>
          </w:tblCellMar>
        </w:tblPrEx>
        <w:trPr>
          <w:trHeight w:val="13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67A9D86F">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restart"/>
            <w:tcBorders>
              <w:top w:val="nil"/>
              <w:left w:val="nil"/>
              <w:right w:val="single" w:color="auto" w:sz="8" w:space="0"/>
            </w:tcBorders>
            <w:shd w:val="clear" w:color="auto" w:fill="auto"/>
            <w:tcMar>
              <w:left w:w="105" w:type="dxa"/>
              <w:right w:w="105" w:type="dxa"/>
            </w:tcMar>
            <w:vAlign w:val="center"/>
          </w:tcPr>
          <w:p w14:paraId="0292EE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cs="Times New Roman" w:eastAsiaTheme="minorEastAsia"/>
                <w:b w:val="0"/>
                <w:bCs w:val="0"/>
                <w:color w:val="auto"/>
                <w:kern w:val="0"/>
                <w:sz w:val="24"/>
                <w:szCs w:val="24"/>
                <w:lang w:val="en-US" w:eastAsia="zh-CN" w:bidi="ar"/>
              </w:rPr>
            </w:pPr>
            <w:r>
              <w:rPr>
                <w:rFonts w:hint="default" w:ascii="Times New Roman" w:hAnsi="Times New Roman" w:eastAsia="楷体" w:cs="Times New Roman"/>
                <w:b w:val="0"/>
                <w:bCs w:val="0"/>
                <w:i w:val="0"/>
                <w:caps w:val="0"/>
                <w:color w:val="auto"/>
                <w:spacing w:val="0"/>
                <w:sz w:val="19"/>
                <w:szCs w:val="19"/>
              </w:rPr>
              <w:t>（六）其他处理</w:t>
            </w: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6B952A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1.申请人无正当理由逾期不补正、行政机关不再处理其政府信息公开申请</w:t>
            </w:r>
          </w:p>
        </w:tc>
        <w:tc>
          <w:tcPr>
            <w:tcW w:w="84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27A0FE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hint="default" w:ascii="Times New Roman" w:hAnsi="Times New Roman" w:eastAsia="宋体" w:cs="Times New Roman"/>
                <w:b w:val="0"/>
                <w:bCs w:val="0"/>
                <w:i w:val="0"/>
                <w:caps w:val="0"/>
                <w:color w:val="auto"/>
                <w:spacing w:val="0"/>
                <w:sz w:val="21"/>
                <w:szCs w:val="21"/>
                <w:lang w:val="en-US" w:eastAsia="zh-CN"/>
              </w:rPr>
            </w:pPr>
            <w:r>
              <w:rPr>
                <w:rFonts w:hint="default" w:ascii="Times New Roman" w:hAnsi="Times New Roman" w:eastAsia="宋体" w:cs="Times New Roman"/>
                <w:b w:val="0"/>
                <w:bCs w:val="0"/>
                <w:i w:val="0"/>
                <w:caps w:val="0"/>
                <w:color w:val="auto"/>
                <w:spacing w:val="0"/>
                <w:sz w:val="21"/>
                <w:szCs w:val="21"/>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ED3EC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hint="default" w:ascii="Times New Roman" w:hAnsi="Times New Roman" w:eastAsia="宋体" w:cs="Times New Roman"/>
                <w:b w:val="0"/>
                <w:bCs w:val="0"/>
                <w:i w:val="0"/>
                <w:caps w:val="0"/>
                <w:color w:val="auto"/>
                <w:spacing w:val="0"/>
                <w:sz w:val="21"/>
                <w:szCs w:val="21"/>
                <w:lang w:val="en-US" w:eastAsia="zh-CN"/>
              </w:rPr>
            </w:pPr>
            <w:r>
              <w:rPr>
                <w:rFonts w:hint="default" w:ascii="Times New Roman" w:hAnsi="Times New Roman" w:eastAsia="宋体" w:cs="Times New Roman"/>
                <w:b w:val="0"/>
                <w:bCs w:val="0"/>
                <w:i w:val="0"/>
                <w:caps w:val="0"/>
                <w:color w:val="auto"/>
                <w:spacing w:val="0"/>
                <w:sz w:val="21"/>
                <w:szCs w:val="21"/>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50378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hint="default" w:ascii="Times New Roman" w:hAnsi="Times New Roman" w:eastAsia="sans-serif" w:cs="Times New Roman"/>
                <w:b w:val="0"/>
                <w:bCs w:val="0"/>
                <w:i w:val="0"/>
                <w:caps w:val="0"/>
                <w:color w:val="auto"/>
                <w:spacing w:val="0"/>
                <w:sz w:val="21"/>
                <w:szCs w:val="21"/>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69746F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hint="default" w:ascii="Times New Roman" w:hAnsi="Times New Roman" w:eastAsia="sans-serif" w:cs="Times New Roman"/>
                <w:b w:val="0"/>
                <w:bCs w:val="0"/>
                <w:i w:val="0"/>
                <w:caps w:val="0"/>
                <w:color w:val="auto"/>
                <w:spacing w:val="0"/>
                <w:sz w:val="21"/>
                <w:szCs w:val="21"/>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E58BF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hint="default" w:ascii="Times New Roman" w:hAnsi="Times New Roman" w:eastAsia="sans-serif" w:cs="Times New Roman"/>
                <w:b w:val="0"/>
                <w:bCs w:val="0"/>
                <w:i w:val="0"/>
                <w:caps w:val="0"/>
                <w:color w:val="auto"/>
                <w:spacing w:val="0"/>
                <w:sz w:val="21"/>
                <w:szCs w:val="21"/>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33F0D3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hint="default" w:ascii="Times New Roman" w:hAnsi="Times New Roman" w:eastAsia="sans-serif" w:cs="Times New Roman"/>
                <w:b w:val="0"/>
                <w:bCs w:val="0"/>
                <w:i w:val="0"/>
                <w:caps w:val="0"/>
                <w:color w:val="auto"/>
                <w:spacing w:val="0"/>
                <w:sz w:val="21"/>
                <w:szCs w:val="21"/>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6DED6A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hint="default" w:ascii="Times New Roman" w:hAnsi="Times New Roman" w:eastAsia="sans-serif" w:cs="Times New Roman"/>
                <w:b w:val="0"/>
                <w:bCs w:val="0"/>
                <w:i w:val="0"/>
                <w:caps w:val="0"/>
                <w:color w:val="auto"/>
                <w:spacing w:val="0"/>
                <w:sz w:val="21"/>
                <w:szCs w:val="21"/>
              </w:rPr>
            </w:pPr>
            <w:r>
              <w:rPr>
                <w:rFonts w:hint="default" w:ascii="Times New Roman" w:hAnsi="Times New Roman" w:eastAsia="sans-serif" w:cs="Times New Roman"/>
                <w:b w:val="0"/>
                <w:bCs w:val="0"/>
                <w:i w:val="0"/>
                <w:caps w:val="0"/>
                <w:color w:val="auto"/>
                <w:spacing w:val="0"/>
                <w:sz w:val="21"/>
                <w:szCs w:val="21"/>
              </w:rPr>
              <w:t>0</w:t>
            </w:r>
          </w:p>
        </w:tc>
      </w:tr>
      <w:tr w14:paraId="2B1D5853">
        <w:tblPrEx>
          <w:tblCellMar>
            <w:top w:w="0" w:type="dxa"/>
            <w:left w:w="0" w:type="dxa"/>
            <w:bottom w:w="0" w:type="dxa"/>
            <w:right w:w="0" w:type="dxa"/>
          </w:tblCellMar>
        </w:tblPrEx>
        <w:trPr>
          <w:trHeight w:val="13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25C56A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rPr>
            </w:pPr>
          </w:p>
        </w:tc>
        <w:tc>
          <w:tcPr>
            <w:tcW w:w="1413" w:type="dxa"/>
            <w:vMerge w:val="continue"/>
            <w:tcBorders>
              <w:left w:val="nil"/>
              <w:right w:val="single" w:color="auto" w:sz="8" w:space="0"/>
            </w:tcBorders>
            <w:shd w:val="clear" w:color="auto" w:fill="auto"/>
            <w:tcMar>
              <w:left w:w="105" w:type="dxa"/>
              <w:right w:w="105" w:type="dxa"/>
            </w:tcMar>
            <w:vAlign w:val="center"/>
          </w:tcPr>
          <w:p w14:paraId="03CF9F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cs="Times New Roman" w:eastAsiaTheme="minorEastAsia"/>
                <w:b w:val="0"/>
                <w:bCs w:val="0"/>
                <w:color w:val="auto"/>
                <w:kern w:val="0"/>
                <w:sz w:val="24"/>
                <w:szCs w:val="24"/>
                <w:lang w:val="en-US" w:eastAsia="zh-CN" w:bidi="ar"/>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4DF4CE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default" w:ascii="Times New Roman" w:hAnsi="Times New Roman" w:eastAsia="楷体" w:cs="Times New Roman"/>
                <w:b w:val="0"/>
                <w:bCs w:val="0"/>
                <w:i w:val="0"/>
                <w:caps w:val="0"/>
                <w:color w:val="auto"/>
                <w:spacing w:val="0"/>
                <w:kern w:val="0"/>
                <w:sz w:val="19"/>
                <w:szCs w:val="19"/>
                <w:lang w:val="en-US" w:eastAsia="zh-CN" w:bidi="ar"/>
              </w:rPr>
            </w:pPr>
            <w:r>
              <w:rPr>
                <w:rFonts w:hint="default" w:ascii="Times New Roman" w:hAnsi="Times New Roman" w:eastAsia="楷体" w:cs="Times New Roman"/>
                <w:b w:val="0"/>
                <w:bCs w:val="0"/>
                <w:i w:val="0"/>
                <w:caps w:val="0"/>
                <w:color w:val="auto"/>
                <w:spacing w:val="0"/>
                <w:kern w:val="0"/>
                <w:sz w:val="19"/>
                <w:szCs w:val="19"/>
                <w:lang w:val="en-US" w:eastAsia="zh-CN" w:bidi="ar"/>
              </w:rPr>
              <w:t>2、申请人逾期未按收费通知要求交纳费用、行政机关不再处理其政府信息公开申请</w:t>
            </w:r>
          </w:p>
        </w:tc>
        <w:tc>
          <w:tcPr>
            <w:tcW w:w="84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6F59E4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22EB1E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61EBA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6F058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7B7075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3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4D007E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626"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95B98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r>
      <w:tr w14:paraId="2391AEF9">
        <w:tblPrEx>
          <w:tblCellMar>
            <w:top w:w="0" w:type="dxa"/>
            <w:left w:w="0" w:type="dxa"/>
            <w:bottom w:w="0" w:type="dxa"/>
            <w:right w:w="0" w:type="dxa"/>
          </w:tblCellMar>
        </w:tblPrEx>
        <w:trPr>
          <w:trHeight w:val="130" w:hRule="atLeast"/>
        </w:trPr>
        <w:tc>
          <w:tcPr>
            <w:tcW w:w="590" w:type="dxa"/>
            <w:vMerge w:val="continue"/>
            <w:tcBorders>
              <w:left w:val="single" w:color="auto" w:sz="8" w:space="0"/>
              <w:bottom w:val="single" w:color="auto" w:sz="8" w:space="0"/>
              <w:right w:val="single" w:color="auto" w:sz="8" w:space="0"/>
            </w:tcBorders>
            <w:shd w:val="clear" w:color="auto" w:fill="auto"/>
            <w:tcMar>
              <w:left w:w="105" w:type="dxa"/>
              <w:right w:w="105" w:type="dxa"/>
            </w:tcMar>
            <w:vAlign w:val="center"/>
          </w:tcPr>
          <w:p w14:paraId="0AF717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楷体" w:cs="Times New Roman"/>
                <w:b w:val="0"/>
                <w:bCs w:val="0"/>
                <w:i w:val="0"/>
                <w:caps w:val="0"/>
                <w:color w:val="auto"/>
                <w:spacing w:val="0"/>
                <w:sz w:val="19"/>
                <w:szCs w:val="19"/>
              </w:rPr>
            </w:pPr>
          </w:p>
        </w:tc>
        <w:tc>
          <w:tcPr>
            <w:tcW w:w="1413" w:type="dxa"/>
            <w:vMerge w:val="continue"/>
            <w:tcBorders>
              <w:left w:val="nil"/>
              <w:bottom w:val="single" w:color="auto" w:sz="8" w:space="0"/>
              <w:right w:val="single" w:color="auto" w:sz="8" w:space="0"/>
            </w:tcBorders>
            <w:shd w:val="clear" w:color="auto" w:fill="auto"/>
            <w:tcMar>
              <w:left w:w="105" w:type="dxa"/>
              <w:right w:w="105" w:type="dxa"/>
            </w:tcMar>
            <w:vAlign w:val="center"/>
          </w:tcPr>
          <w:p w14:paraId="3A5B89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楷体" w:cs="Times New Roman"/>
                <w:b w:val="0"/>
                <w:bCs w:val="0"/>
                <w:i w:val="0"/>
                <w:caps w:val="0"/>
                <w:color w:val="auto"/>
                <w:spacing w:val="0"/>
                <w:sz w:val="19"/>
                <w:szCs w:val="19"/>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08150F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3、其他</w:t>
            </w:r>
          </w:p>
        </w:tc>
        <w:tc>
          <w:tcPr>
            <w:tcW w:w="84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4A8929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2CFB3D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2765D4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7F2386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6EB379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3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32F74A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626"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631CC3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r>
      <w:tr w14:paraId="4C2C1727">
        <w:tblPrEx>
          <w:tblCellMar>
            <w:top w:w="0" w:type="dxa"/>
            <w:left w:w="0" w:type="dxa"/>
            <w:bottom w:w="0" w:type="dxa"/>
            <w:right w:w="0" w:type="dxa"/>
          </w:tblCellMar>
        </w:tblPrEx>
        <w:trPr>
          <w:trHeight w:val="39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7659E065">
            <w:pPr>
              <w:jc w:val="both"/>
              <w:rPr>
                <w:rFonts w:hint="default" w:ascii="Times New Roman" w:hAnsi="Times New Roman" w:eastAsia="微软雅黑" w:cs="Times New Roman"/>
                <w:b w:val="0"/>
                <w:bCs w:val="0"/>
                <w:i w:val="0"/>
                <w:caps w:val="0"/>
                <w:color w:val="auto"/>
                <w:spacing w:val="0"/>
                <w:sz w:val="27"/>
                <w:szCs w:val="27"/>
              </w:rPr>
            </w:pPr>
          </w:p>
        </w:tc>
        <w:tc>
          <w:tcPr>
            <w:tcW w:w="4207"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14:paraId="5ADDF7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（七）总计</w:t>
            </w:r>
          </w:p>
        </w:tc>
        <w:tc>
          <w:tcPr>
            <w:tcW w:w="84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7A37F5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1D0F27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4D219E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001320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038473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084905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18CBC1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w:t>
            </w:r>
          </w:p>
        </w:tc>
      </w:tr>
      <w:tr w14:paraId="19DCD1B3">
        <w:tblPrEx>
          <w:tblCellMar>
            <w:top w:w="0" w:type="dxa"/>
            <w:left w:w="0" w:type="dxa"/>
            <w:bottom w:w="0" w:type="dxa"/>
            <w:right w:w="0" w:type="dxa"/>
          </w:tblCellMar>
        </w:tblPrEx>
        <w:tc>
          <w:tcPr>
            <w:tcW w:w="4797"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77C5A5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四、结转下年度继续办理</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533975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FED69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F767D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45A2F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A7335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7E9BA7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30155E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bl>
    <w:p w14:paraId="6DAF4B2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lang w:val="en-US" w:eastAsia="zh-CN"/>
        </w:rPr>
      </w:pPr>
      <w:r>
        <w:rPr>
          <w:rFonts w:hint="default" w:ascii="Times New Roman" w:hAnsi="Times New Roman" w:eastAsia="黑体" w:cs="Times New Roman"/>
          <w:b w:val="0"/>
          <w:bCs w:val="0"/>
          <w:i w:val="0"/>
          <w:iCs w:val="0"/>
          <w:caps w:val="0"/>
          <w:color w:val="auto"/>
          <w:spacing w:val="0"/>
          <w:sz w:val="32"/>
          <w:szCs w:val="32"/>
          <w:shd w:val="clear" w:fill="FFFFFF"/>
          <w:lang w:val="en-US" w:eastAsia="zh-CN"/>
        </w:rPr>
        <w:t>四、政府信息公开行政复议、行政诉讼情况</w:t>
      </w:r>
    </w:p>
    <w:tbl>
      <w:tblPr>
        <w:tblStyle w:val="7"/>
        <w:tblW w:w="9075" w:type="dxa"/>
        <w:tblInd w:w="0" w:type="dxa"/>
        <w:shd w:val="clear" w:color="auto" w:fill="auto"/>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14:paraId="2C939A98">
        <w:tblPrEx>
          <w:tblCellMar>
            <w:top w:w="0" w:type="dxa"/>
            <w:left w:w="0" w:type="dxa"/>
            <w:bottom w:w="0" w:type="dxa"/>
            <w:right w:w="0" w:type="dxa"/>
          </w:tblCellMar>
        </w:tblPrEx>
        <w:trPr>
          <w:trHeight w:val="495" w:hRule="atLeast"/>
        </w:trPr>
        <w:tc>
          <w:tcPr>
            <w:tcW w:w="3075" w:type="dxa"/>
            <w:gridSpan w:val="5"/>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3B4232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行政复议</w:t>
            </w:r>
          </w:p>
        </w:tc>
        <w:tc>
          <w:tcPr>
            <w:tcW w:w="6000" w:type="dxa"/>
            <w:gridSpan w:val="10"/>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764A78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行政诉讼</w:t>
            </w:r>
          </w:p>
        </w:tc>
      </w:tr>
      <w:tr w14:paraId="627628CB">
        <w:tblPrEx>
          <w:tblCellMar>
            <w:top w:w="0" w:type="dxa"/>
            <w:left w:w="0" w:type="dxa"/>
            <w:bottom w:w="0" w:type="dxa"/>
            <w:right w:w="0" w:type="dxa"/>
          </w:tblCellMar>
        </w:tblPrEx>
        <w:trPr>
          <w:trHeight w:val="540"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0C23AA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w:t>
            </w:r>
          </w:p>
          <w:p w14:paraId="11A9DE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维持</w:t>
            </w:r>
          </w:p>
        </w:tc>
        <w:tc>
          <w:tcPr>
            <w:tcW w:w="600"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14:paraId="1B6780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结果纠正</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01A841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其他结果</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5EC146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尚未</w:t>
            </w:r>
          </w:p>
          <w:p w14:paraId="610B60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审结</w:t>
            </w:r>
          </w:p>
        </w:tc>
        <w:tc>
          <w:tcPr>
            <w:tcW w:w="675"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63957F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总</w:t>
            </w:r>
          </w:p>
          <w:p w14:paraId="56AEAD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0FD62E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未经复议直接起诉</w:t>
            </w:r>
          </w:p>
        </w:tc>
        <w:tc>
          <w:tcPr>
            <w:tcW w:w="303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62EE91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复议后起诉</w:t>
            </w:r>
          </w:p>
        </w:tc>
      </w:tr>
      <w:tr w14:paraId="5EB705DF">
        <w:tblPrEx>
          <w:tblCellMar>
            <w:top w:w="0" w:type="dxa"/>
            <w:left w:w="0" w:type="dxa"/>
            <w:bottom w:w="0" w:type="dxa"/>
            <w:right w:w="0" w:type="dxa"/>
          </w:tblCellMar>
        </w:tblPrEx>
        <w:trPr>
          <w:trHeight w:val="900"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6932D957">
            <w:pPr>
              <w:jc w:val="both"/>
              <w:rPr>
                <w:rFonts w:hint="default" w:ascii="Times New Roman" w:hAnsi="Times New Roman" w:eastAsia="微软雅黑" w:cs="Times New Roman"/>
                <w:b w:val="0"/>
                <w:bCs w:val="0"/>
                <w:i w:val="0"/>
                <w:caps w:val="0"/>
                <w:color w:val="auto"/>
                <w:spacing w:val="0"/>
                <w:sz w:val="27"/>
                <w:szCs w:val="27"/>
              </w:rPr>
            </w:pPr>
          </w:p>
        </w:tc>
        <w:tc>
          <w:tcPr>
            <w:tcW w:w="600"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74B436BD">
            <w:pPr>
              <w:jc w:val="both"/>
              <w:rPr>
                <w:rFonts w:hint="default" w:ascii="Times New Roman" w:hAnsi="Times New Roman" w:eastAsia="微软雅黑" w:cs="Times New Roman"/>
                <w:b w:val="0"/>
                <w:bCs w:val="0"/>
                <w:i w:val="0"/>
                <w:caps w:val="0"/>
                <w:color w:val="auto"/>
                <w:spacing w:val="0"/>
                <w:sz w:val="27"/>
                <w:szCs w:val="27"/>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3DB0CDC5">
            <w:pPr>
              <w:jc w:val="both"/>
              <w:rPr>
                <w:rFonts w:hint="default" w:ascii="Times New Roman" w:hAnsi="Times New Roman" w:eastAsia="微软雅黑" w:cs="Times New Roman"/>
                <w:b w:val="0"/>
                <w:bCs w:val="0"/>
                <w:i w:val="0"/>
                <w:caps w:val="0"/>
                <w:color w:val="auto"/>
                <w:spacing w:val="0"/>
                <w:sz w:val="27"/>
                <w:szCs w:val="27"/>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3FE51E3B">
            <w:pPr>
              <w:jc w:val="both"/>
              <w:rPr>
                <w:rFonts w:hint="default" w:ascii="Times New Roman" w:hAnsi="Times New Roman" w:eastAsia="微软雅黑" w:cs="Times New Roman"/>
                <w:b w:val="0"/>
                <w:bCs w:val="0"/>
                <w:i w:val="0"/>
                <w:caps w:val="0"/>
                <w:color w:val="auto"/>
                <w:spacing w:val="0"/>
                <w:sz w:val="27"/>
                <w:szCs w:val="27"/>
              </w:rPr>
            </w:pPr>
          </w:p>
        </w:tc>
        <w:tc>
          <w:tcPr>
            <w:tcW w:w="675"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799925D7">
            <w:pPr>
              <w:jc w:val="both"/>
              <w:rPr>
                <w:rFonts w:hint="default" w:ascii="Times New Roman" w:hAnsi="Times New Roman" w:eastAsia="微软雅黑" w:cs="Times New Roman"/>
                <w:b w:val="0"/>
                <w:bCs w:val="0"/>
                <w:i w:val="0"/>
                <w:caps w:val="0"/>
                <w:color w:val="auto"/>
                <w:spacing w:val="0"/>
                <w:sz w:val="27"/>
                <w:szCs w:val="27"/>
              </w:rPr>
            </w:pP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14:paraId="1B1978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结果维持</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09E3DD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3606B4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其他</w:t>
            </w:r>
          </w:p>
          <w:p w14:paraId="10B6ED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08FEF4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尚未</w:t>
            </w:r>
          </w:p>
          <w:p w14:paraId="227010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审结</w:t>
            </w:r>
          </w:p>
        </w:tc>
        <w:tc>
          <w:tcPr>
            <w:tcW w:w="615"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3573AB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总计</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631F70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结果维持</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5F4C34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w:t>
            </w:r>
          </w:p>
          <w:p w14:paraId="714D44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6796FD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其他</w:t>
            </w:r>
          </w:p>
          <w:p w14:paraId="5FE60E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5C1DF5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尚未审结</w:t>
            </w:r>
          </w:p>
        </w:tc>
        <w:tc>
          <w:tcPr>
            <w:tcW w:w="63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05204E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总计</w:t>
            </w:r>
          </w:p>
        </w:tc>
      </w:tr>
      <w:tr w14:paraId="574FAB1F">
        <w:tblPrEx>
          <w:tblCellMar>
            <w:top w:w="0" w:type="dxa"/>
            <w:left w:w="0" w:type="dxa"/>
            <w:bottom w:w="0" w:type="dxa"/>
            <w:right w:w="0" w:type="dxa"/>
          </w:tblCellMar>
        </w:tblPrEx>
        <w:trPr>
          <w:trHeight w:val="1072" w:hRule="atLeast"/>
        </w:trPr>
        <w:tc>
          <w:tcPr>
            <w:tcW w:w="600"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0D7C2F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cs="Times New Roman" w:eastAsiaTheme="minorEastAsia"/>
                <w:b w:val="0"/>
                <w:bCs w:val="0"/>
                <w:color w:val="auto"/>
                <w:sz w:val="24"/>
                <w:szCs w:val="24"/>
                <w:lang w:eastAsia="zh-CN"/>
              </w:rPr>
            </w:pPr>
            <w:r>
              <w:rPr>
                <w:rFonts w:hint="eastAsia" w:ascii="Times New Roman" w:hAnsi="Times New Roman" w:eastAsia="宋体" w:cs="Times New Roman"/>
                <w:b w:val="0"/>
                <w:bCs w:val="0"/>
                <w:i w:val="0"/>
                <w:caps w:val="0"/>
                <w:color w:val="auto"/>
                <w:spacing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4C53FE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7EB167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60C9D0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75" w:type="dxa"/>
            <w:tcBorders>
              <w:top w:val="nil"/>
              <w:left w:val="nil"/>
              <w:bottom w:val="single" w:color="auto" w:sz="8" w:space="0"/>
              <w:right w:val="single" w:color="auto" w:sz="8" w:space="0"/>
            </w:tcBorders>
            <w:shd w:val="clear" w:color="auto" w:fill="auto"/>
            <w:tcMar>
              <w:left w:w="105" w:type="dxa"/>
              <w:right w:w="105" w:type="dxa"/>
            </w:tcMar>
            <w:vAlign w:val="center"/>
          </w:tcPr>
          <w:p w14:paraId="6A520E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cs="Times New Roman" w:eastAsiaTheme="minorEastAsia"/>
                <w:b w:val="0"/>
                <w:bCs w:val="0"/>
                <w:color w:val="auto"/>
                <w:sz w:val="24"/>
                <w:szCs w:val="24"/>
                <w:lang w:eastAsia="zh-CN"/>
              </w:rPr>
            </w:pPr>
            <w:r>
              <w:rPr>
                <w:rFonts w:hint="eastAsia" w:ascii="Times New Roman" w:hAnsi="Times New Roman" w:eastAsia="宋体" w:cs="Times New Roman"/>
                <w:b w:val="0"/>
                <w:bCs w:val="0"/>
                <w:i w:val="0"/>
                <w:caps w:val="0"/>
                <w:color w:val="auto"/>
                <w:spacing w:val="0"/>
                <w:sz w:val="21"/>
                <w:szCs w:val="21"/>
                <w:lang w:val="en-US" w:eastAsia="zh-CN"/>
              </w:rPr>
              <w:t>0</w:t>
            </w: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14:paraId="01DB5E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60DCD8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48092F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607DB0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15" w:type="dxa"/>
            <w:tcBorders>
              <w:top w:val="nil"/>
              <w:left w:val="nil"/>
              <w:bottom w:val="single" w:color="auto" w:sz="8" w:space="0"/>
              <w:right w:val="single" w:color="auto" w:sz="8" w:space="0"/>
            </w:tcBorders>
            <w:shd w:val="clear" w:color="auto" w:fill="auto"/>
            <w:tcMar>
              <w:left w:w="105" w:type="dxa"/>
              <w:right w:w="105" w:type="dxa"/>
            </w:tcMar>
            <w:vAlign w:val="center"/>
          </w:tcPr>
          <w:p w14:paraId="55227A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19A4CD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3AD347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1D501B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54598B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14:paraId="451D3D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bl>
    <w:p w14:paraId="21EBC5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lang w:val="en-US" w:eastAsia="zh-CN"/>
        </w:rPr>
      </w:pPr>
      <w:r>
        <w:rPr>
          <w:rFonts w:hint="default" w:ascii="Times New Roman" w:hAnsi="Times New Roman" w:eastAsia="黑体" w:cs="Times New Roman"/>
          <w:b w:val="0"/>
          <w:bCs w:val="0"/>
          <w:i w:val="0"/>
          <w:iCs w:val="0"/>
          <w:caps w:val="0"/>
          <w:color w:val="auto"/>
          <w:spacing w:val="0"/>
          <w:sz w:val="32"/>
          <w:szCs w:val="32"/>
          <w:shd w:val="clear" w:fill="FFFFFF"/>
          <w:lang w:val="en-US" w:eastAsia="zh-CN"/>
        </w:rPr>
        <w:t>五、政府信息公开工作存在的主要问题及改进情况</w:t>
      </w:r>
    </w:p>
    <w:p w14:paraId="7FDB93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楷体_GB2312" w:cs="Times New Roman"/>
          <w:b w:val="0"/>
          <w:bCs w:val="0"/>
          <w:i w:val="0"/>
          <w:iCs w:val="0"/>
          <w:caps w:val="0"/>
          <w:color w:val="auto"/>
          <w:spacing w:val="0"/>
          <w:sz w:val="32"/>
          <w:szCs w:val="32"/>
          <w:shd w:val="clear" w:fill="FFFFFF"/>
          <w:lang w:val="en-US" w:eastAsia="zh-CN"/>
        </w:rPr>
        <w:t>（一）工作中存在的主要问题和困难</w:t>
      </w:r>
    </w:p>
    <w:p w14:paraId="4FF959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微软雅黑" w:cs="Times New Roman"/>
          <w:i w:val="0"/>
          <w:iCs w:val="0"/>
          <w:caps w:val="0"/>
          <w:color w:val="auto"/>
          <w:spacing w:val="0"/>
          <w:sz w:val="28"/>
          <w:szCs w:val="28"/>
        </w:rPr>
      </w:pPr>
      <w:r>
        <w:rPr>
          <w:rFonts w:hint="eastAsia" w:ascii="Times New Roman" w:hAnsi="Times New Roman" w:eastAsia="仿宋_GB2312" w:cs="Times New Roman"/>
          <w:b w:val="0"/>
          <w:bCs w:val="0"/>
          <w:color w:val="auto"/>
          <w:kern w:val="0"/>
          <w:sz w:val="32"/>
          <w:szCs w:val="32"/>
          <w:lang w:val="en-US" w:eastAsia="zh-CN" w:bidi="ar"/>
        </w:rPr>
        <w:t>一是</w:t>
      </w:r>
      <w:r>
        <w:rPr>
          <w:rFonts w:hint="default" w:ascii="Times New Roman" w:hAnsi="Times New Roman" w:eastAsia="仿宋_GB2312" w:cs="Times New Roman"/>
          <w:i w:val="0"/>
          <w:iCs w:val="0"/>
          <w:caps w:val="0"/>
          <w:color w:val="auto"/>
          <w:spacing w:val="0"/>
          <w:kern w:val="0"/>
          <w:sz w:val="31"/>
          <w:szCs w:val="31"/>
          <w:lang w:val="en-US" w:eastAsia="zh-CN" w:bidi="ar"/>
        </w:rPr>
        <w:t>应主动公开的政府信息更新不及时，依法公开、主动公开意识有待进一步加强</w:t>
      </w:r>
      <w:r>
        <w:rPr>
          <w:rFonts w:hint="eastAsia" w:ascii="Times New Roman" w:hAnsi="Times New Roman" w:eastAsia="仿宋_GB2312" w:cs="Times New Roman"/>
          <w:i w:val="0"/>
          <w:iCs w:val="0"/>
          <w:caps w:val="0"/>
          <w:color w:val="auto"/>
          <w:spacing w:val="0"/>
          <w:kern w:val="0"/>
          <w:sz w:val="31"/>
          <w:szCs w:val="31"/>
          <w:lang w:val="en-US" w:eastAsia="zh-CN" w:bidi="ar"/>
        </w:rPr>
        <w:t>，</w:t>
      </w:r>
      <w:r>
        <w:rPr>
          <w:rFonts w:hint="default" w:ascii="Times New Roman" w:hAnsi="Times New Roman" w:eastAsia="仿宋_GB2312" w:cs="Times New Roman"/>
          <w:i w:val="0"/>
          <w:iCs w:val="0"/>
          <w:caps w:val="0"/>
          <w:color w:val="auto"/>
          <w:spacing w:val="0"/>
          <w:kern w:val="0"/>
          <w:sz w:val="31"/>
          <w:szCs w:val="31"/>
          <w:lang w:val="en-US" w:eastAsia="zh-CN" w:bidi="ar"/>
        </w:rPr>
        <w:t>信息公开渠道较为单一，</w:t>
      </w:r>
      <w:r>
        <w:rPr>
          <w:rFonts w:hint="default" w:ascii="Times New Roman" w:hAnsi="Times New Roman" w:eastAsia="仿宋_GB2312" w:cs="Times New Roman"/>
          <w:i w:val="0"/>
          <w:iCs w:val="0"/>
          <w:caps w:val="0"/>
          <w:color w:val="auto"/>
          <w:spacing w:val="0"/>
          <w:sz w:val="31"/>
          <w:szCs w:val="31"/>
        </w:rPr>
        <w:t>公开形式不够丰富。</w:t>
      </w:r>
      <w:r>
        <w:rPr>
          <w:rFonts w:hint="eastAsia" w:ascii="Times New Roman" w:hAnsi="Times New Roman" w:eastAsia="仿宋_GB2312" w:cs="Times New Roman"/>
          <w:b w:val="0"/>
          <w:bCs w:val="0"/>
          <w:color w:val="auto"/>
          <w:kern w:val="0"/>
          <w:sz w:val="32"/>
          <w:szCs w:val="32"/>
          <w:lang w:val="en-US" w:eastAsia="zh-CN" w:bidi="ar"/>
        </w:rPr>
        <w:t>二是政府信息公开工作人员队伍的专业素养还不够，</w:t>
      </w:r>
      <w:r>
        <w:rPr>
          <w:rFonts w:hint="default" w:ascii="Times New Roman" w:hAnsi="Times New Roman" w:eastAsia="仿宋_GB2312" w:cs="Times New Roman"/>
          <w:i w:val="0"/>
          <w:iCs w:val="0"/>
          <w:caps w:val="0"/>
          <w:color w:val="auto"/>
          <w:spacing w:val="0"/>
          <w:sz w:val="31"/>
          <w:szCs w:val="31"/>
        </w:rPr>
        <w:t>部分干部职工学习不全面、不深入。</w:t>
      </w:r>
    </w:p>
    <w:p w14:paraId="5A2AA2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楷体_GB2312" w:cs="Times New Roman"/>
          <w:b w:val="0"/>
          <w:bCs w:val="0"/>
          <w:i w:val="0"/>
          <w:iCs w:val="0"/>
          <w:caps w:val="0"/>
          <w:color w:val="auto"/>
          <w:spacing w:val="0"/>
          <w:sz w:val="32"/>
          <w:szCs w:val="32"/>
          <w:shd w:val="clear" w:fill="FFFFFF"/>
          <w:lang w:val="en-US" w:eastAsia="zh-CN"/>
        </w:rPr>
        <w:t>（二）具体解决办法和改进措施</w:t>
      </w:r>
    </w:p>
    <w:p w14:paraId="510874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val="0"/>
          <w:bCs w:val="0"/>
          <w:color w:val="auto"/>
          <w:kern w:val="0"/>
          <w:sz w:val="32"/>
          <w:szCs w:val="32"/>
          <w:lang w:val="en-US" w:eastAsia="zh-CN" w:bidi="ar"/>
        </w:rPr>
        <w:t>一是加强对政务公开专栏内容更新保障的日常监管，严格审核信息发布内容，进一步完善信息公开制度，强化信息公开的责任意识、大局意识、服务意识，确保政务信息公开工作及时、准确。二是安排负责人员积极参加信息公开、电子政务方面的培训，提高信息公开工作人员的业务水平和电子政务应用能力。</w:t>
      </w:r>
    </w:p>
    <w:p w14:paraId="38B07A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黑体" w:cs="Times New Roman"/>
          <w:i w:val="0"/>
          <w:iCs w:val="0"/>
          <w:caps w:val="0"/>
          <w:color w:val="auto"/>
          <w:spacing w:val="0"/>
          <w:sz w:val="31"/>
          <w:szCs w:val="31"/>
          <w:shd w:val="clear" w:fill="FFFFFF"/>
        </w:rPr>
      </w:pPr>
      <w:r>
        <w:rPr>
          <w:rFonts w:hint="eastAsia" w:ascii="Times New Roman" w:hAnsi="Times New Roman" w:eastAsia="黑体" w:cs="Times New Roman"/>
          <w:i w:val="0"/>
          <w:iCs w:val="0"/>
          <w:caps w:val="0"/>
          <w:color w:val="auto"/>
          <w:spacing w:val="0"/>
          <w:sz w:val="31"/>
          <w:szCs w:val="31"/>
          <w:shd w:val="clear" w:fill="FFFFFF"/>
          <w:lang w:val="en-US" w:eastAsia="zh-CN"/>
        </w:rPr>
        <w:t>六</w:t>
      </w:r>
      <w:r>
        <w:rPr>
          <w:rFonts w:hint="default" w:ascii="Times New Roman" w:hAnsi="Times New Roman" w:eastAsia="黑体" w:cs="Times New Roman"/>
          <w:i w:val="0"/>
          <w:iCs w:val="0"/>
          <w:caps w:val="0"/>
          <w:color w:val="auto"/>
          <w:spacing w:val="0"/>
          <w:sz w:val="31"/>
          <w:szCs w:val="31"/>
          <w:shd w:val="clear" w:fill="FFFFFF"/>
          <w:lang w:val="en-US" w:eastAsia="zh-CN"/>
        </w:rPr>
        <w:t>、</w:t>
      </w:r>
      <w:r>
        <w:rPr>
          <w:rFonts w:hint="default" w:ascii="Times New Roman" w:hAnsi="Times New Roman" w:eastAsia="黑体" w:cs="Times New Roman"/>
          <w:i w:val="0"/>
          <w:iCs w:val="0"/>
          <w:caps w:val="0"/>
          <w:color w:val="auto"/>
          <w:spacing w:val="0"/>
          <w:sz w:val="31"/>
          <w:szCs w:val="31"/>
          <w:shd w:val="clear" w:fill="FFFFFF"/>
        </w:rPr>
        <w:t>其他需要报告的事项</w:t>
      </w:r>
    </w:p>
    <w:p w14:paraId="646142E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1、收费情况。</w:t>
      </w:r>
    </w:p>
    <w:p w14:paraId="05BBB9C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14:paraId="512B971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2、人大建议、政协提案办理情况。</w:t>
      </w:r>
    </w:p>
    <w:p w14:paraId="6F77CAE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我局高度重视人大代表建议和政协委员提案办理，把该项工作作为提升服务管理水平、推动重点工作落实的重要支撑。202</w:t>
      </w:r>
      <w:r>
        <w:rPr>
          <w:rFonts w:hint="eastAsia"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lang w:val="en-US" w:eastAsia="zh-CN"/>
        </w:rPr>
        <w:t>年度我局承办人大代表建议</w:t>
      </w:r>
      <w:r>
        <w:rPr>
          <w:rFonts w:hint="eastAsia"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lang w:val="en-US" w:eastAsia="zh-CN"/>
        </w:rPr>
        <w:t>件，政协委员提案</w:t>
      </w:r>
      <w:r>
        <w:rPr>
          <w:rFonts w:hint="eastAsia" w:ascii="Times New Roman" w:hAnsi="Times New Roman" w:eastAsia="仿宋_GB2312" w:cs="Times New Roman"/>
          <w:i w:val="0"/>
          <w:iCs w:val="0"/>
          <w:caps w:val="0"/>
          <w:color w:val="auto"/>
          <w:spacing w:val="0"/>
          <w:sz w:val="32"/>
          <w:szCs w:val="32"/>
          <w:shd w:val="clear" w:fill="FFFFFF"/>
          <w:lang w:val="en-US" w:eastAsia="zh-CN"/>
        </w:rPr>
        <w:t>4</w:t>
      </w:r>
      <w:r>
        <w:rPr>
          <w:rFonts w:hint="default" w:ascii="Times New Roman" w:hAnsi="Times New Roman" w:eastAsia="仿宋_GB2312" w:cs="Times New Roman"/>
          <w:i w:val="0"/>
          <w:iCs w:val="0"/>
          <w:caps w:val="0"/>
          <w:color w:val="auto"/>
          <w:spacing w:val="0"/>
          <w:sz w:val="32"/>
          <w:szCs w:val="32"/>
          <w:shd w:val="clear" w:fill="FFFFFF"/>
          <w:lang w:val="en-US" w:eastAsia="zh-CN"/>
        </w:rPr>
        <w:t>件，均已按要求办理。</w:t>
      </w:r>
    </w:p>
    <w:p w14:paraId="5AC9210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3、政务公开工作创新情况。</w:t>
      </w:r>
    </w:p>
    <w:p w14:paraId="02BF8BD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加大政策解读力度，创新解读方式。对文件多元化解读，要求发文科室强化互动解读回应，指导通过图文解读、主要负责人解读、专家解读等方式，进行全方位、立体化解读，全面准确讲清楚文件出台背景、重点内容、特色亮点等。</w:t>
      </w:r>
    </w:p>
    <w:p w14:paraId="521412E1">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上级工作要点落实情况。</w:t>
      </w:r>
    </w:p>
    <w:p w14:paraId="1866206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color w:val="auto"/>
          <w:kern w:val="0"/>
          <w:sz w:val="32"/>
          <w:szCs w:val="32"/>
          <w:lang w:val="en-US" w:eastAsia="zh-CN" w:bidi="ar"/>
        </w:rPr>
        <w:t>县发展改革局政务公开领导小组充分发挥统筹协调作用，配齐配强政务公开工作力量，不断提高工作队伍政治素质和业务素质，切实提升政务公开标准化规范化水平。</w:t>
      </w:r>
    </w:p>
    <w:p w14:paraId="0B7EC8B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p w14:paraId="7C75676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p w14:paraId="6967CD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 xml:space="preserve">                              </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202</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6</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年1月</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30</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日</w:t>
      </w:r>
    </w:p>
    <w:sectPr>
      <w:pgSz w:w="11906" w:h="16838"/>
      <w:pgMar w:top="1984" w:right="1587"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38557E-754C-47AC-9C03-7B07016D18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E93526B-4D21-481A-A4E4-D7571EA824FE}"/>
  </w:font>
  <w:font w:name="仿宋_GB2312">
    <w:panose1 w:val="02010609030101010101"/>
    <w:charset w:val="86"/>
    <w:family w:val="auto"/>
    <w:pitch w:val="default"/>
    <w:sig w:usb0="00000001" w:usb1="080E0000" w:usb2="00000000" w:usb3="00000000" w:csb0="00040000" w:csb1="00000000"/>
    <w:embedRegular r:id="rId3" w:fontKey="{596218A1-3209-497F-8D57-38F0EE795CAA}"/>
  </w:font>
  <w:font w:name="楷体_GB2312">
    <w:panose1 w:val="02010609030101010101"/>
    <w:charset w:val="86"/>
    <w:family w:val="auto"/>
    <w:pitch w:val="default"/>
    <w:sig w:usb0="00000001" w:usb1="080E0000" w:usb2="00000000" w:usb3="00000000" w:csb0="00040000" w:csb1="00000000"/>
    <w:embedRegular r:id="rId4" w:fontKey="{18AEFAFA-80E6-46A1-89BE-78836ED10241}"/>
  </w:font>
  <w:font w:name="微软雅黑">
    <w:panose1 w:val="020B0503020204020204"/>
    <w:charset w:val="86"/>
    <w:family w:val="auto"/>
    <w:pitch w:val="default"/>
    <w:sig w:usb0="80000287" w:usb1="2ACF3C50" w:usb2="00000016" w:usb3="00000000" w:csb0="0004001F" w:csb1="00000000"/>
    <w:embedRegular r:id="rId5" w:fontKey="{0C629343-E9AA-4189-BC5D-617DA5E5A956}"/>
  </w:font>
  <w:font w:name="sans-serif">
    <w:altName w:val="Segoe Print"/>
    <w:panose1 w:val="00000000000000000000"/>
    <w:charset w:val="00"/>
    <w:family w:val="auto"/>
    <w:pitch w:val="default"/>
    <w:sig w:usb0="00000000" w:usb1="00000000" w:usb2="00000000" w:usb3="00000000" w:csb0="00000000" w:csb1="00000000"/>
    <w:embedRegular r:id="rId6" w:fontKey="{CC441762-9959-4AE1-BDEC-A75304D4A42D}"/>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embedRegular r:id="rId7" w:fontKey="{EEF191EC-61FB-4BE9-8483-A68238050CC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BE544"/>
    <w:multiLevelType w:val="singleLevel"/>
    <w:tmpl w:val="594BE54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MTc3MmFlODk5NDYwZjg2NmU1YzhkNWE3MTczMWMifQ=="/>
  </w:docVars>
  <w:rsids>
    <w:rsidRoot w:val="14404782"/>
    <w:rsid w:val="00FE37AD"/>
    <w:rsid w:val="03C2759E"/>
    <w:rsid w:val="03D0108C"/>
    <w:rsid w:val="04627CA9"/>
    <w:rsid w:val="05184904"/>
    <w:rsid w:val="07210DA5"/>
    <w:rsid w:val="0847753D"/>
    <w:rsid w:val="08E34DB5"/>
    <w:rsid w:val="0916261C"/>
    <w:rsid w:val="0A0501E5"/>
    <w:rsid w:val="0BB178C9"/>
    <w:rsid w:val="0C3B14BE"/>
    <w:rsid w:val="0CDF76AC"/>
    <w:rsid w:val="0D4C1130"/>
    <w:rsid w:val="10134227"/>
    <w:rsid w:val="10AB4B20"/>
    <w:rsid w:val="10B819ED"/>
    <w:rsid w:val="11BD2243"/>
    <w:rsid w:val="12CC243B"/>
    <w:rsid w:val="14404782"/>
    <w:rsid w:val="15214F99"/>
    <w:rsid w:val="152625BE"/>
    <w:rsid w:val="15E43350"/>
    <w:rsid w:val="160C7B37"/>
    <w:rsid w:val="172B721F"/>
    <w:rsid w:val="18DA0A8E"/>
    <w:rsid w:val="18E436BB"/>
    <w:rsid w:val="1C085913"/>
    <w:rsid w:val="1E674B72"/>
    <w:rsid w:val="1F077CB1"/>
    <w:rsid w:val="215C64E4"/>
    <w:rsid w:val="21F5122F"/>
    <w:rsid w:val="22163452"/>
    <w:rsid w:val="222E2644"/>
    <w:rsid w:val="233863AE"/>
    <w:rsid w:val="234822FE"/>
    <w:rsid w:val="239830DE"/>
    <w:rsid w:val="24823344"/>
    <w:rsid w:val="260C44CD"/>
    <w:rsid w:val="2640412E"/>
    <w:rsid w:val="2881464B"/>
    <w:rsid w:val="28FC2527"/>
    <w:rsid w:val="2A994C75"/>
    <w:rsid w:val="2AFA0B1C"/>
    <w:rsid w:val="2BB95475"/>
    <w:rsid w:val="2C6B7C7C"/>
    <w:rsid w:val="2C6D614E"/>
    <w:rsid w:val="2CC45CB4"/>
    <w:rsid w:val="2D3A16A4"/>
    <w:rsid w:val="2E8638C0"/>
    <w:rsid w:val="2F8C014D"/>
    <w:rsid w:val="302155FB"/>
    <w:rsid w:val="31C93D2F"/>
    <w:rsid w:val="32D6183A"/>
    <w:rsid w:val="344710C6"/>
    <w:rsid w:val="357148F2"/>
    <w:rsid w:val="35963773"/>
    <w:rsid w:val="35F745D6"/>
    <w:rsid w:val="367E5C4F"/>
    <w:rsid w:val="37DB6F00"/>
    <w:rsid w:val="39004EC9"/>
    <w:rsid w:val="3BB05953"/>
    <w:rsid w:val="3C92251C"/>
    <w:rsid w:val="3DBC7924"/>
    <w:rsid w:val="3E1F0B6E"/>
    <w:rsid w:val="404D2C33"/>
    <w:rsid w:val="415A09E4"/>
    <w:rsid w:val="416F5968"/>
    <w:rsid w:val="42C57F36"/>
    <w:rsid w:val="43862C86"/>
    <w:rsid w:val="43F019A7"/>
    <w:rsid w:val="44366C11"/>
    <w:rsid w:val="450944C0"/>
    <w:rsid w:val="47573126"/>
    <w:rsid w:val="478272D1"/>
    <w:rsid w:val="487C4584"/>
    <w:rsid w:val="49757CDE"/>
    <w:rsid w:val="49CB1BAA"/>
    <w:rsid w:val="4AB03279"/>
    <w:rsid w:val="4BAD3441"/>
    <w:rsid w:val="4C747EE0"/>
    <w:rsid w:val="4CC132CB"/>
    <w:rsid w:val="4D471D29"/>
    <w:rsid w:val="4E975520"/>
    <w:rsid w:val="4F6B58A1"/>
    <w:rsid w:val="4F815954"/>
    <w:rsid w:val="50816453"/>
    <w:rsid w:val="50CD650B"/>
    <w:rsid w:val="525A6C06"/>
    <w:rsid w:val="53C6338B"/>
    <w:rsid w:val="53CF6CA9"/>
    <w:rsid w:val="547859A5"/>
    <w:rsid w:val="55C22286"/>
    <w:rsid w:val="56EA4C31"/>
    <w:rsid w:val="57AE07FF"/>
    <w:rsid w:val="57DE0CFA"/>
    <w:rsid w:val="584D6043"/>
    <w:rsid w:val="58574487"/>
    <w:rsid w:val="58B06230"/>
    <w:rsid w:val="58F20481"/>
    <w:rsid w:val="5A461504"/>
    <w:rsid w:val="5ACD036F"/>
    <w:rsid w:val="5F0013CC"/>
    <w:rsid w:val="5F6D72BA"/>
    <w:rsid w:val="5FB52769"/>
    <w:rsid w:val="60956D42"/>
    <w:rsid w:val="61CA444D"/>
    <w:rsid w:val="623F6839"/>
    <w:rsid w:val="624F6F55"/>
    <w:rsid w:val="62FB30A8"/>
    <w:rsid w:val="642E1C06"/>
    <w:rsid w:val="65A417D5"/>
    <w:rsid w:val="683A630F"/>
    <w:rsid w:val="689E075E"/>
    <w:rsid w:val="69F86868"/>
    <w:rsid w:val="6A162648"/>
    <w:rsid w:val="6A585B2E"/>
    <w:rsid w:val="6B784B19"/>
    <w:rsid w:val="6B8307E0"/>
    <w:rsid w:val="6F285225"/>
    <w:rsid w:val="73D958EB"/>
    <w:rsid w:val="73EC6EF9"/>
    <w:rsid w:val="77793CD5"/>
    <w:rsid w:val="793F3897"/>
    <w:rsid w:val="7B5829EE"/>
    <w:rsid w:val="7C0B5CB2"/>
    <w:rsid w:val="7C162F16"/>
    <w:rsid w:val="7DD13E1E"/>
    <w:rsid w:val="7ED9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3">
    <w:name w:val="Normal Indent"/>
    <w:basedOn w:val="1"/>
    <w:autoRedefine/>
    <w:qFormat/>
    <w:uiPriority w:val="0"/>
    <w:pPr>
      <w:ind w:firstLine="420" w:firstLineChars="200"/>
    </w:pPr>
  </w:style>
  <w:style w:type="paragraph" w:styleId="4">
    <w:name w:val="annotation text"/>
    <w:basedOn w:val="1"/>
    <w:qFormat/>
    <w:uiPriority w:val="0"/>
    <w:pPr>
      <w:jc w:val="left"/>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autoRedefine/>
    <w:qFormat/>
    <w:uiPriority w:val="0"/>
    <w:pPr>
      <w:ind w:firstLine="200" w:firstLineChars="200"/>
      <w:outlineLvl w:val="0"/>
    </w:pPr>
    <w:rPr>
      <w:rFonts w:ascii="Calibri Light" w:hAnsi="Calibri Light" w:eastAsia="黑体" w:cs="Times New Roman"/>
      <w:b/>
      <w:bCs/>
      <w:sz w:val="32"/>
      <w:szCs w:val="32"/>
    </w:r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1198</Words>
  <Characters>1274</Characters>
  <Lines>0</Lines>
  <Paragraphs>0</Paragraphs>
  <TotalTime>372</TotalTime>
  <ScaleCrop>false</ScaleCrop>
  <LinksUpToDate>false</LinksUpToDate>
  <CharactersWithSpaces>1276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2022-01-13T06:50:00Z</dcterms:created>
  <dc:creator>Administrator</dc:creator>
  <cp:lastModifiedBy>Darren</cp:lastModifiedBy>
  <cp:lastPrinted>2025-01-10T08:01:00Z</cp:lastPrinted>
  <dcterms:modified xsi:type="dcterms:W3CDTF">2026-02-03T07:42:41Z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BC4C0429FCF3478CA9D3F524FE83A95B_13</vt:lpwstr>
  </property>
  <property fmtid="{D5CDD505-2E9C-101B-9397-08002B2CF9AE}" pid="4" name="KSOTemplateDocerSaveRecord">
    <vt:lpwstr>eyJoZGlkIjoiMjg3ZjAyMDg1OGQ5ODY4NmE5NjlkNzRmYmM5NjEwYTgiLCJ1c2VySWQiOiIyMDI3OTg5NDcifQ==</vt:lpwstr>
  </property>
</Properties>
</file>