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center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东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eastAsia="zh-CN"/>
        </w:rPr>
        <w:t>政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发〔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〕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8" w:firstLineChars="200"/>
        <w:jc w:val="both"/>
        <w:textAlignment w:val="auto"/>
        <w:outlineLvl w:val="9"/>
        <w:rPr>
          <w:rFonts w:hint="default" w:ascii="Times New Roman" w:hAnsi="Times New Roman" w:cs="Times New Roman"/>
          <w:b/>
          <w:bCs w:val="0"/>
          <w:sz w:val="96"/>
          <w:szCs w:val="9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90" w:rightChars="-43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pacing w:val="32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spacing w:val="32"/>
          <w:kern w:val="0"/>
          <w:sz w:val="44"/>
          <w:szCs w:val="44"/>
        </w:rPr>
        <w:t>东里镇</w:t>
      </w:r>
      <w:r>
        <w:rPr>
          <w:rFonts w:hint="default" w:ascii="Times New Roman" w:hAnsi="Times New Roman" w:eastAsia="方正小标宋简体" w:cs="Times New Roman"/>
          <w:b/>
          <w:bCs w:val="0"/>
          <w:spacing w:val="32"/>
          <w:kern w:val="0"/>
          <w:sz w:val="44"/>
          <w:szCs w:val="44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spacing w:val="-11"/>
          <w:w w:val="1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spacing w:val="-11"/>
          <w:w w:val="100"/>
          <w:kern w:val="0"/>
          <w:sz w:val="44"/>
          <w:szCs w:val="44"/>
        </w:rPr>
        <w:t>关于做好全镇农村人居环境村容村貌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spacing w:val="-11"/>
          <w:w w:val="1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spacing w:val="-11"/>
          <w:w w:val="100"/>
          <w:kern w:val="0"/>
          <w:sz w:val="44"/>
          <w:szCs w:val="44"/>
        </w:rPr>
        <w:t>整治提升工作的通知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办事处、各责任区</w:t>
      </w:r>
      <w:r>
        <w:rPr>
          <w:rFonts w:hint="eastAsia" w:eastAsia="仿宋_GB2312" w:cs="Times New Roman"/>
          <w:b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各村：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为加快推动全镇农村人居环境整治提升实现新跨越，切实巩固整治提升成果，按照《全县持续深化城乡环境大整治精细管理大提升总体方案（2022-2023）》（源整治办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〔202</w:t>
      </w:r>
      <w:r>
        <w:rPr>
          <w:rFonts w:hint="eastAsia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1号）、《全县城乡环境大整治精细管理大提升行动考评办法》（源整治办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〔202</w:t>
      </w:r>
      <w:r>
        <w:rPr>
          <w:rFonts w:hint="eastAsia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2号）、《全县创建“留住最美乡愁 建设醉美果乡”行动实施方案》（源整治办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〔202</w:t>
      </w:r>
      <w:r>
        <w:rPr>
          <w:rFonts w:hint="eastAsia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3号）以及“美在家庭”建设工作的要求，现就做好2022年度全镇农村人居环境村容村貌整治提升和“美在家庭”建设工作，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根据国家、省《农村人居环境整治提升五年行动方案（2021-2025）》，按照分类施策、精准提升的思路，以加强考评督导为抓手，聚焦整治难点重点，持续开展集中攻坚行动，为全镇村容村貌两年实现大提升、五年实现新跨越夯实基础，努力实现生态、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净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、整齐、美丽的目标。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一是保持村庄立面整洁、美观；及时清除房前屋后“三大堆”；对乱搭乱建等临时设施进行集中清理整治；保持村庄主干道、巷道路面干净、畅通，无“僵尸”设施堆放；村内道路两侧闲置杂物等堆放整齐有序；推动弱电下地试点，逐步解决“蜘蛛网”现象；清理残垣断壁，清肃公共空间；清理河塘沟渠，升级改建景观水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二是各村要立足“一村一策一提升”，注重发掘保护和利用历史元素，利用好“清底子”后主次干道边角，以“留住最美乡愁 建设醉美果乡”为导向，进行小微景观创意和建设。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2022年5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月底前，每村建设不少于一处文体广场、一处村头公园、一处美学微巷、十个小微景点、四处卡口花场，每村打造不少于五处精品庭院。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三、实施步骤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按照年度有方案、季度有主题、月度有重点的工作思路，聚焦整治提升难点、堵点，稳步有序推动村容村貌整治提升。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（一）调研发动夯基础</w:t>
      </w:r>
      <w:r>
        <w:rPr>
          <w:rFonts w:hint="eastAsia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年1-3月</w:t>
      </w:r>
      <w:r>
        <w:rPr>
          <w:rFonts w:hint="eastAsia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坚持春节前后生活垃圾清理、村庄立面维护、乱堆乱放治理不放松，让回乡探亲群众切实感受村容村貌巨大变化，引导群众自觉改变不良生活习惯；利用节后复工和植树有利时节，加大立面美化、乡村绿化督导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1-2月份：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集中清理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“四大堆”、河塘沟渠垃圾、乱堆乱放；开展调查摸底，建立村容村貌“明白账”。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3月份：完成示范村、提升村、薄弱村3大类型村识别摸底。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示范村立面维护、村公共空地提升、主要道路两侧绿化，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杜绝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污水乱排乱放；组织召开全镇村容村貌整治提升动员现场会。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（二）集中攻坚抓突破</w:t>
      </w:r>
      <w:r>
        <w:rPr>
          <w:rFonts w:hint="eastAsia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2022年4-6月</w:t>
      </w:r>
      <w:r>
        <w:rPr>
          <w:rFonts w:hint="eastAsia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学习借鉴后水北村等经验做法，集中开展残垣断壁清零专项整治百日攻坚战行动，对拆除后宅基空地，结合实际、因地制宜或种植多种经济林木，或建设休闲健身场所，或发展二三产业。对符合土地增减挂钩政策的，要积极申报有关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4-5月份：摸清底数，制定方案，宣传发动，启动开展残垣断壁清零专项整治百日攻坚战行动，彻底解决残垣断壁影响村容村貌顽疾。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6月份：适时召开现场观摩点评工作推进会，推动残垣断壁清零专项整治百日攻坚战行动深入开展。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）查漏补缺抓细节</w:t>
      </w:r>
      <w:r>
        <w:rPr>
          <w:rFonts w:hint="eastAsia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2022年7-9月</w:t>
      </w:r>
      <w:r>
        <w:rPr>
          <w:rFonts w:hint="eastAsia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加强乱搭乱建整治、雨季河塘沟渠垃圾清理、“蜘蛛网”梳理、残垣断壁清零排查督导，保持“三秋”期间村庄卫生整洁、道路畅通、柴草堆放有序，重点清理乱堆乱放、乱贴乱画。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7-8月份：加强乱搭乱建整治、雨季河塘沟渠垃圾和示范村“蜘蛛网”治理，巩固提升村、薄弱村残垣断壁清零成果。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9月份：清理乱堆乱放、乱贴乱画和“三秋”期间“四大堆”，保持主干路、村庄周边主要节点清洁。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）全面梳理抓整改</w:t>
      </w:r>
      <w:r>
        <w:rPr>
          <w:rFonts w:hint="eastAsia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2022年10-12月</w:t>
      </w:r>
      <w:r>
        <w:rPr>
          <w:rFonts w:hint="eastAsia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梳理前三季度工作，明确整改难点、重点，确保整改到位无死角，全力做好迎接国家、省年度暗访督查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准备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10月份：开展季度点评观摩，适时组织“回头看”，全面排查问题。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11-12月份：重点整治“四大堆”、河塘沟渠垃圾、村庄周边卫生环境、污水乱排乱放，强化提升村、薄弱村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问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题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整改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复核。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四、考核奖惩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人居环境常规工作考核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以镇城乡环境整治办（占70%）和责任区（占30%）对村排名的形式每月对村考核。镇城乡环境整治办综合考虑整治管理绩效（占60%）、市县镇各级反馈问题整改（占30%）、村庄人口规模（占10%）等中心工作，实行每月检查、排名和通报，每季度进行流动红黑旗授旗，每半年进行考核奖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对“留住最美乡愁 建设醉美果乡”重点项目专项考核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5月份开始，镇城乡环境整治办的考核包括整治管理绩效（占42%）、“留住最美乡愁 建设</w:t>
      </w:r>
      <w:r>
        <w:rPr>
          <w:rFonts w:hint="eastAsia" w:eastAsia="仿宋_GB2312" w:cs="Times New Roman"/>
          <w:b/>
          <w:bCs w:val="0"/>
          <w:color w:val="auto"/>
          <w:sz w:val="32"/>
          <w:szCs w:val="32"/>
          <w:lang w:val="en-US" w:eastAsia="zh-CN"/>
        </w:rPr>
        <w:t>醉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美果乡”重点项目（占比30%）、市县镇各级反馈问题整改（占21%）、村庄人口规模（占7%）。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惩处措施。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对市、县、镇各级反馈问题整改不到位的，在落实财政奖补时予以扣罚。市级反馈问题未完成整改的，每发生一次扣罚2000元，并在半年100分制考核中扣10分；县镇反馈问题未整改的，每发生一次扣罚200元，并在半年100分制考核中扣2分。将“留住最美乡愁 建设醉美果乡”重点项目建设纳入5月份以后的考核排名，按期完成工作任务的予以奖补，超期完成或未完成的村，降低奖补标准。</w:t>
      </w:r>
      <w:r>
        <w:rPr>
          <w:rFonts w:hint="eastAsia" w:eastAsia="仿宋_GB2312" w:cs="Times New Roman"/>
          <w:b/>
          <w:bCs w:val="0"/>
          <w:color w:val="auto"/>
          <w:sz w:val="32"/>
          <w:szCs w:val="32"/>
          <w:lang w:val="en-US" w:eastAsia="zh-CN"/>
        </w:rPr>
        <w:t>对连续两个月排名后十名的村，在扣除相应考核分值的基础上，由分管领导约谈村党支部书记；连续三个月排名后十名的村，由镇主要领导约谈村党支部书记。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（一）摸清底数，分类施策。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组织开展全镇农村人居环境整治村容村貌现状调研，摸清底数，建立起村容村貌“明白账”。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精细化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调研摸底，基于村庄基础条件，着眼村庄规划发展趋势，综合分析村庄区位特点、户籍人口规模、房屋类型、拆迁情况、设施配套等影响因素，将全部村庄村容村貌精准识别划分为示范村、提升村、薄弱村3大类型，进一步明确重点、分类施策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加力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示范村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特色引领、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提升村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整洁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美丽、薄弱村干净有序。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）公开公正，规范测评。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继续实施农村环境流动红黑旗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管理机制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，以公开、公正、规范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促进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整治水平提升。优化测评方法，兼顾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村庄规模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环境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基础等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因素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合理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设置工作量系数、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分配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考核分值。加强测评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环节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跟踪督导，严肃测评纪律，确保严密实施、严格测评、严谨打分。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）强化整改，压实责任。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加大整改督导力度，盯紧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、难点问题抓整改，确保复核村达标。复核整改不到位、不及时的问题严重村，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在全镇范围内予以通报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。建立整改责任追溯机制，将整改成效与考核结果挂钩，因整改不力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被上级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重复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通报的，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在约谈、通报的基础上，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加倍考核扣分。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）加强宣传，注重总结。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结合精品片区创建、人居环境整治等工作，不定期召开现场点评观摩会，努力营造“比、学、赶、超”良好氛围。鼓励各村交流探讨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工作经验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，形成可复制、可推广的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长效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机制。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东里镇人民政府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4A1B7"/>
    <w:multiLevelType w:val="singleLevel"/>
    <w:tmpl w:val="A374A1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659D4"/>
    <w:rsid w:val="022F67B8"/>
    <w:rsid w:val="03BB571A"/>
    <w:rsid w:val="04B52394"/>
    <w:rsid w:val="05181566"/>
    <w:rsid w:val="078D5571"/>
    <w:rsid w:val="0D7429D1"/>
    <w:rsid w:val="100454B1"/>
    <w:rsid w:val="117E7F9D"/>
    <w:rsid w:val="130741B4"/>
    <w:rsid w:val="13C87D97"/>
    <w:rsid w:val="165D3EEE"/>
    <w:rsid w:val="17A2501F"/>
    <w:rsid w:val="18455431"/>
    <w:rsid w:val="190A6854"/>
    <w:rsid w:val="1960679A"/>
    <w:rsid w:val="1B9F4B5C"/>
    <w:rsid w:val="1CD619D4"/>
    <w:rsid w:val="1F6D68BC"/>
    <w:rsid w:val="217902D7"/>
    <w:rsid w:val="21C55083"/>
    <w:rsid w:val="21E0576B"/>
    <w:rsid w:val="2596529F"/>
    <w:rsid w:val="26CD0724"/>
    <w:rsid w:val="28D76DD3"/>
    <w:rsid w:val="2A297180"/>
    <w:rsid w:val="2A344B98"/>
    <w:rsid w:val="2E9848D4"/>
    <w:rsid w:val="2EF052E3"/>
    <w:rsid w:val="312E082E"/>
    <w:rsid w:val="314D3298"/>
    <w:rsid w:val="33BD5778"/>
    <w:rsid w:val="34660F12"/>
    <w:rsid w:val="369F77C5"/>
    <w:rsid w:val="3BDB35C3"/>
    <w:rsid w:val="41890E7B"/>
    <w:rsid w:val="46302F52"/>
    <w:rsid w:val="46CF24C4"/>
    <w:rsid w:val="47C62E18"/>
    <w:rsid w:val="47CA7DB9"/>
    <w:rsid w:val="495D4517"/>
    <w:rsid w:val="4CAD5597"/>
    <w:rsid w:val="521E1ACE"/>
    <w:rsid w:val="52EB64CE"/>
    <w:rsid w:val="55174289"/>
    <w:rsid w:val="55C86F43"/>
    <w:rsid w:val="565D30C7"/>
    <w:rsid w:val="59D807FF"/>
    <w:rsid w:val="5F590CD7"/>
    <w:rsid w:val="6083478E"/>
    <w:rsid w:val="6087010B"/>
    <w:rsid w:val="65006754"/>
    <w:rsid w:val="65940BE3"/>
    <w:rsid w:val="66120F31"/>
    <w:rsid w:val="6B1D30DF"/>
    <w:rsid w:val="7177339B"/>
    <w:rsid w:val="748C6ED4"/>
    <w:rsid w:val="772347E1"/>
    <w:rsid w:val="7A2E3AAF"/>
    <w:rsid w:val="7F133A21"/>
    <w:rsid w:val="7FB20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15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22</Words>
  <Characters>129</Characters>
  <Lines>1</Lines>
  <Paragraphs>1</Paragraphs>
  <TotalTime>1</TotalTime>
  <ScaleCrop>false</ScaleCrop>
  <LinksUpToDate>false</LinksUpToDate>
  <CharactersWithSpaces>150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2015-03-16T07:50:00Z</dcterms:created>
  <dc:creator>微软用户</dc:creator>
  <cp:lastModifiedBy>墙上的向日葵</cp:lastModifiedBy>
  <cp:lastPrinted>2021-02-25T08:39:00Z</cp:lastPrinted>
  <dcterms:modified xsi:type="dcterms:W3CDTF">2022-02-08T11:24:47Z</dcterms:modified>
  <dc:title>关于田清河同志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7F723222E6EE4F89A148BD584FBFD4B3</vt:lpwstr>
  </property>
</Properties>
</file>