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ascii="宋体" w:hAnsi="宋体" w:eastAsia="宋体" w:cs="宋体"/>
          <w:kern w:val="0"/>
          <w:sz w:val="24"/>
          <w:szCs w:val="24"/>
        </w:rPr>
      </w:pPr>
      <w:r>
        <w:rPr>
          <w:rFonts w:hint="eastAsia" w:ascii="方正小标宋简体" w:hAnsi="宋体" w:eastAsia="方正小标宋简体" w:cs="宋体"/>
          <w:kern w:val="0"/>
          <w:sz w:val="44"/>
          <w:szCs w:val="44"/>
        </w:rPr>
        <w:t>沂源县档案馆信息主动公开基本目录（</w:t>
      </w:r>
      <w:r>
        <w:rPr>
          <w:rFonts w:ascii="宋体" w:hAnsi="宋体" w:eastAsia="宋体" w:cs="宋体"/>
          <w:kern w:val="0"/>
          <w:sz w:val="44"/>
          <w:szCs w:val="44"/>
        </w:rPr>
        <w:t>202</w:t>
      </w:r>
      <w:r>
        <w:rPr>
          <w:rFonts w:hint="eastAsia" w:ascii="宋体" w:hAnsi="宋体" w:eastAsia="宋体" w:cs="宋体"/>
          <w:kern w:val="0"/>
          <w:sz w:val="44"/>
          <w:szCs w:val="44"/>
        </w:rPr>
        <w:t>1</w:t>
      </w:r>
      <w:r>
        <w:rPr>
          <w:rFonts w:hint="eastAsia" w:ascii="方正小标宋简体" w:hAnsi="宋体" w:eastAsia="方正小标宋简体" w:cs="宋体"/>
          <w:kern w:val="0"/>
          <w:sz w:val="44"/>
          <w:szCs w:val="44"/>
        </w:rPr>
        <w:t>版）</w:t>
      </w:r>
      <w:r>
        <w:rPr>
          <w:rFonts w:ascii="宋体" w:hAnsi="宋体" w:eastAsia="宋体" w:cs="宋体"/>
          <w:kern w:val="0"/>
          <w:sz w:val="44"/>
          <w:szCs w:val="44"/>
        </w:rPr>
        <w:t> </w:t>
      </w:r>
    </w:p>
    <w:tbl>
      <w:tblPr>
        <w:tblStyle w:val="4"/>
        <w:tblW w:w="13212" w:type="dxa"/>
        <w:jc w:val="center"/>
        <w:tblLayout w:type="autofit"/>
        <w:tblCellMar>
          <w:top w:w="0" w:type="dxa"/>
          <w:left w:w="0" w:type="dxa"/>
          <w:bottom w:w="0" w:type="dxa"/>
          <w:right w:w="0" w:type="dxa"/>
        </w:tblCellMar>
      </w:tblPr>
      <w:tblGrid>
        <w:gridCol w:w="1199"/>
        <w:gridCol w:w="1701"/>
        <w:gridCol w:w="911"/>
        <w:gridCol w:w="1004"/>
        <w:gridCol w:w="760"/>
        <w:gridCol w:w="3184"/>
        <w:gridCol w:w="2374"/>
        <w:gridCol w:w="1829"/>
        <w:gridCol w:w="250"/>
      </w:tblGrid>
      <w:tr>
        <w:tblPrEx>
          <w:tblCellMar>
            <w:top w:w="0" w:type="dxa"/>
            <w:left w:w="0" w:type="dxa"/>
            <w:bottom w:w="0" w:type="dxa"/>
            <w:right w:w="0" w:type="dxa"/>
          </w:tblCellMar>
        </w:tblPrEx>
        <w:trPr>
          <w:trHeight w:val="397" w:hRule="atLeast"/>
          <w:tblHeader/>
          <w:jc w:val="center"/>
        </w:trPr>
        <w:tc>
          <w:tcPr>
            <w:tcW w:w="119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一级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指标</w:t>
            </w:r>
          </w:p>
        </w:tc>
        <w:tc>
          <w:tcPr>
            <w:tcW w:w="1701"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二级指标</w:t>
            </w:r>
          </w:p>
        </w:tc>
        <w:tc>
          <w:tcPr>
            <w:tcW w:w="911"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三级指标</w:t>
            </w:r>
          </w:p>
        </w:tc>
        <w:tc>
          <w:tcPr>
            <w:tcW w:w="1004"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四级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指标</w:t>
            </w:r>
          </w:p>
        </w:tc>
        <w:tc>
          <w:tcPr>
            <w:tcW w:w="760"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五级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指标</w:t>
            </w:r>
          </w:p>
        </w:tc>
        <w:tc>
          <w:tcPr>
            <w:tcW w:w="3184"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维护内容及要求</w:t>
            </w:r>
          </w:p>
        </w:tc>
        <w:tc>
          <w:tcPr>
            <w:tcW w:w="2374"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责任主体</w:t>
            </w:r>
          </w:p>
        </w:tc>
        <w:tc>
          <w:tcPr>
            <w:tcW w:w="182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ascii="宋体" w:hAnsi="宋体" w:eastAsia="宋体" w:cs="宋体"/>
                <w:kern w:val="0"/>
                <w:sz w:val="21"/>
                <w:szCs w:val="21"/>
              </w:rPr>
            </w:pPr>
            <w:r>
              <w:rPr>
                <w:rFonts w:hint="eastAsia" w:ascii="黑体" w:hAnsi="黑体" w:eastAsia="黑体" w:cs="宋体"/>
                <w:color w:val="000000"/>
                <w:kern w:val="0"/>
                <w:sz w:val="21"/>
                <w:szCs w:val="21"/>
              </w:rPr>
              <w:t>时限要求及方式</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宋体"/>
                <w:kern w:val="0"/>
                <w:sz w:val="21"/>
                <w:szCs w:val="21"/>
              </w:rPr>
            </w:pPr>
            <w:r>
              <w:rPr>
                <w:rFonts w:ascii="宋体" w:hAnsi="宋体" w:eastAsia="宋体" w:cs="宋体"/>
                <w:kern w:val="0"/>
                <w:sz w:val="21"/>
                <w:szCs w:val="21"/>
              </w:rPr>
              <w:t> </w:t>
            </w:r>
          </w:p>
        </w:tc>
      </w:tr>
      <w:tr>
        <w:tblPrEx>
          <w:tblCellMar>
            <w:top w:w="0" w:type="dxa"/>
            <w:left w:w="0" w:type="dxa"/>
            <w:bottom w:w="0" w:type="dxa"/>
            <w:right w:w="0" w:type="dxa"/>
          </w:tblCellMar>
        </w:tblPrEx>
        <w:trPr>
          <w:trHeight w:val="397" w:hRule="atLeast"/>
          <w:jc w:val="center"/>
        </w:trPr>
        <w:tc>
          <w:tcPr>
            <w:tcW w:w="119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机构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职能</w:t>
            </w: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职能配置及内设机构</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机构职能信息（包括单位地址、邮政编码、联系方式，单位职责，领导姓名及分工，内设机构职责及联系方式）</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办公室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一次性公开并动态调整</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宋体"/>
                <w:kern w:val="0"/>
                <w:sz w:val="21"/>
                <w:szCs w:val="21"/>
              </w:rPr>
            </w:pPr>
            <w:r>
              <w:rPr>
                <w:rFonts w:ascii="宋体" w:hAnsi="宋体" w:eastAsia="宋体" w:cs="宋体"/>
                <w:kern w:val="0"/>
                <w:sz w:val="21"/>
                <w:szCs w:val="21"/>
              </w:rPr>
              <w:t> </w:t>
            </w:r>
          </w:p>
        </w:tc>
      </w:tr>
      <w:tr>
        <w:tblPrEx>
          <w:tblCellMar>
            <w:top w:w="0" w:type="dxa"/>
            <w:left w:w="0" w:type="dxa"/>
            <w:bottom w:w="0" w:type="dxa"/>
            <w:right w:w="0" w:type="dxa"/>
          </w:tblCellMar>
        </w:tblPrEx>
        <w:trPr>
          <w:trHeight w:val="397" w:hRule="atLeast"/>
          <w:jc w:val="center"/>
        </w:trPr>
        <w:tc>
          <w:tcPr>
            <w:tcW w:w="1199" w:type="dxa"/>
            <w:vMerge w:val="restart"/>
            <w:tcBorders>
              <w:top w:val="nil"/>
              <w:left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法规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公文</w:t>
            </w: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本单位文件</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公开本单位档案业务工作文件</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办公室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信息形成或变更之日起20个工作日内</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宋体"/>
                <w:kern w:val="0"/>
                <w:sz w:val="21"/>
                <w:szCs w:val="21"/>
              </w:rPr>
            </w:pPr>
            <w:r>
              <w:rPr>
                <w:rFonts w:ascii="宋体" w:hAnsi="宋体" w:eastAsia="宋体" w:cs="宋体"/>
                <w:kern w:val="0"/>
                <w:sz w:val="21"/>
                <w:szCs w:val="21"/>
              </w:rPr>
              <w:t> </w:t>
            </w:r>
          </w:p>
        </w:tc>
      </w:tr>
      <w:tr>
        <w:tblPrEx>
          <w:tblCellMar>
            <w:top w:w="0" w:type="dxa"/>
            <w:left w:w="0" w:type="dxa"/>
            <w:bottom w:w="0" w:type="dxa"/>
            <w:right w:w="0" w:type="dxa"/>
          </w:tblCellMar>
        </w:tblPrEx>
        <w:trPr>
          <w:trHeight w:val="806" w:hRule="atLeast"/>
          <w:jc w:val="center"/>
        </w:trPr>
        <w:tc>
          <w:tcPr>
            <w:tcW w:w="0" w:type="auto"/>
            <w:vMerge w:val="continue"/>
            <w:tcBorders>
              <w:left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政策解读</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文件解读材料，需与对应政策文件双向关联</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办公室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与所解读文件同步公开</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宋体"/>
                <w:kern w:val="0"/>
                <w:sz w:val="21"/>
                <w:szCs w:val="21"/>
              </w:rPr>
            </w:pPr>
            <w:r>
              <w:rPr>
                <w:rFonts w:ascii="宋体" w:hAnsi="宋体" w:eastAsia="宋体" w:cs="宋体"/>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left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政策库</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针对当前档案工作相关政策措施、业务标准等，整合梳理成的业务标准汇编、政策库等</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各科室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信息形成或变更之日起20个工作日内</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宋体"/>
                <w:kern w:val="0"/>
                <w:sz w:val="21"/>
                <w:szCs w:val="21"/>
              </w:rPr>
            </w:pPr>
            <w:r>
              <w:rPr>
                <w:rFonts w:ascii="宋体" w:hAnsi="宋体" w:eastAsia="宋体" w:cs="宋体"/>
                <w:kern w:val="0"/>
                <w:sz w:val="21"/>
                <w:szCs w:val="21"/>
              </w:rPr>
              <w:t> </w:t>
            </w:r>
          </w:p>
        </w:tc>
      </w:tr>
      <w:tr>
        <w:tblPrEx>
          <w:tblCellMar>
            <w:top w:w="0" w:type="dxa"/>
            <w:left w:w="0" w:type="dxa"/>
            <w:bottom w:w="0" w:type="dxa"/>
            <w:right w:w="0" w:type="dxa"/>
          </w:tblCellMar>
        </w:tblPrEx>
        <w:trPr>
          <w:trHeight w:val="639" w:hRule="atLeast"/>
          <w:jc w:val="center"/>
        </w:trPr>
        <w:tc>
          <w:tcPr>
            <w:tcW w:w="0" w:type="auto"/>
            <w:vMerge w:val="continue"/>
            <w:tcBorders>
              <w:left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公示公告</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公示公告信息</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各科室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信息形成或变更之日起20个工作日内</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宋体"/>
                <w:kern w:val="0"/>
                <w:sz w:val="21"/>
                <w:szCs w:val="21"/>
              </w:rPr>
            </w:pPr>
            <w:r>
              <w:rPr>
                <w:rFonts w:ascii="宋体" w:hAnsi="宋体" w:eastAsia="宋体" w:cs="宋体"/>
                <w:kern w:val="0"/>
                <w:sz w:val="21"/>
                <w:szCs w:val="21"/>
              </w:rPr>
              <w:t> </w:t>
            </w:r>
          </w:p>
        </w:tc>
      </w:tr>
      <w:tr>
        <w:tblPrEx>
          <w:tblCellMar>
            <w:top w:w="0" w:type="dxa"/>
            <w:left w:w="0" w:type="dxa"/>
            <w:bottom w:w="0" w:type="dxa"/>
            <w:right w:w="0" w:type="dxa"/>
          </w:tblCellMar>
        </w:tblPrEx>
        <w:trPr>
          <w:trHeight w:val="791" w:hRule="atLeast"/>
          <w:jc w:val="center"/>
        </w:trPr>
        <w:tc>
          <w:tcPr>
            <w:tcW w:w="1199" w:type="dxa"/>
            <w:vMerge w:val="continue"/>
            <w:tcBorders>
              <w:left w:val="single" w:color="000000" w:sz="8" w:space="0"/>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ascii="黑体" w:hAnsi="黑体" w:eastAsia="黑体" w:cs="宋体"/>
                <w:color w:val="000000"/>
                <w:kern w:val="0"/>
                <w:sz w:val="21"/>
                <w:szCs w:val="21"/>
              </w:rPr>
            </w:pP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政府公报</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color w:val="000000"/>
                <w:kern w:val="0"/>
                <w:sz w:val="21"/>
                <w:szCs w:val="21"/>
              </w:rPr>
            </w:pP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color w:val="000000"/>
                <w:kern w:val="0"/>
                <w:sz w:val="21"/>
                <w:szCs w:val="21"/>
              </w:rPr>
            </w:pP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color w:val="000000"/>
                <w:kern w:val="0"/>
                <w:sz w:val="21"/>
                <w:szCs w:val="21"/>
              </w:rPr>
            </w:pP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在馆内政务公开专区公开政府公报纸质版</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color w:val="000000"/>
                <w:kern w:val="0"/>
                <w:sz w:val="21"/>
                <w:szCs w:val="21"/>
              </w:rPr>
            </w:pP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信息形成或变更之日起20个工作日内</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宋体"/>
                <w:kern w:val="0"/>
                <w:sz w:val="21"/>
                <w:szCs w:val="21"/>
              </w:rPr>
            </w:pPr>
          </w:p>
        </w:tc>
      </w:tr>
      <w:tr>
        <w:tblPrEx>
          <w:tblCellMar>
            <w:top w:w="0" w:type="dxa"/>
            <w:left w:w="0" w:type="dxa"/>
            <w:bottom w:w="0" w:type="dxa"/>
            <w:right w:w="0" w:type="dxa"/>
          </w:tblCellMar>
        </w:tblPrEx>
        <w:trPr>
          <w:trHeight w:val="644" w:hRule="atLeast"/>
          <w:jc w:val="center"/>
        </w:trPr>
        <w:tc>
          <w:tcPr>
            <w:tcW w:w="119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规划</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计划</w:t>
            </w: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工作计划及完成情况</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年度工作计划、其他计划及完成情况等相关信息</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办公室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信息形成或变更之日起20个工作日内及时公开</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1981" w:hRule="atLeast"/>
          <w:jc w:val="center"/>
        </w:trPr>
        <w:tc>
          <w:tcPr>
            <w:tcW w:w="119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政府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会议</w:t>
            </w: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lang w:eastAsia="zh-CN"/>
              </w:rPr>
              <w:t>部门</w:t>
            </w:r>
            <w:r>
              <w:rPr>
                <w:rFonts w:hint="eastAsia" w:ascii="仿宋_GB2312" w:hAnsi="仿宋_GB2312" w:eastAsia="仿宋_GB2312" w:cs="仿宋_GB2312"/>
                <w:color w:val="000000"/>
                <w:kern w:val="0"/>
                <w:sz w:val="21"/>
                <w:szCs w:val="21"/>
              </w:rPr>
              <w:t>会议</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各类需公开重要会议召开情况（包括会议名称、时间、地点、与会人员、主持人，会议研究的事项，若有利益相关方、公众、专家、媒体等列席会议应一并公开）制定会议方案时，应提出是否邀请有关方面人员列席会议、是否公开以及公开方式的意见，随会议方案一同报批。</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办公室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信息形成或变更之日起20个工作日内及时公开</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830" w:hRule="atLeast"/>
          <w:jc w:val="center"/>
        </w:trPr>
        <w:tc>
          <w:tcPr>
            <w:tcW w:w="119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法治建设</w:t>
            </w: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color w:val="000000"/>
                <w:kern w:val="0"/>
                <w:sz w:val="21"/>
                <w:szCs w:val="21"/>
              </w:rPr>
            </w:pP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color w:val="000000"/>
                <w:kern w:val="0"/>
                <w:sz w:val="21"/>
                <w:szCs w:val="21"/>
              </w:rPr>
            </w:pP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color w:val="000000"/>
                <w:kern w:val="0"/>
                <w:sz w:val="21"/>
                <w:szCs w:val="21"/>
              </w:rPr>
            </w:pP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color w:val="000000"/>
                <w:kern w:val="0"/>
                <w:sz w:val="21"/>
                <w:szCs w:val="21"/>
              </w:rPr>
            </w:pP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法治建设动态相关信息</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办公室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信息形成或变更之日起20个工作日内</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1172" w:hRule="atLeast"/>
          <w:jc w:val="center"/>
        </w:trPr>
        <w:tc>
          <w:tcPr>
            <w:tcW w:w="119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部门（单位）政府信息公开指南</w:t>
            </w: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办公室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及时公开并动态调整</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1550" w:hRule="atLeast"/>
          <w:jc w:val="center"/>
        </w:trPr>
        <w:tc>
          <w:tcPr>
            <w:tcW w:w="119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部门（单位）政府信息公开目录</w:t>
            </w:r>
          </w:p>
        </w:tc>
        <w:tc>
          <w:tcPr>
            <w:tcW w:w="170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318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政府信息主动公开基本目录</w:t>
            </w:r>
          </w:p>
        </w:tc>
        <w:tc>
          <w:tcPr>
            <w:tcW w:w="2374"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办公室</w:t>
            </w:r>
          </w:p>
        </w:tc>
        <w:tc>
          <w:tcPr>
            <w:tcW w:w="1829" w:type="dxa"/>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及时公开并动态调整</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1199" w:type="dxa"/>
            <w:vMerge w:val="restar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center"/>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政府信息公开</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年度报告</w:t>
            </w:r>
          </w:p>
        </w:tc>
        <w:tc>
          <w:tcPr>
            <w:tcW w:w="1701"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top"/>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911"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004"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760"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bookmarkStart w:id="0" w:name="_GoBack"/>
            <w:bookmarkEnd w:id="0"/>
          </w:p>
        </w:tc>
        <w:tc>
          <w:tcPr>
            <w:tcW w:w="3184"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2374"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办公室</w:t>
            </w:r>
          </w:p>
        </w:tc>
        <w:tc>
          <w:tcPr>
            <w:tcW w:w="1829"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每年3月31日前公开</w:t>
            </w: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0" w:type="dxa"/>
            <w:bottom w:w="0" w:type="dxa"/>
            <w:right w:w="0" w:type="dxa"/>
          </w:tblCellMar>
        </w:tblPrEx>
        <w:trPr>
          <w:trHeight w:val="312"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0" w:type="auto"/>
            <w:vMerge w:val="continue"/>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p>
        </w:tc>
        <w:tc>
          <w:tcPr>
            <w:tcW w:w="25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bl>
    <w:p>
      <w:pPr>
        <w:keepNext w:val="0"/>
        <w:keepLines w:val="0"/>
        <w:pageBreakBefore w:val="0"/>
        <w:kinsoku/>
        <w:wordWrap/>
        <w:overflowPunct/>
        <w:topLinePunct w:val="0"/>
        <w:autoSpaceDE/>
        <w:autoSpaceDN/>
        <w:bidi w:val="0"/>
        <w:adjustRightInd/>
        <w:snapToGrid/>
        <w:spacing w:line="340" w:lineRule="exact"/>
        <w:rPr>
          <w:rFonts w:hint="eastAsia" w:ascii="仿宋_GB2312" w:hAnsi="仿宋_GB2312" w:eastAsia="仿宋_GB2312" w:cs="仿宋_GB231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434D"/>
    <w:rsid w:val="0000434D"/>
    <w:rsid w:val="00035769"/>
    <w:rsid w:val="0078756A"/>
    <w:rsid w:val="00D024D1"/>
    <w:rsid w:val="00E04FAC"/>
    <w:rsid w:val="00E44420"/>
    <w:rsid w:val="00F320A7"/>
    <w:rsid w:val="45682807"/>
    <w:rsid w:val="61F7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245</Words>
  <Characters>1400</Characters>
  <Lines>11</Lines>
  <Paragraphs>3</Paragraphs>
  <TotalTime>47</TotalTime>
  <ScaleCrop>false</ScaleCrop>
  <LinksUpToDate>false</LinksUpToDate>
  <CharactersWithSpaces>1642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2021-07-12T03:12:00Z</dcterms:created>
  <dc:creator>微软用户</dc:creator>
  <cp:lastModifiedBy>白白白白</cp:lastModifiedBy>
  <dcterms:modified xsi:type="dcterms:W3CDTF">2021-07-28T00:08:08Z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CE7E7F8E35DB4EC885CBA40DE941D7F5</vt:lpwstr>
  </property>
</Properties>
</file>