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E6C9">
      <w:pPr>
        <w:jc w:val="center"/>
        <w:rPr>
          <w:rFonts w:ascii="Times New Roman" w:hAnsi="Times New Roman" w:eastAsia="方正小标宋简体" w:cs="方正小标宋_GBK"/>
          <w:sz w:val="40"/>
          <w:szCs w:val="48"/>
        </w:rPr>
      </w:pPr>
      <w:r>
        <w:rPr>
          <w:rFonts w:hint="eastAsia" w:ascii="Times New Roman" w:hAnsi="Times New Roman" w:eastAsia="方正小标宋简体" w:cs="方正小标宋_GBK"/>
          <w:sz w:val="40"/>
          <w:szCs w:val="48"/>
        </w:rPr>
        <w:t>2025年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eastAsia="zh-CN"/>
        </w:rPr>
        <w:t>1-9月</w:t>
      </w:r>
      <w:r>
        <w:rPr>
          <w:rFonts w:ascii="Times New Roman" w:hAnsi="Times New Roman" w:eastAsia="方正小标宋简体" w:cs="方正小标宋_GBK"/>
          <w:sz w:val="40"/>
          <w:szCs w:val="48"/>
        </w:rPr>
        <w:t>份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沂源县财政收支运行情况</w:t>
      </w:r>
    </w:p>
    <w:p w14:paraId="2849DFA1">
      <w:pPr>
        <w:jc w:val="left"/>
        <w:rPr>
          <w:rFonts w:ascii="Times New Roman" w:hAnsi="Times New Roman" w:eastAsia="黑体" w:cs="黑体"/>
          <w:sz w:val="40"/>
          <w:szCs w:val="48"/>
        </w:rPr>
      </w:pPr>
    </w:p>
    <w:p w14:paraId="003E1930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一般公共预算收入情况</w:t>
      </w:r>
    </w:p>
    <w:p w14:paraId="260818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1-9月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19.07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5.04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%。其中，税收收入完成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10.06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1.7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%。税收比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重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val="en-US" w:eastAsia="zh-CN"/>
        </w:rPr>
        <w:t>52.73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014F201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主要财政收入科目情况如下：</w:t>
      </w:r>
    </w:p>
    <w:p w14:paraId="22F11468">
      <w:pPr>
        <w:spacing w:line="560" w:lineRule="exact"/>
        <w:ind w:firstLine="640" w:firstLineChars="200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1.增值税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4.7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</w:t>
      </w:r>
      <w:r>
        <w:rPr>
          <w:rFonts w:hint="eastAsia" w:ascii="Times New Roman" w:hAnsi="Times New Roman" w:eastAsia="仿宋_GB2312"/>
          <w:sz w:val="32"/>
          <w:szCs w:val="28"/>
        </w:rPr>
        <w:t>增长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9.43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F17D73A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2.企业所得税</w:t>
      </w:r>
      <w:r>
        <w:rPr>
          <w:rFonts w:ascii="Times New Roman" w:hAnsi="Times New Roman" w:eastAsia="仿宋_GB2312" w:cs="仿宋_GB2312"/>
          <w:sz w:val="32"/>
          <w:szCs w:val="40"/>
        </w:rPr>
        <w:t>1.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97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9.09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1530542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3.个人所得税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5160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28"/>
        </w:rPr>
        <w:t>下降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  <w:t>46.08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34BD2F9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4.城市维护建设税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4069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eastAsia="zh-CN"/>
        </w:rPr>
        <w:t>增长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val="en-US" w:eastAsia="zh-CN"/>
        </w:rPr>
        <w:t>2.11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1B0EE94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5.车船税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1741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10.75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2055927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6</w:t>
      </w:r>
      <w:r>
        <w:rPr>
          <w:rFonts w:hint="eastAsia" w:ascii="Times New Roman" w:hAnsi="Times New Roman" w:eastAsia="仿宋_GB2312" w:cs="仿宋_GB2312"/>
          <w:sz w:val="32"/>
          <w:szCs w:val="40"/>
        </w:rPr>
        <w:t>.契税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6956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63.52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6E002F7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7</w:t>
      </w:r>
      <w:r>
        <w:rPr>
          <w:rFonts w:hint="eastAsia" w:ascii="Times New Roman" w:hAnsi="Times New Roman" w:eastAsia="仿宋_GB2312" w:cs="仿宋_GB2312"/>
          <w:sz w:val="32"/>
          <w:szCs w:val="40"/>
        </w:rPr>
        <w:t>.房产税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8686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10.88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8E3EBAB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一般公共预算支出情况</w:t>
      </w:r>
    </w:p>
    <w:p w14:paraId="1EB44D5F">
      <w:pPr>
        <w:ind w:firstLine="640" w:firstLineChars="200"/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1-9月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，全县一般公共预算支出完成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35.07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5.51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5A7AA437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主要财政支出科目情况如下：</w:t>
      </w:r>
    </w:p>
    <w:p w14:paraId="1D97D3E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1.教育支出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8.43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11.64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0E309D5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2.科学技术支出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762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10.25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486A98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3.文化旅游体育与传媒支出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2400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8.88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3D6B5E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4.社会保障和就业支出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8.29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亿元，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0.34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DE49B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5.卫生健康支出</w:t>
      </w:r>
      <w:r>
        <w:rPr>
          <w:rFonts w:ascii="Times New Roman" w:hAnsi="Times New Roman" w:eastAsia="仿宋_GB2312" w:cs="仿宋_GB2312"/>
          <w:color w:val="auto"/>
          <w:sz w:val="32"/>
          <w:szCs w:val="40"/>
        </w:rPr>
        <w:t>2.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亿元，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6E3244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6.节能环保支出</w:t>
      </w:r>
      <w:r>
        <w:rPr>
          <w:rFonts w:ascii="Times New Roman" w:hAnsi="Times New Roman" w:eastAsia="仿宋_GB2312" w:cs="仿宋_GB2312"/>
          <w:color w:val="auto"/>
          <w:sz w:val="32"/>
          <w:szCs w:val="40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746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46.22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8AA94E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7.城乡社区支出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3.42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406.16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90AC6A7">
      <w:pPr>
        <w:ind w:firstLine="420" w:firstLineChars="200"/>
      </w:pPr>
      <w:bookmarkStart w:id="0" w:name="_GoBack"/>
      <w:bookmarkEnd w:id="0"/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A2C50"/>
    <w:multiLevelType w:val="singleLevel"/>
    <w:tmpl w:val="52CA2C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E5268"/>
    <w:rsid w:val="1B2504AC"/>
    <w:rsid w:val="1F78768E"/>
    <w:rsid w:val="420A4F68"/>
    <w:rsid w:val="42EE5268"/>
    <w:rsid w:val="586E4FAA"/>
    <w:rsid w:val="5D366351"/>
    <w:rsid w:val="5E0D691D"/>
    <w:rsid w:val="690F793F"/>
    <w:rsid w:val="744A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2025-08-12T01:33:00Z</dcterms:created>
  <dc:creator>Administrator</dc:creator>
  <cp:lastModifiedBy>Administrator</cp:lastModifiedBy>
  <cp:lastPrinted>2025-09-04T01:24:00Z</cp:lastPrinted>
  <dcterms:modified xsi:type="dcterms:W3CDTF">2025-10-16T08:13:36Z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92BF3A5799624704AD6EF5D236357A74_11</vt:lpwstr>
  </property>
  <property fmtid="{D5CDD505-2E9C-101B-9397-08002B2CF9AE}" pid="4" name="KSOTemplateDocerSaveRecord">
    <vt:lpwstr>eyJoZGlkIjoiMGEyM2MzMTIwZGVkMDZiZjU0OTNmYmY3Y2RjZWRmMjQifQ==</vt:lpwstr>
  </property>
</Properties>
</file>