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2025年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1-8月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1-8月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17.86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5.26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9.46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3.24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重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52.96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  <w:bookmarkStart w:id="0" w:name="_GoBack"/>
      <w:bookmarkEnd w:id="0"/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4.38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8.24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ascii="Times New Roman" w:hAnsi="Times New Roman" w:eastAsia="仿宋_GB2312" w:cs="仿宋_GB2312"/>
          <w:sz w:val="32"/>
          <w:szCs w:val="40"/>
        </w:rPr>
        <w:t>1.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8.66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3430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>62.53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3565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1.44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1566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12.66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6683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68.93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8669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10.9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1-8月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31.24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5.67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7.51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13.32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727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8.9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2175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5.8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4.社会保障和就业支出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7.01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9.19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5.卫生健康支出</w:t>
      </w:r>
      <w:r>
        <w:rPr>
          <w:rFonts w:ascii="Times New Roman" w:hAnsi="Times New Roman" w:eastAsia="仿宋_GB2312" w:cs="仿宋_GB2312"/>
          <w:sz w:val="32"/>
          <w:szCs w:val="40"/>
        </w:rPr>
        <w:t>2.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3.02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6.节能环保支出</w:t>
      </w:r>
      <w:r>
        <w:rPr>
          <w:rFonts w:ascii="Times New Roman" w:hAnsi="Times New Roman" w:eastAsia="仿宋_GB2312" w:cs="仿宋_GB2312"/>
          <w:sz w:val="32"/>
          <w:szCs w:val="40"/>
        </w:rPr>
        <w:t>2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633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61.83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3.22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480.14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640" w:firstLineChars="200"/>
      </w:pPr>
      <w:r>
        <w:rPr>
          <w:rFonts w:hint="eastAsia" w:ascii="Times New Roman" w:hAnsi="Times New Roman" w:eastAsia="仿宋_GB2312" w:cs="仿宋_GB2312"/>
          <w:sz w:val="32"/>
          <w:szCs w:val="40"/>
        </w:rPr>
        <w:t>8.资源勘探信息等支出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1075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9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sectPr>
      <w:pgSz w:w="11906" w:h="16838"/>
      <w:pgMar w:top="85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1B2504AC"/>
    <w:rsid w:val="42EE5268"/>
    <w:rsid w:val="586E4FAA"/>
    <w:rsid w:val="744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cp:lastPrinted>2025-09-04T01:24:44Z</cp:lastPrinted>
  <dcterms:modified xsi:type="dcterms:W3CDTF">2025-09-04T01:29:43Z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