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2025年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1-7月</w:t>
      </w:r>
      <w:r>
        <w:rPr>
          <w:rFonts w:ascii="Times New Roman" w:hAnsi="Times New Roman" w:eastAsia="方正小标宋简体" w:cs="方正小标宋_GBK"/>
          <w:sz w:val="40"/>
          <w:szCs w:val="48"/>
        </w:rPr>
        <w:t>份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1-7月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16.13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3.11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8.73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54.1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11.34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ascii="Times New Roman" w:hAnsi="Times New Roman" w:eastAsia="仿宋_GB2312" w:cs="仿宋_GB2312"/>
          <w:sz w:val="32"/>
          <w:szCs w:val="40"/>
        </w:rPr>
        <w:t>1.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9.46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ascii="Times New Roman" w:hAnsi="Times New Roman" w:eastAsia="仿宋_GB2312" w:cs="仿宋_GB2312"/>
          <w:sz w:val="32"/>
          <w:szCs w:val="40"/>
        </w:rPr>
        <w:t>2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610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68.98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4.城市维护建设税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3147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4.05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5.车船税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1397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13.39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5651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56.06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8404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7.81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1-7月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，全县一般公共预算支出完成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27.31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6.14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6.69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17.46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697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9.24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1749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13.2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4.社会保障和就业支出</w:t>
      </w:r>
      <w:r>
        <w:rPr>
          <w:rFonts w:ascii="Times New Roman" w:hAnsi="Times New Roman" w:eastAsia="仿宋_GB2312" w:cs="仿宋_GB2312"/>
          <w:sz w:val="32"/>
          <w:szCs w:val="40"/>
        </w:rPr>
        <w:t>5.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9.25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5.卫生健康支出</w:t>
      </w:r>
      <w:r>
        <w:rPr>
          <w:rFonts w:ascii="Times New Roman" w:hAnsi="Times New Roman" w:eastAsia="仿宋_GB2312" w:cs="仿宋_GB2312"/>
          <w:sz w:val="32"/>
          <w:szCs w:val="40"/>
        </w:rPr>
        <w:t>2.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12.02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6.节能环保支出</w:t>
      </w:r>
      <w:r>
        <w:rPr>
          <w:rFonts w:ascii="Times New Roman" w:hAnsi="Times New Roman" w:eastAsia="仿宋_GB2312" w:cs="仿宋_GB2312"/>
          <w:sz w:val="32"/>
          <w:szCs w:val="40"/>
        </w:rPr>
        <w:t>25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ascii="Times New Roman" w:hAnsi="Times New Roman" w:eastAsia="仿宋_GB2312" w:cs="仿宋_GB2312"/>
          <w:sz w:val="32"/>
          <w:szCs w:val="40"/>
        </w:rPr>
        <w:t>1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48.18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2.25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392.22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90AC6A7">
      <w:pPr>
        <w:ind w:firstLine="640" w:firstLineChars="200"/>
      </w:pPr>
      <w:r>
        <w:rPr>
          <w:rFonts w:hint="eastAsia" w:ascii="Times New Roman" w:hAnsi="Times New Roman" w:eastAsia="仿宋_GB2312" w:cs="仿宋_GB2312"/>
          <w:sz w:val="32"/>
          <w:szCs w:val="40"/>
        </w:rPr>
        <w:t>8.资源勘探信息等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40"/>
        </w:rPr>
        <w:t>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1026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ascii="Times New Roman" w:hAnsi="Times New Roman" w:eastAsia="仿宋_GB2312" w:cs="仿宋_GB2312"/>
          <w:sz w:val="32"/>
          <w:szCs w:val="40"/>
        </w:rPr>
        <w:t>9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3.68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5268"/>
    <w:rsid w:val="42E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2025-08-12T01:33:00Z</dcterms:created>
  <dc:creator>Administrator</dc:creator>
  <cp:lastModifiedBy>Administrator</cp:lastModifiedBy>
  <dcterms:modified xsi:type="dcterms:W3CDTF">2025-08-12T01:34:14Z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92BF3A5799624704AD6EF5D236357A74_11</vt:lpwstr>
  </property>
  <property fmtid="{D5CDD505-2E9C-101B-9397-08002B2CF9AE}" pid="4" name="KSOTemplateDocerSaveRecord">
    <vt:lpwstr>eyJoZGlkIjoiMGEyM2MzMTIwZGVkMDZiZjU0OTNmYmY3Y2RjZWRmMjQifQ==</vt:lpwstr>
  </property>
</Properties>
</file>