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D949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2023年沂源县县级“三公”经费决算公开</w:t>
      </w:r>
    </w:p>
    <w:p w14:paraId="3C6B2B2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95489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预算法》《中华人民共和国预算法实施条例》以及现行相关规定，经汇总各部门公开数据，2023年，我县通过年一般公共预算财政拨款和以前年度结转结余资金安排的"三公"经费决算数为869.28万元，其中，因公出国（境）费0万元；公务用车购置及运行维护费793.61元，其中：公务用车购置费0万元，公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用车运行维护费793.61万元；公务接待费75.67万元，主要是各部门认真贯彻落实厉行节约有关规定，严控公务接待范围和开支标准，进一步压减相关支出。</w:t>
      </w:r>
    </w:p>
    <w:p w14:paraId="5ADAC79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注释与说明：</w:t>
      </w:r>
    </w:p>
    <w:p w14:paraId="6ACBED34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因公出国（境）费反映单位公务出国（境）的国际旅费、国外城市间交通费、住宿费、伙食费、培训费、公杂费等支出。据统计，2023年县本级因公出国（境）团组与累计人次分别为0个、0人次。</w:t>
      </w:r>
    </w:p>
    <w:p w14:paraId="2CB587F7"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务用车购置及运行维护费反映公务用车购置支出（含车辆购置税、牌照费）及按规定保留的公务用车租用费、燃料费、维修费、过桥过路费、保险费等支出。据统计，2023年县本级使用开支运行维护费的公务用车保有量445辆。</w:t>
      </w:r>
    </w:p>
    <w:p w14:paraId="4F150698">
      <w:pPr>
        <w:numPr>
          <w:ilvl w:val="0"/>
          <w:numId w:val="0"/>
        </w:numPr>
        <w:ind w:leftChars="20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3、公务接待费反映单位按规定开支的各类公务接待（含外宾接待）费用。据统计，2023年县本级公务接待批次与累计人次分别为1538批次、10073人次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6D8640"/>
    <w:multiLevelType w:val="singleLevel"/>
    <w:tmpl w:val="2A6D86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YTBkNGU0Y2RmN2FkNDhkNWQ3YmE3NmU2MTYyMzgifQ=="/>
  </w:docVars>
  <w:rsids>
    <w:rsidRoot w:val="00000000"/>
    <w:rsid w:val="1EEF7390"/>
    <w:rsid w:val="222E6632"/>
    <w:rsid w:val="4F60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521</Characters>
  <Lines>0</Lines>
  <Paragraphs>0</Paragraphs>
  <TotalTime>32</TotalTime>
  <ScaleCrop>false</ScaleCrop>
  <LinksUpToDate>false</LinksUpToDate>
  <CharactersWithSpaces>521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2023-11-02T05:36:00Z</dcterms:created>
  <dc:creator>Administrator</dc:creator>
  <cp:lastModifiedBy>韶华舞流年</cp:lastModifiedBy>
  <cp:lastPrinted>2023-11-02T05:54:00Z</cp:lastPrinted>
  <dcterms:modified xsi:type="dcterms:W3CDTF">2024-12-31T02:20:38Z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9AAF0D6A1533497AB3770E8772431933_13</vt:lpwstr>
  </property>
  <property fmtid="{D5CDD505-2E9C-101B-9397-08002B2CF9AE}" pid="4" name="KSOTemplateDocerSaveRecord">
    <vt:lpwstr>eyJoZGlkIjoiNmY5YTBkNGU0Y2RmN2FkNDhkNWQ3YmE3NmU2MTYyMzgiLCJ1c2VySWQiOiIxNTIzNTc2NjA4In0=</vt:lpwstr>
  </property>
</Properties>
</file>