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0752D">
      <w:pPr>
        <w:pStyle w:val="3"/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Cs w:val="44"/>
        </w:rPr>
      </w:pPr>
      <w:r>
        <w:rPr>
          <w:rFonts w:hint="eastAsia" w:ascii="方正小标宋简体" w:hAnsi="方正小标宋简体" w:eastAsia="方正小标宋简体" w:cs="方正小标宋简体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Cs w:val="44"/>
        </w:rPr>
        <w:t>沂源县财政局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2024年度法治政府建设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情况报告</w:t>
      </w:r>
      <w:bookmarkStart w:id="0" w:name="_GoBack"/>
      <w:bookmarkEnd w:id="0"/>
    </w:p>
    <w:p w14:paraId="5F24C293">
      <w:pPr>
        <w:overflowPunct w:val="0"/>
        <w:spacing w:line="57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 w14:paraId="0B7D6B8A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根据中共中央办公厅、国务院办公厅《法治政府建设与责任落实督察工作规定》的有关要求，县财政局坚持以习近平新时代中国特色社会主义思想为指导，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围绕上级财政部门法治财政建设和全县依法治县工作部署，把法治沂源建设重点工作融入财政中心工作，依法履行财政职能，法治建设取得明显成效。</w:t>
      </w:r>
      <w:r>
        <w:rPr>
          <w:rFonts w:hint="eastAsia" w:ascii="Times New Roman" w:hAnsi="Times New Roman" w:eastAsia="仿宋_GB2312"/>
          <w:sz w:val="32"/>
          <w:szCs w:val="32"/>
        </w:rPr>
        <w:t>现将</w:t>
      </w:r>
      <w:r>
        <w:rPr>
          <w:rFonts w:ascii="Times New Roman" w:hAnsi="Times New Roman" w:eastAsia="仿宋_GB2312"/>
          <w:sz w:val="32"/>
          <w:szCs w:val="32"/>
        </w:rPr>
        <w:t>2024</w:t>
      </w:r>
      <w:r>
        <w:rPr>
          <w:rFonts w:hint="eastAsia" w:ascii="Times New Roman" w:hAnsi="Times New Roman" w:eastAsia="仿宋_GB2312"/>
          <w:sz w:val="32"/>
          <w:szCs w:val="32"/>
        </w:rPr>
        <w:t>年度法治政府建设情况报告如下：</w:t>
      </w:r>
    </w:p>
    <w:p w14:paraId="15F6885A">
      <w:pPr>
        <w:overflowPunct w:val="0"/>
        <w:spacing w:line="560" w:lineRule="exact"/>
        <w:ind w:firstLine="640" w:firstLineChars="200"/>
        <w:rPr>
          <w:rFonts w:ascii="Times New Roman" w:hAnsi="Times New Roman" w:eastAsia="黑体" w:cs="黑体"/>
          <w:color w:val="0C0C0C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</w:t>
      </w:r>
      <w:r>
        <w:rPr>
          <w:rFonts w:hint="eastAsia" w:ascii="Times New Roman" w:hAnsi="Times New Roman" w:eastAsia="黑体" w:cs="黑体"/>
          <w:color w:val="0C0C0C"/>
          <w:kern w:val="0"/>
          <w:sz w:val="32"/>
          <w:szCs w:val="32"/>
        </w:rPr>
        <w:t>党政主要负责人履行推进法治建设第一责任人职责情况</w:t>
      </w:r>
    </w:p>
    <w:p w14:paraId="3C0197F7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（一）强化领导核心，完善协同机制，加强法制学习。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发挥党组总揽全局、协调各方的领导核心作用，坚持依法依规治党和法治财政建设的有机统一。坚决贯彻落实党组主要负责同志履行法治政府建设第一责任人制度，制定全局普法责任清单，列明工作内容，并明确牵头科室和责任科室。将习近平法治思想、宪法、法律法规和党内法规等列入局党组会议、局党组理论学习中心组学习的重要内容，严格落实会前学法制度，及时部署推进法治政府建设工作，为</w:t>
      </w:r>
      <w:r>
        <w:rPr>
          <w:rFonts w:ascii="Times New Roman" w:hAnsi="Times New Roman" w:eastAsia="仿宋_GB2312"/>
          <w:sz w:val="32"/>
          <w:szCs w:val="32"/>
        </w:rPr>
        <w:t>2024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年法治财政建设奠定了基础，确保我局法治建设工作有序开展。</w:t>
      </w:r>
    </w:p>
    <w:p w14:paraId="725B5449">
      <w:pPr>
        <w:pStyle w:val="15"/>
        <w:overflowPunct w:val="0"/>
        <w:autoSpaceDE/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（二）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</w:rPr>
        <w:t>继续加力税政审查，加强行政法规的执行监督。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做好财政政策措施合法性审核和公平竞争审查工作，严格遵守规范性文件制定程序并按要求做好定期清理工作。做好重大复杂行政处罚审核听证、行政复议、行政应诉和各类诉讼案件应诉等工作，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突出加大对合同、协议和各类会议纪要的合法合规性审查。通过聘请专业律师对各类涉法事项进行审核把关，确保财政事项依法依规开展，提高财政政策执行效能。</w:t>
      </w:r>
    </w:p>
    <w:p w14:paraId="4AAC4D0C">
      <w:pPr>
        <w:pStyle w:val="15"/>
        <w:overflowPunct w:val="0"/>
        <w:autoSpaceDE/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"/>
        </w:rPr>
        <w:t>（三）</w:t>
      </w: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</w:rPr>
        <w:t>认真履行财政职能，全面打造法治财政体系。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</w:rPr>
        <w:t>持续</w:t>
      </w:r>
      <w:r>
        <w:rPr>
          <w:rFonts w:hint="eastAsia" w:ascii="Times New Roman" w:hAnsi="Times New Roman" w:eastAsia="仿宋_GB2312" w:cs="仿宋_GB2312"/>
          <w:sz w:val="32"/>
          <w:szCs w:val="32"/>
        </w:rPr>
        <w:t>推进预算管理制度改革，强化预算管理一体化系统运用，确保预算执行的合法性和严肃性；加强预算绩效管理，严格事前绩效评估，强化绩效运行监控，推动绩效评价扩围提质。严格落实行政事业性收费制度，实现清单化公开化管理。</w:t>
      </w:r>
    </w:p>
    <w:p w14:paraId="62AD83B8">
      <w:pPr>
        <w:pStyle w:val="15"/>
        <w:overflowPunct w:val="0"/>
        <w:autoSpaceDE/>
        <w:spacing w:line="560" w:lineRule="exact"/>
        <w:ind w:firstLine="640" w:firstLineChars="200"/>
        <w:jc w:val="both"/>
        <w:rPr>
          <w:rFonts w:ascii="Times New Roman" w:hAnsi="Times New Roman"/>
          <w:color w:val="0C0C0C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"/>
        </w:rPr>
        <w:t>二、</w:t>
      </w:r>
      <w:r>
        <w:rPr>
          <w:rFonts w:hint="eastAsia" w:ascii="Times New Roman" w:hAnsi="Times New Roman"/>
          <w:sz w:val="32"/>
          <w:szCs w:val="32"/>
        </w:rPr>
        <w:t>推进法治政府建设的主要举措和成效</w:t>
      </w:r>
    </w:p>
    <w:p w14:paraId="77D49E3B">
      <w:pPr>
        <w:spacing w:line="560" w:lineRule="exact"/>
        <w:ind w:firstLine="42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 w:eastAsia="楷体_GB2312" w:cs="楷体_GB2312"/>
          <w:sz w:val="32"/>
          <w:szCs w:val="32"/>
        </w:rPr>
        <w:t>（一）加强制度建设，夯实法治财政基础。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完善预算管理制度。严格遵循《预算法》及其实施条例，构建全口径预算管理体系，规范预算编制、执行、调整和决算等各个环节，细化预算项目，提高预算编制的科学性和准确性，强化预算约束，严格控制预算追加，确保预算执行的严肃性。健全资金管理制度。针对财政资金分配、使用和监管等关键环节，制定一系列资金管理办法，如财政资金绩效评价办法，明确资金使用范围、审批流程和绩效目标，加强对资金流向和使用效益的监控，确保财政资金安全、规范、高效使用。规范政府采购制度。依据《政府采购法》及其实施条例，进一步完善政府采购操作规程，优化采购流程，加强采购预算管理，严格执行采购方式审批制度，推进政府采购信息公开，提高政府采购的透明度和公平性，有效节约财政资金，防范采购风险。</w:t>
      </w:r>
    </w:p>
    <w:p w14:paraId="52DB4052"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（二）深化体制机制改革，优化财政法治营商环境。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不断提升政务服务质量，打造“服务、有为”特色财政品牌。做好“互联网</w:t>
      </w:r>
      <w:r>
        <w:rPr>
          <w:rFonts w:ascii="Times New Roman" w:hAnsi="Times New Roman" w:eastAsia="仿宋_GB2312" w:cs="仿宋_GB2312"/>
          <w:sz w:val="32"/>
          <w:szCs w:val="32"/>
        </w:rPr>
        <w:t>+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监管”系统监管事项目录清单及实施清单的动态管理工作，按照要求及时录入检查数据。制定“双随机、一公开”抽查事项清单、年度抽查工作计划及抽查工作规范，并严格按照要求在政府网站公开抽查结果，保障公开透明。</w:t>
      </w:r>
    </w:p>
    <w:p w14:paraId="68DA1E8F">
      <w:pPr>
        <w:spacing w:line="560" w:lineRule="exact"/>
        <w:ind w:firstLine="640" w:firstLineChars="200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"/>
        </w:rPr>
        <w:t>（三）</w:t>
      </w:r>
      <w:r>
        <w:rPr>
          <w:rFonts w:hint="eastAsia" w:ascii="Times New Roman" w:hAnsi="Times New Roman" w:eastAsia="楷体_GB2312" w:cs="楷体_GB2312"/>
          <w:sz w:val="32"/>
          <w:szCs w:val="32"/>
        </w:rPr>
        <w:t>学习贯彻习近平法治思想，开展多样性法制学习宣传。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制定学法计划，由领导班子成员召开部署动员大会，按时学习，撰写心得体会，不断提升财政人员法律素养。进行多样化普法，针对《预算法》修改进行广泛讨论。打造法治文化阵地，利用大厅电子屏、流动宣传栏、微信公众号等载体、结合社区共建、普法下乡等活动开展普法宣传，将《预算法》《行政事业性国有资产管理条例》《宪法》《民法典》《行政处罚法》等列为宣传重点，落实普法责任，全面推动法治建设。</w:t>
      </w:r>
    </w:p>
    <w:p w14:paraId="28586D17">
      <w:pPr>
        <w:pStyle w:val="7"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</w:t>
      </w:r>
      <w:r>
        <w:rPr>
          <w:rFonts w:hint="eastAsia" w:ascii="Times New Roman" w:hAnsi="Times New Roman" w:eastAsia="黑体"/>
          <w:sz w:val="32"/>
          <w:szCs w:val="32"/>
        </w:rPr>
        <w:t>推进法治政府建设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存在的不足和原因</w:t>
      </w:r>
    </w:p>
    <w:p w14:paraId="369D61E3">
      <w:pPr>
        <w:pStyle w:val="7"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法治建设工作是一项长远工作，我局的法治财政建设与国家治理能力现代化的新要求相比，还存在差距和不足，主要表现在：一是部分人员重视不够。仍有部分财政干部对法治政府建设的重要性认识不足，存在重业务、轻法治的思想。二是行政执法监督力度有待加大。加强财政执法监督是促进法治财政建设的有效手段，目前我县财政执法监督方式较为单一，以预算绩效评价和会计监督检查为主，覆盖面窄，监督力度与财政职能适配性较低。以上问题的产生，主要是因为我局在普法学法的系统性和全面性上有待加强，法治培训的方式较为单一，法治财政建设的实效性还需进一步提升。</w:t>
      </w:r>
    </w:p>
    <w:p w14:paraId="36E96A8C">
      <w:pPr>
        <w:pStyle w:val="6"/>
        <w:shd w:val="clear" w:color="auto" w:fill="FFFFFF"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四、</w:t>
      </w:r>
      <w:r>
        <w:rPr>
          <w:rFonts w:ascii="Times New Roman" w:hAnsi="Times New Roman" w:eastAsia="黑体"/>
          <w:sz w:val="32"/>
          <w:szCs w:val="32"/>
        </w:rPr>
        <w:t>2025年推进法治政府建设的主要计划安排</w:t>
      </w:r>
    </w:p>
    <w:p w14:paraId="1957E293">
      <w:pPr>
        <w:pStyle w:val="6"/>
        <w:shd w:val="clear" w:color="auto" w:fill="FFFFFF"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楷体_GB2312" w:cs="楷体_GB2312"/>
          <w:sz w:val="32"/>
          <w:szCs w:val="32"/>
        </w:rPr>
        <w:t>（一）强化法治意识培育，完善制度体系。</w:t>
      </w:r>
      <w:r>
        <w:rPr>
          <w:rFonts w:ascii="Times New Roman" w:hAnsi="Times New Roman" w:eastAsia="仿宋_GB2312" w:cs="仿宋_GB2312"/>
          <w:sz w:val="32"/>
          <w:szCs w:val="32"/>
        </w:rPr>
        <w:t>开展定期法治培训，制定系统的培训计划，邀请法律专家、学者为全体财政干部进行法律知识讲座，内容涵盖新出台及修订的财政法律法规、行政法规等，通过线上课程、线下研讨相结合的方式，确保干部深入理解法治精神，提升法治素养。 加强财政制度的精细化建设，针对财政工作中的薄弱环节和风险点，进一步细化制度规定，明确操作流程和标准，堵塞制度漏洞，提高财政管理的规范化水平。</w:t>
      </w:r>
    </w:p>
    <w:p w14:paraId="0D92D0AD">
      <w:pPr>
        <w:pStyle w:val="6"/>
        <w:shd w:val="clear" w:color="auto" w:fill="FFFFFF"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楷体_GB2312" w:cs="楷体_GB2312"/>
          <w:sz w:val="32"/>
          <w:szCs w:val="32"/>
        </w:rPr>
        <w:t>（二）规范行政执法全过程。</w:t>
      </w:r>
      <w:r>
        <w:rPr>
          <w:rFonts w:ascii="Times New Roman" w:hAnsi="Times New Roman" w:eastAsia="仿宋_GB2312" w:cs="仿宋_GB2312"/>
          <w:sz w:val="32"/>
          <w:szCs w:val="32"/>
        </w:rPr>
        <w:t>深化行政执法“三项制度”改革，严格执行重大执法决定法制审核制度，成立由法制机构和业务骨干组成的法制审核小组，对重大行政处罚、行政许可、行政强制等执法行为进行全面审核。加大执法人员培训力度，定期组织执法人员参加业务培训和法律知识考试，鼓励执法人员参加法律职业资格考试，提高执法人员的专业素质和执法水平。同时，建立执法人员考核评价机制，不断强化执法人员的责任意识和规范意识。</w:t>
      </w:r>
    </w:p>
    <w:p w14:paraId="44B148A9">
      <w:pPr>
        <w:pStyle w:val="6"/>
        <w:shd w:val="clear" w:color="auto" w:fill="FFFFFF"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楷体_GB2312" w:cs="楷体_GB2312"/>
          <w:sz w:val="32"/>
          <w:szCs w:val="32"/>
        </w:rPr>
        <w:t>（三）内外结合，加强法治监督力度。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加强财政部门内部各业务科室之间的相互监督和制约，建立定期轮岗交流制度。强化法制机构对财政业务的日常监督检查，采取定期检查与随机抽查相结合的方式，对财政预算编制与执行、政府采购活动、财政资金使用等情况进行监督检查。拓宽外部监督渠道，充分利用互联网、大数据等信息技术手段，进一步完善政务公开平台。 </w:t>
      </w:r>
    </w:p>
    <w:p w14:paraId="60C7694C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2"/>
        </w:rPr>
      </w:pPr>
    </w:p>
    <w:p w14:paraId="6BF17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                    </w:t>
      </w:r>
    </w:p>
    <w:p w14:paraId="314EB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 w14:paraId="62B7C7C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仿宋_GB2312"/>
          <w:color w:val="000000"/>
          <w:kern w:val="0"/>
          <w:sz w:val="32"/>
          <w:szCs w:val="32"/>
        </w:rPr>
      </w:pPr>
    </w:p>
    <w:p w14:paraId="29ABCB58">
      <w:pPr>
        <w:pStyle w:val="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40"/>
        <w:rPr>
          <w:szCs w:val="22"/>
        </w:rPr>
      </w:pPr>
    </w:p>
    <w:p w14:paraId="4B1434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60" w:lineRule="exact"/>
        <w:ind w:firstLine="4800" w:firstLineChars="15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 w14:paraId="499C8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         </w:t>
      </w:r>
    </w:p>
    <w:p w14:paraId="02F542ED">
      <w:pPr>
        <w:overflowPunct w:val="0"/>
        <w:spacing w:line="570" w:lineRule="exact"/>
        <w:ind w:left="2520" w:firstLine="42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4" w:right="1587" w:bottom="1701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3BE0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2B3F09">
                          <w:pPr>
                            <w:pStyle w:val="4"/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2B3F09">
                    <w:pPr>
                      <w:pStyle w:val="4"/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>5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41BCD"/>
    <w:rsid w:val="0073540E"/>
    <w:rsid w:val="00C70B91"/>
    <w:rsid w:val="00DA6720"/>
    <w:rsid w:val="03ED75A2"/>
    <w:rsid w:val="05034955"/>
    <w:rsid w:val="064E3F0D"/>
    <w:rsid w:val="08DB31D7"/>
    <w:rsid w:val="08EC63B7"/>
    <w:rsid w:val="0ABE0149"/>
    <w:rsid w:val="0CBD1DF9"/>
    <w:rsid w:val="0FFA3C1C"/>
    <w:rsid w:val="110814D8"/>
    <w:rsid w:val="11345108"/>
    <w:rsid w:val="11A873C0"/>
    <w:rsid w:val="126B6753"/>
    <w:rsid w:val="12D30745"/>
    <w:rsid w:val="132854E4"/>
    <w:rsid w:val="13972EB8"/>
    <w:rsid w:val="16AF137B"/>
    <w:rsid w:val="172A4DE7"/>
    <w:rsid w:val="1822389E"/>
    <w:rsid w:val="18412D6A"/>
    <w:rsid w:val="197E7812"/>
    <w:rsid w:val="1A2455CF"/>
    <w:rsid w:val="1A6B7C09"/>
    <w:rsid w:val="1BA333BA"/>
    <w:rsid w:val="1C0A5983"/>
    <w:rsid w:val="1D587885"/>
    <w:rsid w:val="1E942B3C"/>
    <w:rsid w:val="1FE717B1"/>
    <w:rsid w:val="204A02A8"/>
    <w:rsid w:val="206348CB"/>
    <w:rsid w:val="23BE03D8"/>
    <w:rsid w:val="24A23461"/>
    <w:rsid w:val="25062A99"/>
    <w:rsid w:val="251B66B7"/>
    <w:rsid w:val="253D6E90"/>
    <w:rsid w:val="256B1406"/>
    <w:rsid w:val="265F6F65"/>
    <w:rsid w:val="27EFA3F0"/>
    <w:rsid w:val="28741BCD"/>
    <w:rsid w:val="289B740D"/>
    <w:rsid w:val="2953275E"/>
    <w:rsid w:val="29D85614"/>
    <w:rsid w:val="29DD47B2"/>
    <w:rsid w:val="2C3A7383"/>
    <w:rsid w:val="2CED1D18"/>
    <w:rsid w:val="2DFF249A"/>
    <w:rsid w:val="2DFF570B"/>
    <w:rsid w:val="2F4D3EA0"/>
    <w:rsid w:val="2F8EC586"/>
    <w:rsid w:val="3318088C"/>
    <w:rsid w:val="354B6802"/>
    <w:rsid w:val="359479BD"/>
    <w:rsid w:val="35B928B2"/>
    <w:rsid w:val="35DD1308"/>
    <w:rsid w:val="3894172E"/>
    <w:rsid w:val="38F022F8"/>
    <w:rsid w:val="3ABE06CF"/>
    <w:rsid w:val="3B7D2539"/>
    <w:rsid w:val="3BDF57C7"/>
    <w:rsid w:val="3F971E6A"/>
    <w:rsid w:val="3FD7B54C"/>
    <w:rsid w:val="42FE0D10"/>
    <w:rsid w:val="44216192"/>
    <w:rsid w:val="45FA3731"/>
    <w:rsid w:val="463C3A9F"/>
    <w:rsid w:val="46E9454B"/>
    <w:rsid w:val="48180B08"/>
    <w:rsid w:val="48644BB4"/>
    <w:rsid w:val="48C93BB0"/>
    <w:rsid w:val="49090A83"/>
    <w:rsid w:val="49D20DC7"/>
    <w:rsid w:val="4A301242"/>
    <w:rsid w:val="4A7B0B42"/>
    <w:rsid w:val="4DFC08CC"/>
    <w:rsid w:val="4E7E368F"/>
    <w:rsid w:val="519C6E16"/>
    <w:rsid w:val="521E1F15"/>
    <w:rsid w:val="522E717A"/>
    <w:rsid w:val="53BD3AD2"/>
    <w:rsid w:val="53E37401"/>
    <w:rsid w:val="544C3B1E"/>
    <w:rsid w:val="5459081E"/>
    <w:rsid w:val="55B1544B"/>
    <w:rsid w:val="55FEAC7F"/>
    <w:rsid w:val="5675BADE"/>
    <w:rsid w:val="576E21F1"/>
    <w:rsid w:val="57FFF9DC"/>
    <w:rsid w:val="597F2B0D"/>
    <w:rsid w:val="598A2EE8"/>
    <w:rsid w:val="59CB1561"/>
    <w:rsid w:val="5A212140"/>
    <w:rsid w:val="5AF72A21"/>
    <w:rsid w:val="5B0D676F"/>
    <w:rsid w:val="5B3752F1"/>
    <w:rsid w:val="5BCC1717"/>
    <w:rsid w:val="5BE80B9C"/>
    <w:rsid w:val="5C741C2D"/>
    <w:rsid w:val="5DB70023"/>
    <w:rsid w:val="5E412184"/>
    <w:rsid w:val="5FB7CA50"/>
    <w:rsid w:val="5FE70505"/>
    <w:rsid w:val="5FFC13D8"/>
    <w:rsid w:val="5FFDDC5A"/>
    <w:rsid w:val="604A71E1"/>
    <w:rsid w:val="60863D99"/>
    <w:rsid w:val="626612BD"/>
    <w:rsid w:val="62832486"/>
    <w:rsid w:val="63FF55CD"/>
    <w:rsid w:val="65BF7F08"/>
    <w:rsid w:val="67417A47"/>
    <w:rsid w:val="68E21D3F"/>
    <w:rsid w:val="6A8B3277"/>
    <w:rsid w:val="6ABB5D5A"/>
    <w:rsid w:val="6BECDB82"/>
    <w:rsid w:val="6BEEE261"/>
    <w:rsid w:val="6D476294"/>
    <w:rsid w:val="6D5713B9"/>
    <w:rsid w:val="6DADF237"/>
    <w:rsid w:val="6E3244D7"/>
    <w:rsid w:val="6E694B97"/>
    <w:rsid w:val="6F85F861"/>
    <w:rsid w:val="6FFEE0EF"/>
    <w:rsid w:val="72A40599"/>
    <w:rsid w:val="73AF6075"/>
    <w:rsid w:val="744646A3"/>
    <w:rsid w:val="75DF6E89"/>
    <w:rsid w:val="769CFEFC"/>
    <w:rsid w:val="76AE1744"/>
    <w:rsid w:val="76F62B52"/>
    <w:rsid w:val="775D5923"/>
    <w:rsid w:val="778EF0AF"/>
    <w:rsid w:val="779D4EC6"/>
    <w:rsid w:val="77B0704C"/>
    <w:rsid w:val="78C3508F"/>
    <w:rsid w:val="7A2F5B40"/>
    <w:rsid w:val="7A4D5B40"/>
    <w:rsid w:val="7A6FCA8D"/>
    <w:rsid w:val="7B190CFE"/>
    <w:rsid w:val="7BBF5F5C"/>
    <w:rsid w:val="7DBD26FF"/>
    <w:rsid w:val="7DE9EFBD"/>
    <w:rsid w:val="7E0930D4"/>
    <w:rsid w:val="7EBF8459"/>
    <w:rsid w:val="7F5766E4"/>
    <w:rsid w:val="7FDFAE9E"/>
    <w:rsid w:val="7FE7A2E8"/>
    <w:rsid w:val="7FFF1370"/>
    <w:rsid w:val="7FFF24D2"/>
    <w:rsid w:val="7FFFF88F"/>
    <w:rsid w:val="8FDF1599"/>
    <w:rsid w:val="9FFF1D90"/>
    <w:rsid w:val="BA7B23C6"/>
    <w:rsid w:val="BF7FD6D0"/>
    <w:rsid w:val="C77F8785"/>
    <w:rsid w:val="CDA56FB7"/>
    <w:rsid w:val="D17E7EB5"/>
    <w:rsid w:val="D89F342C"/>
    <w:rsid w:val="DADF4465"/>
    <w:rsid w:val="DBE5392B"/>
    <w:rsid w:val="DCF354D8"/>
    <w:rsid w:val="DDFCF834"/>
    <w:rsid w:val="DEEAD79F"/>
    <w:rsid w:val="DF52A5DB"/>
    <w:rsid w:val="EBD69E9A"/>
    <w:rsid w:val="ECE7E499"/>
    <w:rsid w:val="ED1F7E4A"/>
    <w:rsid w:val="EEFF688F"/>
    <w:rsid w:val="EF75C09D"/>
    <w:rsid w:val="EF7F0D0E"/>
    <w:rsid w:val="EF7F1A61"/>
    <w:rsid w:val="F6B68A8F"/>
    <w:rsid w:val="F6D61C42"/>
    <w:rsid w:val="FA2FE945"/>
    <w:rsid w:val="FAFF0BC1"/>
    <w:rsid w:val="FD5F8EDA"/>
    <w:rsid w:val="FD6BD706"/>
    <w:rsid w:val="FDF33853"/>
    <w:rsid w:val="FE3F5BB4"/>
    <w:rsid w:val="FE734873"/>
    <w:rsid w:val="FEFF2855"/>
    <w:rsid w:val="FF9F4F23"/>
    <w:rsid w:val="FFB7233F"/>
    <w:rsid w:val="FFBFC78E"/>
    <w:rsid w:val="FFCF79BA"/>
    <w:rsid w:val="FFF5C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99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宋体" w:hAnsi="Times New Roman" w:eastAsia="宋体" w:cs="Times New Roman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TML Preformatted"/>
    <w:basedOn w:val="1"/>
    <w:link w:val="17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8">
    <w:name w:val="Body Text First Indent"/>
    <w:basedOn w:val="3"/>
    <w:qFormat/>
    <w:uiPriority w:val="0"/>
    <w:pPr>
      <w:ind w:firstLine="420" w:firstLineChars="100"/>
    </w:pPr>
    <w:rPr>
      <w:rFonts w:ascii="Times New Roman"/>
    </w:rPr>
  </w:style>
  <w:style w:type="character" w:styleId="11">
    <w:name w:val="Strong"/>
    <w:basedOn w:val="10"/>
    <w:qFormat/>
    <w:uiPriority w:val="99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000000"/>
      <w:u w:val="none"/>
    </w:rPr>
  </w:style>
  <w:style w:type="character" w:styleId="14">
    <w:name w:val="Hyperlink"/>
    <w:basedOn w:val="10"/>
    <w:qFormat/>
    <w:uiPriority w:val="0"/>
    <w:rPr>
      <w:color w:val="000000"/>
      <w:u w:val="none"/>
    </w:rPr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黑体"/>
      <w:color w:val="000000"/>
      <w:sz w:val="24"/>
      <w:szCs w:val="24"/>
      <w:lang w:val="en-US" w:eastAsia="zh-CN" w:bidi="ar-SA"/>
    </w:rPr>
  </w:style>
  <w:style w:type="character" w:customStyle="1" w:styleId="16">
    <w:name w:val="tz_input"/>
    <w:basedOn w:val="10"/>
    <w:qFormat/>
    <w:uiPriority w:val="0"/>
    <w:rPr>
      <w:color w:val="A01211"/>
      <w:sz w:val="19"/>
      <w:szCs w:val="19"/>
    </w:rPr>
  </w:style>
  <w:style w:type="character" w:customStyle="1" w:styleId="17">
    <w:name w:val="HTML 预设格式 Char"/>
    <w:basedOn w:val="10"/>
    <w:link w:val="6"/>
    <w:uiPriority w:val="0"/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2318</Words>
  <Characters>2330</Characters>
  <Lines>1</Lines>
  <Paragraphs>4</Paragraphs>
  <TotalTime>16</TotalTime>
  <ScaleCrop>false</ScaleCrop>
  <LinksUpToDate>false</LinksUpToDate>
  <CharactersWithSpaces>2370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2020-02-19T15:20:00Z</dcterms:created>
  <dc:creator>山东省司法厅</dc:creator>
  <cp:lastModifiedBy>Federer</cp:lastModifiedBy>
  <dcterms:modified xsi:type="dcterms:W3CDTF">2025-02-19T06:11:33Z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9378CD3C437947D2AC665F77D1F3277C_12</vt:lpwstr>
  </property>
  <property fmtid="{D5CDD505-2E9C-101B-9397-08002B2CF9AE}" pid="4" name="KSOTemplateDocerSaveRecord">
    <vt:lpwstr>eyJoZGlkIjoiMjQ0YzdlYWY3Yjk5MTllYTllMDJmN2VlNTVhNDY1ZWIiLCJ1c2VySWQiOiIxMzQwMzgyMzg0In0=</vt:lpwstr>
  </property>
</Properties>
</file>