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spacing w:line="560" w:lineRule="exact"/>
        <w:jc w:val="both"/>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val="0"/>
        <w:topLinePunct w:val="0"/>
        <w:autoSpaceDE/>
        <w:autoSpaceDN/>
        <w:bidi w:val="0"/>
        <w:adjustRightIn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w:t>
      </w:r>
      <w:r>
        <w:rPr>
          <w:rFonts w:hint="eastAsia" w:ascii="Times New Roman" w:hAnsi="Times New Roman" w:eastAsia="方正小标宋简体" w:cs="Times New Roman"/>
          <w:sz w:val="44"/>
          <w:szCs w:val="44"/>
          <w:lang w:eastAsia="zh-CN"/>
        </w:rPr>
        <w:t>沂源县财政局党</w:t>
      </w:r>
      <w:r>
        <w:rPr>
          <w:rFonts w:hint="default" w:ascii="Times New Roman" w:hAnsi="Times New Roman" w:eastAsia="方正小标宋简体" w:cs="Times New Roman"/>
          <w:sz w:val="44"/>
          <w:szCs w:val="44"/>
          <w:lang w:eastAsia="zh-CN"/>
        </w:rPr>
        <w:t>组</w:t>
      </w:r>
    </w:p>
    <w:p>
      <w:pPr>
        <w:keepNext w:val="0"/>
        <w:keepLines w:val="0"/>
        <w:pageBreakBefore w:val="0"/>
        <w:widowControl w:val="0"/>
        <w:kinsoku/>
        <w:wordWrap/>
        <w:overflowPunct w:val="0"/>
        <w:topLinePunct w:val="0"/>
        <w:autoSpaceDE/>
        <w:autoSpaceDN/>
        <w:bidi w:val="0"/>
        <w:adjustRightIn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关于</w:t>
      </w:r>
      <w:r>
        <w:rPr>
          <w:rFonts w:hint="default" w:ascii="Times New Roman" w:hAnsi="Times New Roman" w:eastAsia="方正小标宋简体" w:cs="Times New Roman"/>
          <w:kern w:val="0"/>
          <w:sz w:val="44"/>
          <w:szCs w:val="44"/>
        </w:rPr>
        <w:t>20</w:t>
      </w:r>
      <w:r>
        <w:rPr>
          <w:rFonts w:hint="default" w:ascii="Times New Roman" w:hAnsi="Times New Roman" w:eastAsia="方正小标宋简体" w:cs="Times New Roman"/>
          <w:kern w:val="0"/>
          <w:sz w:val="44"/>
          <w:szCs w:val="44"/>
          <w:lang w:val="en-US" w:eastAsia="zh-CN"/>
        </w:rPr>
        <w:t>23</w:t>
      </w:r>
      <w:r>
        <w:rPr>
          <w:rFonts w:hint="default" w:ascii="Times New Roman" w:hAnsi="Times New Roman" w:eastAsia="方正小标宋简体" w:cs="Times New Roman"/>
          <w:kern w:val="0"/>
          <w:sz w:val="44"/>
          <w:szCs w:val="44"/>
        </w:rPr>
        <w:t>年度法治政府建设</w:t>
      </w:r>
      <w:r>
        <w:rPr>
          <w:rFonts w:hint="default" w:ascii="Times New Roman" w:hAnsi="Times New Roman" w:eastAsia="方正小标宋简体" w:cs="Times New Roman"/>
          <w:kern w:val="0"/>
          <w:sz w:val="44"/>
          <w:szCs w:val="44"/>
          <w:lang w:eastAsia="zh-CN"/>
        </w:rPr>
        <w:t>工作的</w:t>
      </w:r>
      <w:r>
        <w:rPr>
          <w:rFonts w:hint="default" w:ascii="Times New Roman" w:hAnsi="Times New Roman" w:eastAsia="方正小标宋简体" w:cs="Times New Roman"/>
          <w:kern w:val="0"/>
          <w:sz w:val="44"/>
          <w:szCs w:val="44"/>
        </w:rPr>
        <w:t>报告</w:t>
      </w:r>
    </w:p>
    <w:p>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pacing w:line="56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default" w:ascii="Times New Roman" w:hAnsi="Times New Roman" w:eastAsia="仿宋_GB2312" w:cs="Times New Roman"/>
          <w:color w:val="auto"/>
          <w:sz w:val="32"/>
          <w:szCs w:val="32"/>
          <w:lang w:val="en-US" w:eastAsia="zh-CN"/>
        </w:rPr>
        <w:t>2023</w:t>
      </w:r>
      <w:r>
        <w:rPr>
          <w:rFonts w:hint="eastAsia" w:ascii="Times New Roman" w:hAnsi="Times New Roman" w:eastAsia="仿宋_GB2312" w:cs="仿宋_GB2312"/>
          <w:color w:val="auto"/>
          <w:sz w:val="32"/>
          <w:szCs w:val="32"/>
          <w:lang w:val="en-US" w:eastAsia="zh-CN"/>
        </w:rPr>
        <w:t>年以来，在县委、县政府的</w:t>
      </w:r>
      <w:r>
        <w:rPr>
          <w:rFonts w:hint="eastAsia" w:ascii="Times New Roman" w:hAnsi="Times New Roman" w:eastAsia="仿宋_GB2312" w:cs="仿宋_GB2312"/>
          <w:color w:val="000000"/>
          <w:kern w:val="0"/>
          <w:sz w:val="31"/>
          <w:szCs w:val="31"/>
          <w:lang w:val="en-US" w:eastAsia="zh-CN" w:bidi="ar"/>
        </w:rPr>
        <w:t>坚强领导</w:t>
      </w:r>
      <w:r>
        <w:rPr>
          <w:rFonts w:hint="eastAsia" w:ascii="Times New Roman" w:hAnsi="Times New Roman" w:eastAsia="仿宋_GB2312" w:cs="仿宋_GB2312"/>
          <w:color w:val="auto"/>
          <w:sz w:val="32"/>
          <w:szCs w:val="32"/>
          <w:lang w:val="en-US" w:eastAsia="zh-CN"/>
        </w:rPr>
        <w:t>下，</w:t>
      </w:r>
      <w:r>
        <w:rPr>
          <w:rFonts w:hint="eastAsia" w:ascii="Times New Roman" w:hAnsi="Times New Roman" w:eastAsia="仿宋_GB2312" w:cs="仿宋_GB2312"/>
          <w:color w:val="auto"/>
          <w:sz w:val="32"/>
          <w:szCs w:val="32"/>
          <w:shd w:val="clear" w:color="auto" w:fill="auto"/>
          <w:lang w:val="en-US" w:eastAsia="zh-CN"/>
        </w:rPr>
        <w:t>县财政局坚持以习近平新时代中国特色社会主义思想为指导，深入贯彻落实习近平法治思想，紧紧围绕上级财政部门法治财政建设和全县依法治县工作部署，</w:t>
      </w:r>
      <w:r>
        <w:rPr>
          <w:rFonts w:hint="eastAsia" w:ascii="Times New Roman" w:hAnsi="Times New Roman" w:eastAsia="仿宋_GB2312" w:cs="仿宋_GB2312"/>
          <w:color w:val="000000"/>
          <w:kern w:val="0"/>
          <w:sz w:val="31"/>
          <w:szCs w:val="31"/>
          <w:shd w:val="clear" w:color="auto" w:fill="auto"/>
          <w:lang w:val="en-US" w:eastAsia="zh-CN" w:bidi="ar"/>
        </w:rPr>
        <w:t>积极推动</w:t>
      </w:r>
      <w:r>
        <w:rPr>
          <w:rFonts w:ascii="Times New Roman" w:hAnsi="Times New Roman" w:eastAsia="仿宋_GB2312" w:cs="仿宋_GB2312"/>
          <w:color w:val="000000"/>
          <w:kern w:val="0"/>
          <w:sz w:val="31"/>
          <w:szCs w:val="31"/>
          <w:shd w:val="clear" w:color="auto" w:fill="auto"/>
          <w:lang w:val="en-US" w:eastAsia="zh-CN" w:bidi="ar"/>
        </w:rPr>
        <w:t>习近平法治思想</w:t>
      </w:r>
      <w:r>
        <w:rPr>
          <w:rFonts w:hint="eastAsia" w:ascii="Times New Roman" w:hAnsi="Times New Roman" w:eastAsia="仿宋_GB2312" w:cs="仿宋_GB2312"/>
          <w:color w:val="000000"/>
          <w:kern w:val="0"/>
          <w:sz w:val="31"/>
          <w:szCs w:val="31"/>
          <w:shd w:val="clear" w:color="auto" w:fill="auto"/>
          <w:lang w:val="en-US" w:eastAsia="zh-CN" w:bidi="ar"/>
        </w:rPr>
        <w:t>同法治财政建设相结合</w:t>
      </w:r>
      <w:r>
        <w:rPr>
          <w:rFonts w:hint="eastAsia" w:ascii="Times New Roman" w:hAnsi="Times New Roman" w:eastAsia="仿宋_GB2312" w:cs="仿宋_GB2312"/>
          <w:color w:val="auto"/>
          <w:sz w:val="32"/>
          <w:szCs w:val="32"/>
          <w:shd w:val="clear" w:color="auto" w:fill="auto"/>
          <w:lang w:val="en-US" w:eastAsia="zh-CN"/>
        </w:rPr>
        <w:t>，依法履行财政职能，法治建设取得明显成效。</w:t>
      </w:r>
      <w:r>
        <w:rPr>
          <w:rFonts w:hint="default" w:ascii="Times New Roman" w:hAnsi="Times New Roman" w:eastAsia="仿宋_GB2312" w:cs="Times New Roman"/>
          <w:kern w:val="2"/>
          <w:sz w:val="32"/>
          <w:szCs w:val="32"/>
          <w:shd w:val="clear" w:color="auto" w:fill="auto"/>
          <w:lang w:val="en-US" w:eastAsia="zh-CN" w:bidi="ar-SA"/>
        </w:rPr>
        <w:t>现将2023年度法治政府建设情况报告如下：</w:t>
      </w:r>
    </w:p>
    <w:p>
      <w:pPr>
        <w:keepNext w:val="0"/>
        <w:keepLines w:val="0"/>
        <w:pageBreakBefore w:val="0"/>
        <w:widowControl w:val="0"/>
        <w:numPr>
          <w:ilvl w:val="0"/>
          <w:numId w:val="0"/>
        </w:numPr>
        <w:suppressLineNumbers w:val="0"/>
        <w:kinsoku/>
        <w:wordWrap/>
        <w:overflowPunct w:val="0"/>
        <w:topLinePunct w:val="0"/>
        <w:autoSpaceDE/>
        <w:autoSpaceDN/>
        <w:bidi w:val="0"/>
        <w:spacing w:line="560" w:lineRule="exact"/>
        <w:ind w:firstLine="640" w:firstLineChars="200"/>
        <w:jc w:val="both"/>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黑体" w:cs="Times New Roman"/>
          <w:sz w:val="32"/>
          <w:szCs w:val="32"/>
          <w:lang w:eastAsia="zh-CN"/>
        </w:rPr>
        <w:t>一、推进</w:t>
      </w:r>
      <w:r>
        <w:rPr>
          <w:rFonts w:hint="default" w:ascii="Times New Roman" w:hAnsi="Times New Roman" w:eastAsia="黑体" w:cs="Times New Roman"/>
          <w:sz w:val="32"/>
          <w:szCs w:val="32"/>
        </w:rPr>
        <w:t>法治政府建设的主要举措和成效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kern w:val="0"/>
          <w:sz w:val="32"/>
          <w:szCs w:val="32"/>
          <w:shd w:val="clear" w:color="FFFFFF" w:fill="D9D9D9"/>
          <w:lang w:val="en-US" w:eastAsia="zh-CN"/>
        </w:rPr>
      </w:pPr>
      <w:r>
        <w:rPr>
          <w:rFonts w:hint="eastAsia" w:ascii="Times New Roman" w:hAnsi="Times New Roman" w:eastAsia="楷体_GB2312" w:cs="楷体_GB2312"/>
          <w:color w:val="auto"/>
          <w:sz w:val="32"/>
          <w:szCs w:val="32"/>
          <w:lang w:val="en-US" w:eastAsia="zh-CN"/>
        </w:rPr>
        <w:t>（一）深入学习贯彻习近平法治思想，财政法治建设更加有力。</w:t>
      </w:r>
      <w:r>
        <w:rPr>
          <w:rFonts w:hint="eastAsia" w:ascii="Times New Roman" w:hAnsi="Times New Roman" w:eastAsia="仿宋_GB2312" w:cs="仿宋_GB2312"/>
          <w:color w:val="auto"/>
          <w:sz w:val="32"/>
          <w:szCs w:val="32"/>
          <w:lang w:val="en-US" w:eastAsia="zh-CN"/>
        </w:rPr>
        <w:t>一是</w:t>
      </w:r>
      <w:r>
        <w:rPr>
          <w:rFonts w:hint="eastAsia" w:ascii="Times New Roman" w:hAnsi="Times New Roman" w:eastAsia="仿宋_GB2312" w:cs="仿宋_GB2312"/>
          <w:color w:val="000000"/>
          <w:kern w:val="0"/>
          <w:sz w:val="32"/>
          <w:szCs w:val="32"/>
          <w:lang w:eastAsia="zh-CN" w:bidi="ar"/>
        </w:rPr>
        <w:t>强化</w:t>
      </w:r>
      <w:r>
        <w:rPr>
          <w:rFonts w:hint="eastAsia" w:ascii="Times New Roman" w:hAnsi="Times New Roman" w:eastAsia="仿宋_GB2312" w:cs="仿宋_GB2312"/>
          <w:color w:val="000000"/>
          <w:kern w:val="0"/>
          <w:sz w:val="32"/>
          <w:szCs w:val="32"/>
          <w:lang w:val="en-US" w:eastAsia="zh-CN" w:bidi="ar"/>
        </w:rPr>
        <w:t>党组理论中心组学习</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将习近平法治思想纳入局党组理论中心组学习的重要议题，列入机关</w:t>
      </w:r>
      <w:r>
        <w:rPr>
          <w:rFonts w:hint="eastAsia" w:ascii="Times New Roman" w:hAnsi="Times New Roman" w:eastAsia="仿宋_GB2312" w:cs="仿宋_GB2312"/>
          <w:color w:val="000000"/>
          <w:kern w:val="0"/>
          <w:sz w:val="32"/>
          <w:szCs w:val="32"/>
          <w:lang w:eastAsia="zh-CN" w:bidi="ar"/>
        </w:rPr>
        <w:t>干部</w:t>
      </w:r>
      <w:r>
        <w:rPr>
          <w:rFonts w:hint="eastAsia" w:ascii="Times New Roman" w:hAnsi="Times New Roman" w:eastAsia="仿宋_GB2312" w:cs="仿宋_GB2312"/>
          <w:color w:val="000000"/>
          <w:kern w:val="0"/>
          <w:sz w:val="32"/>
          <w:szCs w:val="32"/>
          <w:lang w:val="en-US" w:eastAsia="zh-CN" w:bidi="ar"/>
        </w:rPr>
        <w:t>学习教育计划，在国家宪法日、宪法宣传周、民法典宣传月等重要时间节点集中组织学习宣传，</w:t>
      </w:r>
      <w:r>
        <w:rPr>
          <w:rFonts w:hint="eastAsia" w:ascii="Times New Roman" w:hAnsi="Times New Roman" w:eastAsia="仿宋_GB2312" w:cs="仿宋_GB2312"/>
          <w:color w:val="000000"/>
          <w:kern w:val="0"/>
          <w:sz w:val="32"/>
          <w:szCs w:val="32"/>
          <w:lang w:eastAsia="zh-CN" w:bidi="ar"/>
        </w:rPr>
        <w:t>重点学习了</w:t>
      </w:r>
      <w:r>
        <w:rPr>
          <w:rFonts w:hint="eastAsia" w:ascii="Times New Roman" w:hAnsi="Times New Roman" w:eastAsia="仿宋_GB2312" w:cs="仿宋_GB2312"/>
          <w:color w:val="000000"/>
          <w:kern w:val="0"/>
          <w:sz w:val="31"/>
          <w:szCs w:val="31"/>
          <w:lang w:val="en-US" w:eastAsia="zh-CN" w:bidi="ar"/>
        </w:rPr>
        <w:t>《优化营商环境条例》《党政领导干部选拔任用工作条例》《中国共产党章程》等制度法规</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lang w:val="en-US" w:eastAsia="zh-CN"/>
        </w:rPr>
        <w:t>推进财政领导干部带头运用习近平法治思想解决问题，切实增强财政</w:t>
      </w:r>
      <w:r>
        <w:rPr>
          <w:rFonts w:hint="eastAsia" w:ascii="Times New Roman" w:hAnsi="Times New Roman" w:eastAsia="仿宋_GB2312" w:cs="仿宋_GB2312"/>
          <w:color w:val="auto"/>
          <w:sz w:val="32"/>
          <w:szCs w:val="32"/>
          <w:lang w:eastAsia="zh-CN"/>
        </w:rPr>
        <w:t>干部</w:t>
      </w:r>
      <w:r>
        <w:rPr>
          <w:rFonts w:hint="eastAsia" w:ascii="Times New Roman" w:hAnsi="Times New Roman" w:eastAsia="仿宋_GB2312" w:cs="仿宋_GB2312"/>
          <w:color w:val="auto"/>
          <w:sz w:val="32"/>
          <w:szCs w:val="32"/>
          <w:lang w:val="en-US" w:eastAsia="zh-CN"/>
        </w:rPr>
        <w:t>运用法治思维和法治方式化解矛盾、维护稳定的能力。二是</w:t>
      </w:r>
      <w:r>
        <w:rPr>
          <w:rFonts w:hint="eastAsia" w:ascii="Times New Roman" w:hAnsi="Times New Roman" w:eastAsia="仿宋_GB2312" w:cs="仿宋_GB2312"/>
          <w:b w:val="0"/>
          <w:bCs w:val="0"/>
          <w:color w:val="auto"/>
          <w:sz w:val="32"/>
          <w:szCs w:val="32"/>
          <w:lang w:val="en-US" w:eastAsia="zh-CN"/>
        </w:rPr>
        <w:t>学习</w:t>
      </w:r>
      <w:r>
        <w:rPr>
          <w:rFonts w:hint="eastAsia" w:ascii="Times New Roman" w:hAnsi="Times New Roman" w:eastAsia="仿宋_GB2312" w:cs="仿宋_GB2312"/>
          <w:b w:val="0"/>
          <w:bCs w:val="0"/>
          <w:color w:val="auto"/>
          <w:sz w:val="32"/>
          <w:szCs w:val="32"/>
          <w:lang w:eastAsia="zh-CN"/>
        </w:rPr>
        <w:t>落实</w:t>
      </w:r>
      <w:r>
        <w:rPr>
          <w:rFonts w:hint="eastAsia" w:ascii="Times New Roman" w:hAnsi="Times New Roman" w:eastAsia="仿宋_GB2312" w:cs="仿宋_GB2312"/>
          <w:b w:val="0"/>
          <w:bCs w:val="0"/>
          <w:color w:val="auto"/>
          <w:sz w:val="32"/>
          <w:szCs w:val="32"/>
          <w:lang w:val="en-US" w:eastAsia="zh-CN"/>
        </w:rPr>
        <w:t>党内法规。深入贯彻落实习近平总书记关于法治建设的重要指示，将</w:t>
      </w:r>
      <w:r>
        <w:rPr>
          <w:rFonts w:hint="eastAsia" w:ascii="Times New Roman" w:hAnsi="Times New Roman" w:eastAsia="仿宋_GB2312" w:cs="仿宋_GB2312"/>
          <w:color w:val="auto"/>
          <w:kern w:val="0"/>
          <w:sz w:val="32"/>
          <w:szCs w:val="32"/>
        </w:rPr>
        <w:t>党内法规学习融入财政法治宣传教育工作，促进全局党员牢固树立</w:t>
      </w:r>
      <w:r>
        <w:rPr>
          <w:rFonts w:hint="eastAsia" w:ascii="Times New Roman" w:hAnsi="Times New Roman" w:eastAsia="仿宋_GB2312" w:cs="仿宋_GB2312"/>
          <w:color w:val="auto"/>
          <w:kern w:val="0"/>
          <w:sz w:val="32"/>
          <w:szCs w:val="32"/>
          <w:lang w:eastAsia="zh-CN"/>
        </w:rPr>
        <w:t>廉洁意识</w:t>
      </w:r>
      <w:r>
        <w:rPr>
          <w:rFonts w:hint="eastAsia" w:ascii="Times New Roman" w:hAnsi="Times New Roman" w:eastAsia="仿宋_GB2312" w:cs="仿宋_GB2312"/>
          <w:color w:val="auto"/>
          <w:kern w:val="0"/>
          <w:sz w:val="32"/>
          <w:szCs w:val="32"/>
        </w:rPr>
        <w:t>、纪律意识和规矩意识。大力宣传中国共产党廉洁自律准则、中国共产党纪律处分条例等各项党内法规，注重党内法规宣传与国家法律宣传的衔接和协调，教育引导广大党员做党规党纪和国家法律的自觉尊崇者、模范遵守者、坚定捍卫者。</w:t>
      </w:r>
      <w:r>
        <w:rPr>
          <w:rFonts w:hint="eastAsia" w:ascii="Times New Roman" w:hAnsi="Times New Roman" w:eastAsia="仿宋_GB2312" w:cs="仿宋_GB2312"/>
          <w:color w:val="auto"/>
          <w:kern w:val="0"/>
          <w:sz w:val="32"/>
          <w:szCs w:val="32"/>
          <w:lang w:val="en-US" w:eastAsia="zh-CN"/>
        </w:rPr>
        <w:t>三是持续深化财政体制改革。严格按照《预算法》要求，以预算管理一体化运行平台为依托，</w:t>
      </w:r>
      <w:r>
        <w:rPr>
          <w:rFonts w:hint="eastAsia" w:ascii="Times New Roman" w:hAnsi="Times New Roman" w:eastAsia="仿宋_GB2312" w:cs="仿宋_GB2312"/>
          <w:color w:val="auto"/>
          <w:sz w:val="32"/>
          <w:szCs w:val="32"/>
          <w:shd w:val="clear" w:color="auto" w:fill="auto"/>
        </w:rPr>
        <w:t>加强预算项目全生命周期与预算管理的衔接</w:t>
      </w:r>
      <w:r>
        <w:rPr>
          <w:rFonts w:hint="eastAsia" w:ascii="Times New Roman" w:hAnsi="Times New Roman" w:eastAsia="仿宋_GB2312" w:cs="仿宋_GB2312"/>
          <w:color w:val="auto"/>
          <w:sz w:val="32"/>
          <w:szCs w:val="32"/>
          <w:shd w:val="clear" w:color="auto" w:fill="auto"/>
          <w:lang w:eastAsia="zh-CN"/>
        </w:rPr>
        <w:t>，进一步规范预算执行；深化预算绩效管理，按照预算绩效管理办法，扩大部门整体绩效管理范围，增强预算绩效时效性，</w:t>
      </w:r>
      <w:r>
        <w:rPr>
          <w:rFonts w:hint="eastAsia" w:ascii="Times New Roman" w:hAnsi="Times New Roman" w:eastAsia="仿宋_GB2312" w:cs="仿宋_GB2312"/>
          <w:sz w:val="32"/>
          <w:szCs w:val="32"/>
        </w:rPr>
        <w:t>提高财政资金运行效益</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b w:val="0"/>
          <w:bCs w:val="0"/>
          <w:spacing w:val="0"/>
          <w:kern w:val="0"/>
          <w:sz w:val="32"/>
          <w:szCs w:val="32"/>
          <w:highlight w:val="none"/>
          <w:lang w:val="en-US" w:eastAsia="zh-CN" w:bidi="ar"/>
        </w:rPr>
        <w:t>3月份，我县被省人民政府正式确定为淄博市唯一一个城镇土地使用税差别化改革试点县，是我县引入政策活水、带动土地资源节约集约利用的积极探索，对促进县域经济高质量发展具有十分重要的意义。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color w:val="auto"/>
          <w:kern w:val="0"/>
          <w:sz w:val="32"/>
          <w:szCs w:val="32"/>
          <w:lang w:val="en-US" w:eastAsia="zh-CN"/>
        </w:rPr>
        <w:t>（二）加强内部制度建设，财政执法行为更加规范。</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推进行政执法“三项制度”落实，严格规范公正文明执法</w:t>
      </w:r>
      <w:r>
        <w:rPr>
          <w:rFonts w:hint="eastAsia" w:ascii="Times New Roman" w:hAnsi="Times New Roman" w:eastAsia="仿宋_GB2312" w:cs="仿宋_GB2312"/>
          <w:color w:val="auto"/>
          <w:sz w:val="32"/>
          <w:szCs w:val="32"/>
          <w:lang w:eastAsia="zh-CN"/>
        </w:rPr>
        <w:t>。依据</w:t>
      </w:r>
      <w:r>
        <w:rPr>
          <w:rFonts w:hint="eastAsia" w:ascii="Times New Roman" w:hAnsi="Times New Roman" w:eastAsia="仿宋_GB2312" w:cs="仿宋_GB2312"/>
          <w:color w:val="auto"/>
          <w:sz w:val="32"/>
          <w:szCs w:val="32"/>
        </w:rPr>
        <w:t>《淄博市财政局全面推行行政指导工作实施方案》《淄博市财政系统不罚清单》，推行分级分类执法检查，实施审慎包容执法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shd w:val="clear" w:color="auto" w:fill="auto"/>
          <w:lang w:eastAsia="zh-CN"/>
        </w:rPr>
        <w:t>截至目前，县财政</w:t>
      </w:r>
      <w:r>
        <w:rPr>
          <w:rFonts w:hint="eastAsia" w:ascii="Times New Roman" w:hAnsi="Times New Roman" w:eastAsia="仿宋_GB2312" w:cs="仿宋_GB2312"/>
          <w:color w:val="auto"/>
          <w:sz w:val="32"/>
          <w:szCs w:val="32"/>
          <w:shd w:val="clear" w:color="auto" w:fill="auto"/>
          <w:lang w:val="en-US" w:eastAsia="zh-CN"/>
        </w:rPr>
        <w:t>共开展了</w:t>
      </w:r>
      <w:r>
        <w:rPr>
          <w:rFonts w:hint="default" w:ascii="Times New Roman" w:hAnsi="Times New Roman" w:eastAsia="仿宋_GB2312" w:cs="Times New Roman"/>
          <w:color w:val="auto"/>
          <w:sz w:val="32"/>
          <w:szCs w:val="32"/>
          <w:shd w:val="clear" w:color="auto" w:fill="auto"/>
          <w:lang w:val="en-US" w:eastAsia="zh-CN"/>
        </w:rPr>
        <w:t>5</w:t>
      </w:r>
      <w:r>
        <w:rPr>
          <w:rFonts w:hint="eastAsia" w:ascii="Times New Roman" w:hAnsi="Times New Roman" w:eastAsia="仿宋_GB2312" w:cs="仿宋_GB2312"/>
          <w:color w:val="auto"/>
          <w:sz w:val="32"/>
          <w:szCs w:val="32"/>
          <w:shd w:val="clear" w:color="auto" w:fill="auto"/>
          <w:lang w:val="en-US" w:eastAsia="zh-CN"/>
        </w:rPr>
        <w:t>次行政检查并按规定在政府网站及时公开检查结果。</w:t>
      </w:r>
      <w:r>
        <w:rPr>
          <w:rFonts w:hint="eastAsia" w:ascii="Times New Roman" w:hAnsi="Times New Roman" w:eastAsia="仿宋_GB2312" w:cs="仿宋_GB2312"/>
          <w:color w:val="auto"/>
          <w:sz w:val="32"/>
          <w:szCs w:val="32"/>
        </w:rPr>
        <w:t>二是全面落实行政执法责任制，健全行政执法人员管理制度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严格落实行政执法人员持证上岗、资格管理和退出机制，加强行政执法人员资格管理，认真组织执法人员参加财政专业法律知识考试和公共法律知识考试，实现执法人员</w:t>
      </w:r>
      <w:r>
        <w:rPr>
          <w:rFonts w:hint="default" w:ascii="Times New Roman" w:hAnsi="Times New Roman" w:eastAsia="仿宋_GB2312" w:cs="Times New Roman"/>
          <w:color w:val="auto"/>
          <w:sz w:val="32"/>
          <w:szCs w:val="32"/>
        </w:rPr>
        <w:t>100%</w:t>
      </w:r>
      <w:r>
        <w:rPr>
          <w:rFonts w:hint="eastAsia" w:ascii="Times New Roman" w:hAnsi="Times New Roman" w:eastAsia="仿宋_GB2312" w:cs="仿宋_GB2312"/>
          <w:color w:val="auto"/>
          <w:sz w:val="32"/>
          <w:szCs w:val="32"/>
        </w:rPr>
        <w:t>持证上岗，有效保障了执法活动的合法性和严肃性</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kern w:val="2"/>
          <w:sz w:val="32"/>
          <w:szCs w:val="32"/>
          <w:lang w:val="en-US" w:eastAsia="zh-CN" w:bidi="ar-SA"/>
        </w:rPr>
        <w:t>三</w:t>
      </w:r>
      <w:r>
        <w:rPr>
          <w:rFonts w:hint="eastAsia" w:ascii="Times New Roman" w:hAnsi="Times New Roman" w:eastAsia="仿宋_GB2312" w:cs="仿宋_GB2312"/>
          <w:color w:val="auto"/>
          <w:sz w:val="32"/>
          <w:szCs w:val="32"/>
          <w:lang w:val="en-US" w:eastAsia="zh-CN"/>
        </w:rPr>
        <w:t>是</w:t>
      </w:r>
      <w:r>
        <w:rPr>
          <w:rFonts w:hint="eastAsia" w:ascii="Times New Roman" w:hAnsi="Times New Roman" w:eastAsia="仿宋_GB2312" w:cs="仿宋_GB2312"/>
          <w:sz w:val="32"/>
          <w:szCs w:val="32"/>
          <w:lang w:val="en-US" w:eastAsia="zh-CN"/>
        </w:rPr>
        <w:t>在议事决策中用法。严格执行党组议事决策规则、重大行政决策的规定程序、</w:t>
      </w:r>
      <w:r>
        <w:rPr>
          <w:rFonts w:hint="eastAsia" w:ascii="Times New Roman" w:hAnsi="Times New Roman" w:eastAsia="仿宋_GB2312" w:cs="仿宋_GB2312"/>
          <w:color w:val="000000"/>
          <w:kern w:val="0"/>
          <w:sz w:val="31"/>
          <w:szCs w:val="31"/>
          <w:lang w:val="en-US" w:eastAsia="zh-CN" w:bidi="ar"/>
        </w:rPr>
        <w:t>权责清单管理制度</w:t>
      </w:r>
      <w:r>
        <w:rPr>
          <w:rFonts w:hint="eastAsia" w:ascii="Times New Roman" w:hAnsi="Times New Roman" w:eastAsia="仿宋_GB2312" w:cs="仿宋_GB2312"/>
          <w:sz w:val="32"/>
          <w:szCs w:val="32"/>
          <w:lang w:val="en-US" w:eastAsia="zh-CN"/>
        </w:rPr>
        <w:t>，强化</w:t>
      </w:r>
      <w:r>
        <w:rPr>
          <w:rFonts w:hint="eastAsia" w:ascii="Times New Roman" w:hAnsi="Times New Roman" w:eastAsia="仿宋_GB2312" w:cs="仿宋_GB2312"/>
          <w:color w:val="000000"/>
          <w:kern w:val="0"/>
          <w:sz w:val="31"/>
          <w:szCs w:val="31"/>
          <w:lang w:val="en-US" w:eastAsia="zh-CN" w:bidi="ar"/>
        </w:rPr>
        <w:t>公平竞争审查制度刚性约束，坚持依法行政，</w:t>
      </w:r>
      <w:r>
        <w:rPr>
          <w:rFonts w:hint="eastAsia" w:ascii="Times New Roman" w:hAnsi="Times New Roman" w:eastAsia="仿宋_GB2312" w:cs="仿宋_GB2312"/>
          <w:sz w:val="32"/>
          <w:szCs w:val="32"/>
          <w:highlight w:val="none"/>
        </w:rPr>
        <w:t>按法定程序向县人大报告工作，凡涉及财政工作的重要问题或关系到发展稳定的重大事项，及时向县委、县人大、县政府汇报</w:t>
      </w:r>
      <w:r>
        <w:rPr>
          <w:rFonts w:hint="eastAsia" w:ascii="Times New Roman" w:hAnsi="Times New Roman" w:eastAsia="仿宋_GB2312" w:cs="仿宋_GB2312"/>
          <w:color w:val="000000"/>
          <w:kern w:val="0"/>
          <w:sz w:val="31"/>
          <w:szCs w:val="31"/>
          <w:lang w:val="en-US" w:eastAsia="zh-CN" w:bidi="ar"/>
        </w:rPr>
        <w:t>。</w:t>
      </w:r>
      <w:r>
        <w:rPr>
          <w:rFonts w:hint="eastAsia" w:ascii="Times New Roman" w:hAnsi="Times New Roman" w:eastAsia="仿宋_GB2312" w:cs="仿宋_GB2312"/>
          <w:color w:val="auto"/>
          <w:sz w:val="32"/>
          <w:szCs w:val="32"/>
        </w:rPr>
        <w:t>规范重大行政决策流程，进一步细化重大行政决策程序，提高行政决策的科学化、民主化和法治化水平</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pacing w:val="8"/>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加强普法宣传，财政干部队伍法治意识进一步增强。</w:t>
      </w:r>
      <w:r>
        <w:rPr>
          <w:rFonts w:hint="eastAsia" w:ascii="Times New Roman" w:hAnsi="Times New Roman" w:eastAsia="仿宋_GB2312" w:cs="仿宋_GB2312"/>
          <w:color w:val="auto"/>
          <w:sz w:val="32"/>
          <w:szCs w:val="32"/>
          <w:lang w:val="en-US" w:eastAsia="zh-CN"/>
        </w:rPr>
        <w:t>一是</w:t>
      </w:r>
      <w:r>
        <w:rPr>
          <w:rFonts w:hint="eastAsia" w:ascii="Times New Roman" w:hAnsi="Times New Roman" w:eastAsia="仿宋_GB2312" w:cs="仿宋_GB2312"/>
          <w:color w:val="auto"/>
          <w:kern w:val="0"/>
          <w:sz w:val="32"/>
          <w:szCs w:val="32"/>
          <w:lang w:val="en-US" w:eastAsia="zh-CN"/>
        </w:rPr>
        <w:t>深化普法宣传教育。</w:t>
      </w:r>
      <w:r>
        <w:rPr>
          <w:rFonts w:hint="eastAsia" w:ascii="Times New Roman" w:hAnsi="Times New Roman" w:eastAsia="仿宋_GB2312" w:cs="仿宋_GB2312"/>
          <w:color w:val="auto"/>
          <w:kern w:val="0"/>
          <w:sz w:val="32"/>
          <w:szCs w:val="32"/>
          <w:highlight w:val="none"/>
          <w:lang w:val="en-US" w:eastAsia="zh-CN"/>
        </w:rPr>
        <w:t>制定《2023年沂源县财政局普法责任清单》和《2023年度沂源县财政局普法计划》，明确</w:t>
      </w:r>
      <w:r>
        <w:rPr>
          <w:rFonts w:hint="eastAsia" w:ascii="Times New Roman" w:hAnsi="Times New Roman" w:eastAsia="仿宋_GB2312" w:cs="仿宋_GB2312"/>
          <w:color w:val="auto"/>
          <w:kern w:val="0"/>
          <w:sz w:val="32"/>
          <w:szCs w:val="32"/>
          <w:lang w:val="en-US" w:eastAsia="zh-CN"/>
        </w:rPr>
        <w:t>了本年度重点宣传内容和重点普法对象，将普法责任分解到科室和个人，</w:t>
      </w:r>
      <w:r>
        <w:rPr>
          <w:rFonts w:hint="eastAsia" w:ascii="Times New Roman" w:hAnsi="Times New Roman" w:eastAsia="仿宋_GB2312" w:cs="仿宋_GB2312"/>
          <w:b w:val="0"/>
          <w:bCs w:val="0"/>
          <w:sz w:val="32"/>
          <w:szCs w:val="32"/>
          <w:lang w:val="en-US" w:eastAsia="zh-CN"/>
        </w:rPr>
        <w:t>在全局上下营造浓厚的法治氛围，</w:t>
      </w:r>
      <w:r>
        <w:rPr>
          <w:rFonts w:hint="eastAsia" w:ascii="Times New Roman" w:hAnsi="Times New Roman" w:eastAsia="仿宋_GB2312" w:cs="仿宋_GB2312"/>
          <w:color w:val="auto"/>
          <w:kern w:val="0"/>
          <w:sz w:val="32"/>
          <w:szCs w:val="32"/>
          <w:lang w:val="en-US" w:eastAsia="zh-CN"/>
        </w:rPr>
        <w:t>有效增强了法治宣传实效。</w:t>
      </w:r>
      <w:r>
        <w:rPr>
          <w:rFonts w:hint="eastAsia" w:ascii="Times New Roman" w:hAnsi="Times New Roman" w:eastAsia="仿宋_GB2312" w:cs="仿宋_GB2312"/>
          <w:color w:val="auto"/>
          <w:spacing w:val="8"/>
          <w:sz w:val="32"/>
          <w:szCs w:val="32"/>
          <w:lang w:val="en-US" w:eastAsia="zh-CN"/>
        </w:rPr>
        <w:t>二</w:t>
      </w:r>
      <w:r>
        <w:rPr>
          <w:rFonts w:hint="eastAsia" w:ascii="Times New Roman" w:hAnsi="Times New Roman" w:eastAsia="仿宋_GB2312" w:cs="仿宋_GB2312"/>
          <w:color w:val="auto"/>
          <w:kern w:val="0"/>
          <w:sz w:val="32"/>
          <w:szCs w:val="32"/>
          <w:lang w:val="en-US" w:eastAsia="zh-CN"/>
        </w:rPr>
        <w:t>是拓宽“渠道”丰富法治宣传。以国家宪法日、国家安全教育日、非法集资宣传月等重大活动节点为契机，深入药玻南鲁山分厂、悦庄镇崔家庄村等机关企业、田间地头，通过发放宣传资料等方式进企业、进农村、进社区，宣传民法典、财经法律法规等，引导广大村民学法、知法、守法，使法制观念深入人心。三</w:t>
      </w:r>
      <w:r>
        <w:rPr>
          <w:rFonts w:hint="eastAsia" w:ascii="Times New Roman" w:hAnsi="Times New Roman" w:eastAsia="仿宋_GB2312" w:cs="仿宋_GB2312"/>
          <w:color w:val="auto"/>
          <w:spacing w:val="8"/>
          <w:sz w:val="32"/>
          <w:szCs w:val="32"/>
          <w:lang w:val="en-US" w:eastAsia="zh-CN"/>
        </w:rPr>
        <w:t>是搭建“载体”创新法治宣传。通过政府网站、微信公众号、电子屏、流动宣传栏等载体，宣传财政政策及法律知识，有力推动了财税政策的科普和推广。积极组织开展预算编制、政府采购政策、《预算法》、会计管理等业务和法规的培训宣传，有效提升业务对象财经法律素养。</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color w:val="auto"/>
          <w:sz w:val="32"/>
          <w:szCs w:val="32"/>
          <w:lang w:eastAsia="zh-CN"/>
        </w:rPr>
      </w:pPr>
      <w:r>
        <w:rPr>
          <w:rFonts w:hint="eastAsia" w:ascii="楷体_GB2312" w:hAnsi="楷体_GB2312" w:eastAsia="楷体_GB2312" w:cs="楷体_GB2312"/>
          <w:color w:val="auto"/>
          <w:spacing w:val="8"/>
          <w:sz w:val="32"/>
          <w:szCs w:val="32"/>
          <w:lang w:val="en-US" w:eastAsia="zh-CN"/>
        </w:rPr>
        <w:t>（四）深化“放管服”改革，财政法治营商环境更加优化。</w:t>
      </w:r>
      <w:r>
        <w:rPr>
          <w:rFonts w:hint="eastAsia" w:ascii="Times New Roman" w:hAnsi="Times New Roman" w:eastAsia="仿宋_GB2312" w:cs="仿宋_GB2312"/>
          <w:color w:val="auto"/>
          <w:sz w:val="32"/>
          <w:szCs w:val="32"/>
          <w:lang w:val="en-US" w:eastAsia="zh-CN"/>
        </w:rPr>
        <w:t>一是不断提升政务服务质量，打造</w:t>
      </w:r>
      <w:r>
        <w:rPr>
          <w:rFonts w:hint="eastAsia" w:ascii="Times New Roman" w:hAnsi="Times New Roman" w:eastAsia="仿宋_GB2312" w:cs="仿宋_GB2312"/>
          <w:color w:val="auto"/>
          <w:sz w:val="32"/>
          <w:szCs w:val="32"/>
        </w:rPr>
        <w:t>“服务、有为”</w:t>
      </w:r>
      <w:r>
        <w:rPr>
          <w:rFonts w:hint="eastAsia" w:ascii="Times New Roman" w:hAnsi="Times New Roman" w:eastAsia="仿宋_GB2312" w:cs="仿宋_GB2312"/>
          <w:color w:val="auto"/>
          <w:sz w:val="32"/>
          <w:szCs w:val="32"/>
          <w:lang w:val="en-US" w:eastAsia="zh-CN"/>
        </w:rPr>
        <w:t>特色财政品牌。继续对“山东省政务服务网”总门户上展示事项进行动态梳理完善，确保进驻总门户的政务服务事项网上查询、办理、咨询、投诉路径通畅。二是</w:t>
      </w:r>
      <w:r>
        <w:rPr>
          <w:rFonts w:hint="eastAsia" w:ascii="Times New Roman" w:hAnsi="Times New Roman" w:eastAsia="仿宋_GB2312" w:cs="仿宋_GB2312"/>
          <w:color w:val="auto"/>
          <w:sz w:val="32"/>
          <w:szCs w:val="32"/>
        </w:rPr>
        <w:t>做好“互联网+监管”系统监管事项目录清单及实施清单的动态管理工作，按照要求及时录入检查数据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制定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双随机、一公开”</w:t>
      </w:r>
      <w:r>
        <w:rPr>
          <w:rFonts w:hint="eastAsia" w:ascii="Times New Roman" w:hAnsi="Times New Roman" w:eastAsia="仿宋_GB2312" w:cs="仿宋_GB2312"/>
          <w:color w:val="auto"/>
          <w:sz w:val="32"/>
          <w:szCs w:val="32"/>
        </w:rPr>
        <w:t>抽查事项清单、</w:t>
      </w:r>
      <w:r>
        <w:rPr>
          <w:rFonts w:hint="eastAsia" w:ascii="Times New Roman" w:hAnsi="Times New Roman" w:eastAsia="仿宋_GB2312" w:cs="仿宋_GB2312"/>
          <w:color w:val="auto"/>
          <w:sz w:val="32"/>
          <w:szCs w:val="32"/>
          <w:lang w:val="en-US" w:eastAsia="zh-CN"/>
        </w:rPr>
        <w:t>年度</w:t>
      </w:r>
      <w:r>
        <w:rPr>
          <w:rFonts w:hint="eastAsia" w:ascii="Times New Roman" w:hAnsi="Times New Roman" w:eastAsia="仿宋_GB2312" w:cs="仿宋_GB2312"/>
          <w:color w:val="auto"/>
          <w:sz w:val="32"/>
          <w:szCs w:val="32"/>
        </w:rPr>
        <w:t>抽查工作计划</w:t>
      </w:r>
      <w:r>
        <w:rPr>
          <w:rFonts w:hint="eastAsia" w:ascii="Times New Roman" w:hAnsi="Times New Roman" w:eastAsia="仿宋_GB2312" w:cs="仿宋_GB2312"/>
          <w:color w:val="auto"/>
          <w:sz w:val="32"/>
          <w:szCs w:val="32"/>
          <w:lang w:val="en-US" w:eastAsia="zh-CN"/>
        </w:rPr>
        <w:t>及</w:t>
      </w:r>
      <w:r>
        <w:rPr>
          <w:rFonts w:hint="eastAsia" w:ascii="Times New Roman" w:hAnsi="Times New Roman" w:eastAsia="仿宋_GB2312" w:cs="仿宋_GB2312"/>
          <w:color w:val="auto"/>
          <w:sz w:val="32"/>
          <w:szCs w:val="32"/>
        </w:rPr>
        <w:t>抽查工作规范，</w:t>
      </w:r>
      <w:r>
        <w:rPr>
          <w:rFonts w:hint="eastAsia" w:ascii="Times New Roman" w:hAnsi="Times New Roman" w:eastAsia="仿宋_GB2312" w:cs="仿宋_GB2312"/>
          <w:color w:val="auto"/>
          <w:sz w:val="32"/>
          <w:szCs w:val="32"/>
          <w:lang w:eastAsia="zh-CN"/>
        </w:rPr>
        <w:t>并</w:t>
      </w:r>
      <w:r>
        <w:rPr>
          <w:rFonts w:hint="eastAsia" w:ascii="Times New Roman" w:hAnsi="Times New Roman" w:eastAsia="仿宋_GB2312" w:cs="仿宋_GB2312"/>
          <w:color w:val="auto"/>
          <w:sz w:val="32"/>
          <w:szCs w:val="32"/>
        </w:rPr>
        <w:t>严格按照</w:t>
      </w:r>
      <w:r>
        <w:rPr>
          <w:rFonts w:hint="eastAsia" w:ascii="Times New Roman" w:hAnsi="Times New Roman" w:eastAsia="仿宋_GB2312" w:cs="仿宋_GB2312"/>
          <w:color w:val="auto"/>
          <w:sz w:val="32"/>
          <w:szCs w:val="32"/>
          <w:lang w:eastAsia="zh-CN"/>
        </w:rPr>
        <w:t>要求在政府网站公开抽查结果。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8"/>
          <w:sz w:val="32"/>
          <w:szCs w:val="32"/>
          <w:lang w:val="en-US" w:eastAsia="zh-CN"/>
        </w:rPr>
      </w:pPr>
      <w:r>
        <w:rPr>
          <w:rFonts w:hint="eastAsia" w:ascii="楷体_GB2312" w:hAnsi="楷体_GB2312" w:eastAsia="楷体_GB2312" w:cs="楷体_GB2312"/>
          <w:sz w:val="32"/>
          <w:szCs w:val="32"/>
          <w:lang w:val="en-US" w:eastAsia="zh-CN"/>
        </w:rPr>
        <w:t>（五）落实法律顾问制度，依法行政、依法决策、依法理财水平进一步提升。</w:t>
      </w:r>
      <w:r>
        <w:rPr>
          <w:rFonts w:hint="eastAsia" w:ascii="Times New Roman" w:hAnsi="Times New Roman" w:eastAsia="仿宋_GB2312" w:cs="仿宋_GB2312"/>
          <w:color w:val="auto"/>
          <w:spacing w:val="8"/>
          <w:sz w:val="32"/>
          <w:szCs w:val="32"/>
          <w:lang w:val="en-US" w:eastAsia="zh-CN"/>
        </w:rPr>
        <w:t>参照</w:t>
      </w:r>
      <w:r>
        <w:rPr>
          <w:rFonts w:hint="eastAsia" w:ascii="Times New Roman" w:hAnsi="Times New Roman" w:eastAsia="仿宋_GB2312" w:cs="仿宋_GB2312"/>
          <w:sz w:val="32"/>
          <w:szCs w:val="32"/>
        </w:rPr>
        <w:t>《淄博市财政局公职律师管理办法》《淄博市财政局公职律师工作方案》</w:t>
      </w:r>
      <w:r>
        <w:rPr>
          <w:rFonts w:hint="eastAsia" w:ascii="Times New Roman" w:hAnsi="Times New Roman" w:eastAsia="仿宋_GB2312" w:cs="仿宋_GB2312"/>
          <w:sz w:val="32"/>
          <w:szCs w:val="32"/>
          <w:lang w:eastAsia="zh-CN"/>
        </w:rPr>
        <w:t>的相关内容，</w:t>
      </w:r>
      <w:r>
        <w:rPr>
          <w:rFonts w:hint="eastAsia" w:ascii="Times New Roman" w:hAnsi="Times New Roman" w:eastAsia="仿宋_GB2312" w:cs="仿宋_GB2312"/>
          <w:color w:val="auto"/>
          <w:spacing w:val="8"/>
          <w:sz w:val="32"/>
          <w:szCs w:val="32"/>
          <w:lang w:val="en-US" w:eastAsia="zh-CN"/>
        </w:rPr>
        <w:t>聘请了专业律师为顾问，充分发挥外部法律顾问审核把关作用。</w:t>
      </w:r>
    </w:p>
    <w:p>
      <w:pPr>
        <w:pStyle w:val="11"/>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eastAsia" w:ascii="黑体" w:hAnsi="黑体" w:eastAsia="黑体" w:cs="黑体"/>
          <w:snapToGrid w:val="0"/>
          <w:color w:val="0C0C0C"/>
          <w:spacing w:val="0"/>
          <w:kern w:val="0"/>
          <w:sz w:val="32"/>
          <w:szCs w:val="32"/>
          <w:u w:val="none"/>
          <w:lang w:val="en-US" w:eastAsia="zh-CN"/>
        </w:rPr>
      </w:pPr>
      <w:r>
        <w:rPr>
          <w:rFonts w:hint="eastAsia" w:ascii="黑体" w:hAnsi="黑体" w:eastAsia="黑体" w:cs="黑体"/>
          <w:sz w:val="32"/>
          <w:szCs w:val="32"/>
          <w:lang w:val="en" w:eastAsia="zh-CN"/>
        </w:rPr>
        <w:t>二、</w:t>
      </w:r>
      <w:r>
        <w:rPr>
          <w:rFonts w:hint="eastAsia" w:ascii="黑体" w:hAnsi="黑体" w:eastAsia="黑体" w:cs="黑体"/>
          <w:snapToGrid w:val="0"/>
          <w:color w:val="0C0C0C"/>
          <w:spacing w:val="0"/>
          <w:kern w:val="0"/>
          <w:sz w:val="32"/>
          <w:szCs w:val="32"/>
          <w:u w:val="none"/>
          <w:lang w:val="en-US" w:eastAsia="zh"/>
        </w:rPr>
        <w:t>党政主要负责人履行</w:t>
      </w:r>
      <w:r>
        <w:rPr>
          <w:rFonts w:hint="eastAsia" w:ascii="黑体" w:hAnsi="黑体" w:eastAsia="黑体" w:cs="黑体"/>
          <w:snapToGrid w:val="0"/>
          <w:color w:val="0C0C0C"/>
          <w:spacing w:val="0"/>
          <w:kern w:val="0"/>
          <w:sz w:val="32"/>
          <w:szCs w:val="32"/>
          <w:u w:val="none"/>
          <w:lang w:val="en-US" w:eastAsia="zh-CN"/>
        </w:rPr>
        <w:t>推进法治建设</w:t>
      </w:r>
      <w:r>
        <w:rPr>
          <w:rFonts w:hint="eastAsia" w:ascii="黑体" w:hAnsi="黑体" w:eastAsia="黑体" w:cs="黑体"/>
          <w:snapToGrid w:val="0"/>
          <w:color w:val="0C0C0C"/>
          <w:spacing w:val="0"/>
          <w:kern w:val="0"/>
          <w:sz w:val="32"/>
          <w:szCs w:val="32"/>
          <w:u w:val="none"/>
          <w:lang w:val="en-US" w:eastAsia="zh"/>
        </w:rPr>
        <w:t>第一责任</w:t>
      </w:r>
      <w:r>
        <w:rPr>
          <w:rFonts w:hint="eastAsia" w:ascii="黑体" w:hAnsi="黑体" w:eastAsia="黑体" w:cs="黑体"/>
          <w:snapToGrid w:val="0"/>
          <w:color w:val="0C0C0C"/>
          <w:spacing w:val="0"/>
          <w:kern w:val="0"/>
          <w:sz w:val="32"/>
          <w:szCs w:val="32"/>
          <w:u w:val="none"/>
          <w:lang w:val="en-US" w:eastAsia="zh-CN"/>
        </w:rPr>
        <w:t>人职责情况</w:t>
      </w:r>
    </w:p>
    <w:p>
      <w:pPr>
        <w:keepNext w:val="0"/>
        <w:keepLines w:val="0"/>
        <w:pageBreakBefore w:val="0"/>
        <w:widowControl w:val="0"/>
        <w:kinsoku/>
        <w:wordWrap/>
        <w:overflowPunct/>
        <w:topLinePunct w:val="0"/>
        <w:autoSpaceDE/>
        <w:autoSpaceDN/>
        <w:bidi w:val="0"/>
        <w:snapToGrid/>
        <w:spacing w:line="560" w:lineRule="exact"/>
        <w:ind w:firstLine="672"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color w:val="auto"/>
          <w:spacing w:val="8"/>
          <w:sz w:val="32"/>
          <w:szCs w:val="32"/>
          <w:lang w:val="en-US" w:eastAsia="zh-CN"/>
        </w:rPr>
        <w:t>一是强化组织领导，夯实主体责任。</w:t>
      </w:r>
      <w:r>
        <w:rPr>
          <w:rFonts w:hint="eastAsia" w:ascii="Times New Roman" w:hAnsi="Times New Roman" w:eastAsia="仿宋_GB2312" w:cs="仿宋_GB2312"/>
          <w:color w:val="auto"/>
          <w:sz w:val="32"/>
          <w:szCs w:val="32"/>
          <w:lang w:eastAsia="zh-CN"/>
        </w:rPr>
        <w:t>发挥党组总揽全局、协调各方的领导核心作用，坚持</w:t>
      </w:r>
      <w:r>
        <w:rPr>
          <w:rFonts w:hint="eastAsia" w:ascii="Times New Roman" w:hAnsi="Times New Roman" w:eastAsia="仿宋_GB2312" w:cs="仿宋_GB2312"/>
          <w:color w:val="auto"/>
          <w:sz w:val="32"/>
          <w:szCs w:val="32"/>
          <w:lang w:val="en-US" w:eastAsia="zh-CN"/>
        </w:rPr>
        <w:t>依法</w:t>
      </w:r>
      <w:r>
        <w:rPr>
          <w:rFonts w:hint="eastAsia" w:ascii="Times New Roman" w:hAnsi="Times New Roman" w:eastAsia="仿宋_GB2312" w:cs="仿宋_GB2312"/>
          <w:color w:val="auto"/>
          <w:sz w:val="32"/>
          <w:szCs w:val="32"/>
          <w:lang w:eastAsia="zh-CN"/>
        </w:rPr>
        <w:t>依规治党和法治财政建设的有机统一。坚决贯彻落实党组主要负责同志履行法治政府建设第一责任人制度，制定全局普法责任清单，列明工作内容，并明确牵头科室和责任科室。将习近平法治思想、宪法、法律法规和党内法规等列入局党组会议、局党组理论学习中心组学习的重要内容，</w:t>
      </w:r>
      <w:r>
        <w:rPr>
          <w:rFonts w:hint="eastAsia" w:ascii="Times New Roman" w:hAnsi="Times New Roman" w:eastAsia="仿宋_GB2312" w:cs="仿宋_GB2312"/>
          <w:color w:val="auto"/>
          <w:sz w:val="32"/>
          <w:szCs w:val="32"/>
          <w:lang w:val="en-US" w:eastAsia="zh-CN"/>
        </w:rPr>
        <w:t>严格落实会前学法制度，及时部署推进法治政府建设工作，</w:t>
      </w:r>
      <w:r>
        <w:rPr>
          <w:rFonts w:hint="eastAsia" w:ascii="Times New Roman" w:hAnsi="Times New Roman" w:eastAsia="仿宋_GB2312" w:cs="仿宋_GB2312"/>
          <w:color w:val="auto"/>
          <w:sz w:val="32"/>
          <w:szCs w:val="32"/>
        </w:rPr>
        <w:t>为</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仿宋_GB2312"/>
          <w:color w:val="auto"/>
          <w:sz w:val="32"/>
          <w:szCs w:val="32"/>
        </w:rPr>
        <w:t>年法治财政建设奠定了基础，确保我局法</w:t>
      </w:r>
      <w:r>
        <w:rPr>
          <w:rFonts w:hint="eastAsia" w:ascii="Times New Roman" w:hAnsi="Times New Roman" w:eastAsia="仿宋_GB2312" w:cs="仿宋_GB2312"/>
          <w:sz w:val="32"/>
          <w:szCs w:val="32"/>
        </w:rPr>
        <w:t>治建设工作有序开展。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color w:val="auto"/>
          <w:spacing w:val="8"/>
          <w:sz w:val="32"/>
          <w:szCs w:val="32"/>
          <w:lang w:val="en-US" w:eastAsia="zh-CN"/>
        </w:rPr>
        <w:t>二是健全涉财涉税政策审核机制，筑牢依法行政堤坝。</w:t>
      </w:r>
      <w:r>
        <w:rPr>
          <w:rFonts w:hint="eastAsia" w:ascii="Times New Roman" w:hAnsi="Times New Roman" w:eastAsia="仿宋_GB2312" w:cs="仿宋_GB2312"/>
          <w:color w:val="auto"/>
          <w:sz w:val="32"/>
          <w:szCs w:val="32"/>
          <w:lang w:val="en-US" w:eastAsia="zh-CN"/>
        </w:rPr>
        <w:t>做好财政政策措施合法性审核和公平竞争审查工作，严格遵</w:t>
      </w:r>
      <w:r>
        <w:rPr>
          <w:rFonts w:hint="eastAsia" w:ascii="Times New Roman" w:hAnsi="Times New Roman" w:eastAsia="仿宋_GB2312" w:cs="仿宋_GB2312"/>
          <w:color w:val="auto"/>
          <w:sz w:val="32"/>
          <w:szCs w:val="32"/>
          <w:lang w:eastAsia="zh-CN"/>
        </w:rPr>
        <w:t>守规范性文件制定程序并按要求做好定期清理工作。做好重大复杂行政处罚审核听证、行政复议、行政应诉和各类诉讼案件应诉等工作，</w:t>
      </w:r>
      <w:r>
        <w:rPr>
          <w:rFonts w:hint="eastAsia" w:ascii="Times New Roman" w:hAnsi="Times New Roman" w:eastAsia="仿宋_GB2312" w:cs="仿宋_GB2312"/>
          <w:sz w:val="32"/>
          <w:szCs w:val="32"/>
        </w:rPr>
        <w:t>突出加大对合同、协议和</w:t>
      </w:r>
      <w:r>
        <w:rPr>
          <w:rFonts w:hint="eastAsia" w:ascii="Times New Roman" w:hAnsi="Times New Roman" w:eastAsia="仿宋_GB2312" w:cs="仿宋_GB2312"/>
          <w:sz w:val="32"/>
          <w:szCs w:val="32"/>
          <w:lang w:val="en-US" w:eastAsia="zh-CN"/>
        </w:rPr>
        <w:t>各类会议纪要</w:t>
      </w:r>
      <w:r>
        <w:rPr>
          <w:rFonts w:hint="eastAsia" w:ascii="Times New Roman" w:hAnsi="Times New Roman" w:eastAsia="仿宋_GB2312" w:cs="仿宋_GB2312"/>
          <w:sz w:val="32"/>
          <w:szCs w:val="32"/>
        </w:rPr>
        <w:t>的合法合规性审查。</w:t>
      </w:r>
      <w:r>
        <w:rPr>
          <w:rFonts w:hint="eastAsia" w:ascii="Times New Roman" w:hAnsi="Times New Roman" w:eastAsia="仿宋_GB2312" w:cs="仿宋_GB2312"/>
          <w:sz w:val="32"/>
          <w:szCs w:val="32"/>
          <w:lang w:val="en-US" w:eastAsia="zh-CN"/>
        </w:rPr>
        <w:t>通过聘请专业律师对各类涉法事项进行审核把关，确保财政事项依法依规开展，提高财政政策执行效能。</w:t>
      </w:r>
    </w:p>
    <w:p>
      <w:pPr>
        <w:pStyle w:val="2"/>
        <w:keepNext w:val="0"/>
        <w:keepLines w:val="0"/>
        <w:pageBreakBefore w:val="0"/>
        <w:widowControl w:val="0"/>
        <w:kinsoku/>
        <w:wordWrap/>
        <w:topLinePunct w:val="0"/>
        <w:autoSpaceDE/>
        <w:autoSpaceDN/>
        <w:bidi w:val="0"/>
        <w:spacing w:line="560" w:lineRule="exact"/>
        <w:ind w:firstLine="672" w:firstLineChars="200"/>
        <w:jc w:val="left"/>
        <w:textAlignment w:val="auto"/>
        <w:rPr>
          <w:rFonts w:hint="default" w:ascii="Times New Roman" w:hAnsi="Times New Roman" w:eastAsia="楷体_GB2312" w:cs="楷体_GB2312"/>
          <w:sz w:val="32"/>
          <w:szCs w:val="32"/>
          <w:lang w:val="en" w:eastAsia="zh-CN"/>
        </w:rPr>
      </w:pPr>
      <w:r>
        <w:rPr>
          <w:rFonts w:hint="eastAsia" w:ascii="楷体_GB2312" w:hAnsi="楷体_GB2312" w:eastAsia="楷体_GB2312" w:cs="楷体_GB2312"/>
          <w:color w:val="auto"/>
          <w:spacing w:val="8"/>
          <w:kern w:val="2"/>
          <w:sz w:val="32"/>
          <w:szCs w:val="32"/>
          <w:lang w:val="en-US" w:eastAsia="zh-CN" w:bidi="ar-SA"/>
        </w:rPr>
        <w:t>三是认真履行财政职能，全面打造法治财政。</w:t>
      </w:r>
      <w:r>
        <w:rPr>
          <w:rFonts w:hint="eastAsia" w:ascii="Times New Roman" w:hAnsi="Times New Roman" w:eastAsia="仿宋_GB2312" w:cs="仿宋_GB2312"/>
          <w:sz w:val="32"/>
          <w:szCs w:val="32"/>
          <w:lang w:val="en-US" w:eastAsia="zh-CN"/>
        </w:rPr>
        <w:t>深入推进预算管理制度改革，强化预算管理一体化系统运用，确保预算执行合法性和严肃性；加强预算绩效管理，严格事前绩效评估，强化绩效运行监控，推动绩效评价扩围提质。严格落实行政事业性收费制度，实现清单化管理，及时在政府网站公开相关信息。</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60" w:lineRule="exact"/>
        <w:ind w:right="0" w:firstLine="640" w:firstLineChars="200"/>
        <w:jc w:val="both"/>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sz w:val="32"/>
          <w:szCs w:val="32"/>
          <w:lang w:eastAsia="zh-CN"/>
        </w:rPr>
        <w:t>推进</w:t>
      </w:r>
      <w:r>
        <w:rPr>
          <w:rFonts w:hint="default" w:ascii="Times New Roman" w:hAnsi="Times New Roman" w:eastAsia="黑体" w:cs="Times New Roman"/>
          <w:sz w:val="32"/>
          <w:szCs w:val="32"/>
        </w:rPr>
        <w:t>法治政府建设</w:t>
      </w:r>
      <w:r>
        <w:rPr>
          <w:rFonts w:hint="default" w:ascii="Times New Roman" w:hAnsi="Times New Roman" w:eastAsia="黑体" w:cs="Times New Roman"/>
          <w:color w:val="000000"/>
          <w:sz w:val="32"/>
          <w:szCs w:val="32"/>
          <w:lang w:eastAsia="zh-CN"/>
        </w:rPr>
        <w:t>存在的不足和原因</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eastAsia" w:ascii="Times New Roman" w:hAnsi="Times New Roman" w:eastAsia="仿宋_GB2312" w:cs="仿宋_GB2312"/>
          <w:color w:val="auto"/>
          <w:sz w:val="32"/>
          <w:szCs w:val="32"/>
          <w:lang w:val="en-US" w:eastAsia="zh-CN"/>
        </w:rPr>
        <w:t>法治建设工作是一项长期、复杂的任务，我局的</w:t>
      </w:r>
      <w:r>
        <w:rPr>
          <w:rFonts w:hint="eastAsia" w:ascii="Times New Roman" w:hAnsi="Times New Roman" w:eastAsia="仿宋_GB2312" w:cs="仿宋_GB2312"/>
          <w:sz w:val="32"/>
          <w:szCs w:val="32"/>
        </w:rPr>
        <w:t>法治财政建设与国家治理能力现代化的新要求相比，</w:t>
      </w:r>
      <w:r>
        <w:rPr>
          <w:rFonts w:hint="eastAsia" w:ascii="Times New Roman" w:hAnsi="Times New Roman" w:eastAsia="仿宋_GB2312" w:cs="仿宋_GB2312"/>
          <w:sz w:val="32"/>
          <w:szCs w:val="32"/>
          <w:lang w:eastAsia="zh-CN"/>
        </w:rPr>
        <w:t>还存在差距，主要表现在：一是依法行政能力有待提升。随着法治财政建设工作的纵深推进，对财政执法人员的专业素养要求越来越高，但我局仍然存在执法过程不够精细等问题，需要进一步强化法治宣传培训工作，提升全局人员专业素养。</w:t>
      </w:r>
      <w:r>
        <w:rPr>
          <w:rFonts w:hint="eastAsia" w:ascii="Times New Roman" w:hAnsi="Times New Roman" w:eastAsia="仿宋_GB2312" w:cs="仿宋_GB2312"/>
          <w:sz w:val="32"/>
          <w:szCs w:val="32"/>
          <w:lang w:val="en-US" w:eastAsia="zh-CN"/>
        </w:rPr>
        <w:t>二是执法行为规范性有待加强。在落实行政执法三项制度过程中，对于部分财政政策的标准和执行尺度把握不够精准。三是行政执法监督力度有待加大。加强财政执法监督是促进法治财政建设的有效手段，目前我县财政执法监督方式较为单一，以预算绩效评价和会计监督检查为主，覆盖面窄，监督力度与财政职能适配性较低。产生以上问题，主要是因为我局在普法学法的系统性和全面性上有待加强，法治培训的方式较为单一，财政执法方式不够灵活，法治财政建设的实效性还需进一步提升。</w:t>
      </w:r>
    </w:p>
    <w:p>
      <w:pPr>
        <w:pStyle w:val="7"/>
        <w:keepNext w:val="0"/>
        <w:keepLines w:val="0"/>
        <w:pageBreakBefore w:val="0"/>
        <w:widowControl w:val="0"/>
        <w:suppressLineNumbers w:val="0"/>
        <w:shd w:val="clear" w:color="auto" w:fill="FFFFFF"/>
        <w:kinsoku/>
        <w:wordWrap/>
        <w:overflowPunct w:val="0"/>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szCs w:val="32"/>
        </w:rPr>
        <w:t>20</w:t>
      </w:r>
      <w:r>
        <w:rPr>
          <w:rFonts w:hint="default" w:ascii="Times New Roman" w:hAnsi="Times New Roman" w:eastAsia="黑体" w:cs="Times New Roman"/>
          <w:sz w:val="32"/>
          <w:szCs w:val="32"/>
          <w:lang w:val="en-US" w:eastAsia="zh-CN"/>
        </w:rPr>
        <w:t>24</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推进法治政府建设的主要计划安排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仿宋_GB2312"/>
          <w:sz w:val="32"/>
          <w:szCs w:val="32"/>
          <w:lang w:val="zh-CN"/>
        </w:rPr>
      </w:pPr>
      <w:r>
        <w:rPr>
          <w:rFonts w:hint="eastAsia" w:ascii="Times New Roman" w:hAnsi="Times New Roman" w:eastAsia="楷体_GB2312" w:cs="楷体_GB2312"/>
          <w:bCs/>
          <w:color w:val="000000"/>
          <w:kern w:val="0"/>
          <w:sz w:val="32"/>
          <w:szCs w:val="32"/>
          <w:lang w:val="en-US" w:eastAsia="zh-CN"/>
        </w:rPr>
        <w:t>（一）</w:t>
      </w:r>
      <w:r>
        <w:rPr>
          <w:rFonts w:hint="eastAsia" w:ascii="Times New Roman" w:hAnsi="Times New Roman" w:eastAsia="楷体_GB2312" w:cs="楷体_GB2312"/>
          <w:bCs/>
          <w:color w:val="000000"/>
          <w:kern w:val="0"/>
          <w:sz w:val="32"/>
          <w:szCs w:val="32"/>
          <w:lang w:val="zh-CN" w:eastAsia="zh-CN"/>
        </w:rPr>
        <w:t>强化法治宣传，提高法律意识。</w:t>
      </w:r>
      <w:r>
        <w:rPr>
          <w:rFonts w:hint="eastAsia" w:ascii="Times New Roman" w:hAnsi="Times New Roman" w:eastAsia="仿宋_GB2312" w:cs="仿宋_GB2312"/>
          <w:bCs/>
          <w:color w:val="000000"/>
          <w:kern w:val="0"/>
          <w:sz w:val="32"/>
          <w:szCs w:val="32"/>
          <w:lang w:val="zh-CN" w:eastAsia="zh-CN"/>
        </w:rPr>
        <w:t>加强法治宣传教育既是依法行政、依法理财的内在要求，也是提升依法行政、依法理财能力的重要手段。</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zh-CN"/>
        </w:rPr>
        <w:t>我局将紧扣财政改革和发展主题，将</w:t>
      </w:r>
      <w:r>
        <w:rPr>
          <w:rFonts w:hint="eastAsia" w:ascii="Times New Roman" w:hAnsi="Times New Roman" w:eastAsia="仿宋_GB2312" w:cs="仿宋_GB2312"/>
          <w:sz w:val="32"/>
          <w:szCs w:val="32"/>
          <w:lang w:val="en-US" w:eastAsia="zh-CN"/>
        </w:rPr>
        <w:t>习近平法治思想、</w:t>
      </w:r>
      <w:r>
        <w:rPr>
          <w:rFonts w:hint="eastAsia" w:ascii="Times New Roman" w:hAnsi="Times New Roman" w:eastAsia="仿宋_GB2312" w:cs="仿宋_GB2312"/>
          <w:sz w:val="32"/>
          <w:szCs w:val="32"/>
          <w:lang w:val="zh-CN"/>
        </w:rPr>
        <w:t>宪法、法律法规和党内法规作为宣传教育的</w:t>
      </w:r>
      <w:r>
        <w:rPr>
          <w:rFonts w:hint="eastAsia" w:ascii="Times New Roman" w:eastAsia="仿宋_GB2312" w:cs="仿宋_GB2312"/>
          <w:sz w:val="32"/>
          <w:szCs w:val="32"/>
          <w:lang w:val="zh-CN"/>
        </w:rPr>
        <w:t>重点内容</w:t>
      </w:r>
      <w:r>
        <w:rPr>
          <w:rFonts w:hint="eastAsia" w:ascii="Times New Roman" w:hAnsi="Times New Roman" w:eastAsia="仿宋_GB2312" w:cs="仿宋_GB2312"/>
          <w:sz w:val="32"/>
          <w:szCs w:val="32"/>
          <w:lang w:val="zh-CN"/>
        </w:rPr>
        <w:t>，不断提升法治财政建设水平。</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Cs/>
          <w:color w:val="000000"/>
          <w:kern w:val="0"/>
          <w:sz w:val="32"/>
          <w:szCs w:val="32"/>
          <w:lang w:val="zh-CN" w:eastAsia="zh-CN"/>
        </w:rPr>
        <w:t>（二）提高财政管理透明度，规范执法行为。</w:t>
      </w:r>
      <w:r>
        <w:rPr>
          <w:rFonts w:hint="eastAsia" w:ascii="Times New Roman" w:hAnsi="Times New Roman" w:eastAsia="仿宋_GB2312" w:cs="仿宋_GB2312"/>
          <w:sz w:val="32"/>
          <w:szCs w:val="32"/>
          <w:lang w:eastAsia="zh-CN"/>
        </w:rPr>
        <w:t>严格按照法律法规</w:t>
      </w:r>
      <w:r>
        <w:rPr>
          <w:rFonts w:hint="eastAsia" w:ascii="Times New Roman" w:hAnsi="Times New Roman" w:eastAsia="仿宋_GB2312" w:cs="仿宋_GB2312"/>
          <w:sz w:val="32"/>
          <w:szCs w:val="32"/>
        </w:rPr>
        <w:t>动态编制和管理财政系统权责清单</w:t>
      </w:r>
      <w:r>
        <w:rPr>
          <w:rFonts w:hint="eastAsia" w:ascii="Times New Roman" w:hAnsi="Times New Roman" w:eastAsia="仿宋_GB2312" w:cs="仿宋_GB2312"/>
          <w:sz w:val="32"/>
          <w:szCs w:val="32"/>
          <w:lang w:eastAsia="zh-CN"/>
        </w:rPr>
        <w:t>，促进财政部门履职清晰化、条理化、透明化。加强执法全过程的行政指导工作，</w:t>
      </w:r>
      <w:r>
        <w:rPr>
          <w:rFonts w:hint="eastAsia" w:ascii="Times New Roman" w:hAnsi="Times New Roman" w:eastAsia="仿宋_GB2312" w:cs="仿宋_GB2312"/>
          <w:sz w:val="32"/>
          <w:szCs w:val="32"/>
        </w:rPr>
        <w:t>对行政执法公示制度、执法全过程记录制度和重大执法决定法制审核制度落实情况进行监督，促进严格规范公正文明执法</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eastAsia="zh-CN"/>
        </w:rPr>
      </w:pPr>
      <w:r>
        <w:rPr>
          <w:rFonts w:hint="eastAsia" w:ascii="Times New Roman" w:hAnsi="Times New Roman" w:eastAsia="楷体_GB2312" w:cs="楷体_GB2312"/>
          <w:bCs/>
          <w:color w:val="000000"/>
          <w:kern w:val="0"/>
          <w:sz w:val="32"/>
          <w:szCs w:val="32"/>
          <w:lang w:val="en-US" w:eastAsia="zh-CN" w:bidi="ar-SA"/>
        </w:rPr>
        <w:t>（三）探索建立科学公正的考核体系和灵活机动的部门联动机制。</w:t>
      </w:r>
      <w:r>
        <w:rPr>
          <w:rFonts w:hint="eastAsia" w:ascii="Times New Roman" w:hAnsi="Times New Roman" w:eastAsia="仿宋_GB2312" w:cs="仿宋_GB2312"/>
          <w:bCs/>
          <w:color w:val="000000"/>
          <w:kern w:val="0"/>
          <w:sz w:val="32"/>
          <w:szCs w:val="32"/>
          <w:lang w:val="en-US" w:eastAsia="zh-CN"/>
        </w:rPr>
        <w:t>一方面探索健全财政执法监督体制，建立监督检查记录、办理程序，围绕法治财政建设要求，建立覆盖财政工作各环节、各流程的全方位法治财政考核体系；另一方面以规范性文件管理平台为依托，促进财政与各职能部门间联动，探索建立规范性文件共享机制，提高财政决策科学性和规范性。</w:t>
      </w:r>
    </w:p>
    <w:p>
      <w:pPr>
        <w:keepNext w:val="0"/>
        <w:keepLines w:val="0"/>
        <w:pageBreakBefore w:val="0"/>
        <w:widowControl w:val="0"/>
        <w:kinsoku/>
        <w:wordWrap/>
        <w:overflowPunct w:val="0"/>
        <w:topLinePunct w:val="0"/>
        <w:autoSpaceDE/>
        <w:autoSpaceDN/>
        <w:bidi w:val="0"/>
        <w:adjustRightInd/>
        <w:spacing w:line="560" w:lineRule="exact"/>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特此报告。</w:t>
      </w:r>
    </w:p>
    <w:p>
      <w:pPr>
        <w:pStyle w:val="2"/>
        <w:rPr>
          <w:rFonts w:hint="default"/>
          <w:lang w:val="en-US" w:eastAsia="zh-CN"/>
        </w:rPr>
      </w:pPr>
    </w:p>
    <w:p>
      <w:pPr>
        <w:pStyle w:val="2"/>
        <w:keepNext w:val="0"/>
        <w:keepLines w:val="0"/>
        <w:pageBreakBefore w:val="0"/>
        <w:widowControl w:val="0"/>
        <w:kinsoku/>
        <w:wordWrap/>
        <w:overflowPunct w:val="0"/>
        <w:topLinePunct w:val="0"/>
        <w:autoSpaceDE/>
        <w:autoSpaceDN/>
        <w:bidi w:val="0"/>
        <w:adjustRightInd/>
        <w:spacing w:line="560" w:lineRule="exac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rPr>
        <w:t xml:space="preserve"> </w:t>
      </w:r>
      <w:bookmarkStart w:id="0" w:name="_GoBack"/>
      <w:bookmarkEnd w:id="0"/>
    </w:p>
    <w:p>
      <w:pPr>
        <w:keepNext w:val="0"/>
        <w:keepLines w:val="0"/>
        <w:pageBreakBefore w:val="0"/>
        <w:widowControl w:val="0"/>
        <w:kinsoku/>
        <w:wordWrap/>
        <w:topLinePunct w:val="0"/>
        <w:autoSpaceDE/>
        <w:autoSpaceDN/>
        <w:bidi w:val="0"/>
        <w:spacing w:line="560" w:lineRule="exact"/>
        <w:textAlignment w:val="auto"/>
        <w:rPr>
          <w:rFonts w:ascii="Times New Roman" w:hAnsi="Times New Roman"/>
        </w:rPr>
      </w:pPr>
    </w:p>
    <w:sectPr>
      <w:footerReference r:id="rId3" w:type="default"/>
      <w:pgSz w:w="11906" w:h="16838"/>
      <w:pgMar w:top="1984" w:right="1474" w:bottom="1871"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2B1A"/>
    <w:multiLevelType w:val="singleLevel"/>
    <w:tmpl w:val="94632B1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ODFlMjU0OTk4MzhkOWVhNWQ5MGNjZTljNmNhNDcifQ=="/>
  </w:docVars>
  <w:rsids>
    <w:rsidRoot w:val="68927356"/>
    <w:rsid w:val="1AF41F18"/>
    <w:rsid w:val="235A6785"/>
    <w:rsid w:val="31EF6F01"/>
    <w:rsid w:val="365D08DD"/>
    <w:rsid w:val="4EA211BD"/>
    <w:rsid w:val="52991BA0"/>
    <w:rsid w:val="62FB48EC"/>
    <w:rsid w:val="647D7989"/>
    <w:rsid w:val="676F04C2"/>
    <w:rsid w:val="676F3148"/>
    <w:rsid w:val="682D3A48"/>
    <w:rsid w:val="68927356"/>
    <w:rsid w:val="78CC0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Times New Roman" w:eastAsia="宋体" w:cs="Times New Roman"/>
      <w:sz w:val="44"/>
    </w:rPr>
  </w:style>
  <w:style w:type="paragraph" w:styleId="3">
    <w:name w:val="Body Text First Indent"/>
    <w:basedOn w:val="2"/>
    <w:qFormat/>
    <w:uiPriority w:val="0"/>
    <w:pPr>
      <w:ind w:firstLine="420" w:firstLineChars="100"/>
    </w:pPr>
    <w:rPr>
      <w:rFonts w:ascii="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jc w:val="left"/>
    </w:pPr>
    <w:rPr>
      <w:kern w:val="0"/>
      <w:sz w:val="24"/>
      <w:szCs w:val="24"/>
    </w:rPr>
  </w:style>
  <w:style w:type="paragraph" w:customStyle="1" w:styleId="11">
    <w:name w:val="Default"/>
    <w:autoRedefine/>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2024-01-04T09:36:00Z</dcterms:created>
  <dc:creator>Administrator</dc:creator>
  <cp:lastModifiedBy>Administrator</cp:lastModifiedBy>
  <cp:lastPrinted>2024-01-19T03:28:00Z</cp:lastPrinted>
  <dcterms:modified xsi:type="dcterms:W3CDTF">2024-01-23T02:23:50Z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D48646C13A40470A81DD6A4B6E8C09DB_12</vt:lpwstr>
  </property>
</Properties>
</file>