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6" w:lineRule="auto"/>
      </w:pP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01" w:line="219" w:lineRule="auto"/>
        <w:ind w:left="287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源政办发〔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2024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号</w:t>
      </w:r>
    </w:p>
    <w:p>
      <w:pPr>
        <w:spacing w:before="153" w:line="35" w:lineRule="exact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spacing w:before="140" w:line="223" w:lineRule="auto"/>
        <w:ind w:left="222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沂源县人民政府办公室</w:t>
      </w:r>
    </w:p>
    <w:p>
      <w:pPr>
        <w:spacing w:before="19" w:line="224" w:lineRule="auto"/>
        <w:ind w:left="1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关于印发沂源县推进城市更新工作指导意见的</w:t>
      </w:r>
    </w:p>
    <w:p>
      <w:pPr>
        <w:spacing w:before="29" w:line="215" w:lineRule="auto"/>
        <w:ind w:left="376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通</w:t>
      </w:r>
      <w:r>
        <w:rPr>
          <w:rFonts w:ascii="宋体" w:hAnsi="宋体" w:eastAsia="宋体" w:cs="宋体"/>
          <w:spacing w:val="10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知</w:t>
      </w:r>
    </w:p>
    <w:p>
      <w:pPr>
        <w:pStyle w:val="2"/>
        <w:spacing w:line="287" w:lineRule="auto"/>
      </w:pPr>
    </w:p>
    <w:p>
      <w:pPr>
        <w:pStyle w:val="2"/>
        <w:spacing w:line="287" w:lineRule="auto"/>
      </w:pPr>
    </w:p>
    <w:p>
      <w:pPr>
        <w:spacing w:before="102" w:line="305" w:lineRule="auto"/>
        <w:ind w:left="19" w:right="696" w:hanging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各镇人民政府，各街道办事处，经济开发区管委会，县政府各有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关部门，各有关单位：</w:t>
      </w:r>
    </w:p>
    <w:p>
      <w:pPr>
        <w:spacing w:before="54" w:line="305" w:lineRule="auto"/>
        <w:ind w:left="46" w:right="696" w:firstLine="59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《沂源县推进城市更新工作指导意见》已经县政府同意，现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印发给你们，请结合实际认真贯彻执行。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102" w:line="309" w:lineRule="auto"/>
        <w:ind w:left="4946" w:right="1930" w:hanging="51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沂源县人民政府办公室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1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7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日</w:t>
      </w:r>
    </w:p>
    <w:p>
      <w:pPr>
        <w:spacing w:before="48" w:line="219" w:lineRule="auto"/>
        <w:ind w:left="639"/>
        <w:rPr>
          <w:rFonts w:ascii="FangSong_GB2312" w:hAnsi="FangSong_GB2312" w:eastAsia="FangSong_GB2312" w:cs="FangSong_GB2312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6050915</wp:posOffset>
            </wp:positionH>
            <wp:positionV relativeFrom="paragraph">
              <wp:posOffset>353060</wp:posOffset>
            </wp:positionV>
            <wp:extent cx="6350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（此件公开发布）</w:t>
      </w:r>
    </w:p>
    <w:p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9"/>
          <w:pgMar w:top="1431" w:right="834" w:bottom="1526" w:left="1537" w:header="0" w:footer="1246" w:gutter="0"/>
          <w:cols w:space="720" w:num="1"/>
        </w:sectPr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spacing w:before="140" w:line="224" w:lineRule="auto"/>
        <w:ind w:left="112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沂源县推进城市更新工作指导意见</w:t>
      </w:r>
    </w:p>
    <w:p>
      <w:pPr>
        <w:spacing w:before="147" w:line="224" w:lineRule="auto"/>
        <w:ind w:left="362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7"/>
          <w:sz w:val="31"/>
          <w:szCs w:val="31"/>
        </w:rPr>
        <w:t>（讨论稿）</w:t>
      </w:r>
    </w:p>
    <w:p>
      <w:pPr>
        <w:pStyle w:val="2"/>
        <w:spacing w:line="319" w:lineRule="auto"/>
      </w:pPr>
    </w:p>
    <w:p>
      <w:pPr>
        <w:pStyle w:val="2"/>
        <w:spacing w:line="320" w:lineRule="auto"/>
      </w:pPr>
    </w:p>
    <w:p>
      <w:pPr>
        <w:spacing w:before="101" w:line="322" w:lineRule="auto"/>
        <w:ind w:left="16" w:right="79" w:firstLine="64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为加快建设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现代化山水花园城市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，进一步优化城市功能、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改善人居环境、补齐民生短板、完善公共设施，提高城市能级活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力，根据有关法律法规，结合我县实际，制定本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指导意见。</w:t>
      </w:r>
    </w:p>
    <w:p>
      <w:pPr>
        <w:spacing w:before="56" w:line="228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一、总体要求</w:t>
      </w:r>
    </w:p>
    <w:p>
      <w:pPr>
        <w:spacing w:before="174" w:line="327" w:lineRule="auto"/>
        <w:ind w:left="9" w:right="13" w:firstLine="66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1.</w:t>
      </w:r>
      <w:r>
        <w:rPr>
          <w:rFonts w:ascii="KaiTi_GB2312" w:hAnsi="KaiTi_GB2312" w:eastAsia="KaiTi_GB2312" w:cs="KaiTi_GB2312"/>
          <w:spacing w:val="16"/>
          <w:sz w:val="31"/>
          <w:szCs w:val="31"/>
        </w:rPr>
        <w:t>指导思想。</w:t>
      </w:r>
      <w:r>
        <w:rPr>
          <w:rFonts w:ascii="KaiTi_GB2312" w:hAnsi="KaiTi_GB2312" w:eastAsia="KaiTi_GB2312" w:cs="KaiTi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以习近平新时代中国特色社会主义思想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为指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导，全面贯彻党的二十大精神，坚持以人民为中心和新发展理念，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统筹推进城市更新，进一步完善城市功能、改善人居环境、传承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历史文化、促进绿色低碳、激发城市活力，塑造城市特色风貌，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打造近悦远来，有温度、可感知、会呼吸的精致小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城。</w:t>
      </w:r>
    </w:p>
    <w:p>
      <w:pPr>
        <w:spacing w:before="57" w:line="327" w:lineRule="auto"/>
        <w:ind w:left="9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27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6"/>
          <w:sz w:val="31"/>
          <w:szCs w:val="31"/>
        </w:rPr>
        <w:t>实施范围。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本指导意见所称城市更新，是指对我县城镇开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发边界范围内（重点为城市建成区）城市空间形态和功能进行整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治提升的活动。主要包括城市基础设施建设、公共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服务配套完善、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历史文化风貌保护、生态环境修复、重点片区开发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、棚户区改造、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老旧小区改造、城中村改造等城市更新情形。</w:t>
      </w:r>
    </w:p>
    <w:p>
      <w:pPr>
        <w:spacing w:before="56" w:line="327" w:lineRule="auto"/>
        <w:ind w:right="95"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KaiTi_GB2312" w:hAnsi="KaiTi_GB2312" w:eastAsia="KaiTi_GB2312" w:cs="KaiTi_GB2312"/>
          <w:spacing w:val="7"/>
          <w:sz w:val="31"/>
          <w:szCs w:val="31"/>
        </w:rPr>
        <w:t>基本原则。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坚持以人为本，民生优先，充分尊重更新区域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居民的知情权和参与权，广泛征集更新意愿和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需求；坚持规划引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领，品质为先，科学编制城市更新规划，坚持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历史文化传承和城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市更新发展并重，注重区域统筹，确保城市更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新中公建配套和市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政基础设施同步规划、优先建设、同步使用。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坚持政府引导，市</w:t>
      </w:r>
    </w:p>
    <w:p>
      <w:pPr>
        <w:spacing w:line="327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6" w:h="16839"/>
          <w:pgMar w:top="1431" w:right="1435" w:bottom="1525" w:left="1533" w:header="0" w:footer="1246" w:gutter="0"/>
          <w:cols w:space="720" w:num="1"/>
        </w:sectPr>
      </w:pP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spacing w:before="101" w:line="327" w:lineRule="auto"/>
        <w:ind w:left="3" w:right="81" w:hanging="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场运作，切实履行制定政策、建设基础设施、提供公共服务等方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面职能，充分调动各方积极性，鼓励多元主体参与，积极探索投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融资新模式，着力激发市场主体投资活力。坚持试点先行，有序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推进，积极探索城市更新的新模式、新路径，形成成熟经验后逐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步推广。</w:t>
      </w:r>
    </w:p>
    <w:p>
      <w:pPr>
        <w:spacing w:before="53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二、实施路径</w:t>
      </w:r>
    </w:p>
    <w:p>
      <w:pPr>
        <w:spacing w:before="171" w:line="331" w:lineRule="auto"/>
        <w:ind w:left="1" w:right="29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3"/>
          <w:sz w:val="31"/>
          <w:szCs w:val="31"/>
        </w:rPr>
        <w:t>明确更新方式。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坚持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留改拆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并举，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通过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提升、改造、重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建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三种方式，统筹推进片区综合有机更新。一是整治提升类：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不涉及建筑主体结构变动和使用功能改变，完善教育、医疗、养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老、社区等公共服务设施以及城市基础设施，实施片区内建筑物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立面出新、环境整治、功能提升等。二是改造修缮类：对规划保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留或不具备拆除条件的老旧建筑及历史性建筑，按照文保建筑、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历史建筑保护要求，通过功能改变、修缮加固等方式进行盘活利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用、激发活力。可由物业权利人在城市更新中按照相关规定，自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行组织实施。三是拆除重建类：对零星危房、低效用地以及成片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的棚户区（城中村）等，按照城市更新规划，鼓励集中连片开发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建设，建筑物实施征收拆除。</w:t>
      </w:r>
    </w:p>
    <w:p>
      <w:pPr>
        <w:spacing w:before="55" w:line="328" w:lineRule="auto"/>
        <w:ind w:firstLine="64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5.</w:t>
      </w:r>
      <w:r>
        <w:rPr>
          <w:rFonts w:ascii="KaiTi_GB2312" w:hAnsi="KaiTi_GB2312" w:eastAsia="KaiTi_GB2312" w:cs="KaiTi_GB2312"/>
          <w:spacing w:val="7"/>
          <w:sz w:val="31"/>
          <w:szCs w:val="31"/>
        </w:rPr>
        <w:t>完善工作机制。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由县城市更新与管理指挥部（以下简称指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挥部）根据县委、县政府决策部署，统筹推进全县城市更新工作，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协调解决重大问题，督导考核各成员单位工作。有关镇（街道、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经济开发区）以及县政府有关职责部门，作为相关城市更新工作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的责任主体，按规定履行城市更新工作职责，明确目标责任，组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织实施城市更新。县政府有关部门根据职责分工为城市更新提供</w:t>
      </w:r>
    </w:p>
    <w:p>
      <w:pPr>
        <w:spacing w:line="32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6" w:h="16839"/>
          <w:pgMar w:top="1431" w:right="1449" w:bottom="1525" w:left="1539" w:header="0" w:footer="1246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2" w:lineRule="auto"/>
      </w:pPr>
    </w:p>
    <w:p>
      <w:pPr>
        <w:spacing w:before="101" w:line="219" w:lineRule="auto"/>
        <w:ind w:left="1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服务和管理。</w:t>
      </w:r>
    </w:p>
    <w:p>
      <w:pPr>
        <w:spacing w:before="196" w:line="325" w:lineRule="auto"/>
        <w:ind w:right="100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6.</w:t>
      </w:r>
      <w:r>
        <w:rPr>
          <w:rFonts w:ascii="KaiTi_GB2312" w:hAnsi="KaiTi_GB2312" w:eastAsia="KaiTi_GB2312" w:cs="KaiTi_GB2312"/>
          <w:spacing w:val="7"/>
          <w:sz w:val="31"/>
          <w:szCs w:val="31"/>
        </w:rPr>
        <w:t>选择实施主体。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城市更新按照实施主体多元化原则，根据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城市更新单元或更新项目实际情况确定实施主体，主要包括县国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有平台公司及其他市场主体等。鼓励原土地使用权人、原农村集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体经济组织作为实施主体，参与城市更新工作。</w:t>
      </w:r>
    </w:p>
    <w:p>
      <w:pPr>
        <w:spacing w:before="54" w:line="328" w:lineRule="auto"/>
        <w:ind w:left="11" w:right="48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7.</w:t>
      </w:r>
      <w:r>
        <w:rPr>
          <w:rFonts w:ascii="KaiTi_GB2312" w:hAnsi="KaiTi_GB2312" w:eastAsia="KaiTi_GB2312" w:cs="KaiTi_GB2312"/>
          <w:spacing w:val="14"/>
          <w:sz w:val="31"/>
          <w:szCs w:val="31"/>
        </w:rPr>
        <w:t>加强规划引领。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积极构建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城市更新专项规划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—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城市更新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片区实施方案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的城市更新目标传导机制。围绕国土空间规划，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组织编制城市更新专项规划，明确城市更新方式、城市更新策略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和城市更新总体布局等；应在广泛征求利益相关人、社会公众、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意向实施主体等意见建议并组织专家论证的基础上确定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城市更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新片区实施方案，片区实施方案相关内容应符合详细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规划。</w:t>
      </w:r>
    </w:p>
    <w:p>
      <w:pPr>
        <w:spacing w:before="52" w:line="327" w:lineRule="auto"/>
        <w:ind w:left="3" w:right="100" w:firstLine="65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8.</w:t>
      </w:r>
      <w:r>
        <w:rPr>
          <w:rFonts w:ascii="KaiTi_GB2312" w:hAnsi="KaiTi_GB2312" w:eastAsia="KaiTi_GB2312" w:cs="KaiTi_GB2312"/>
          <w:spacing w:val="7"/>
          <w:sz w:val="31"/>
          <w:szCs w:val="31"/>
        </w:rPr>
        <w:t>制定年度计划。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责任主体根据城市更新专项规划对各类需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要进行更新的项目，及时开展评估，对更新需求迫切、近期有条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件实施的更新项目，向指挥部申报纳入城市更新年度计划。指挥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部对提报的城市更新项目审核后，拟定城市更新年度计划，报县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政府研究批准后依法实施。</w:t>
      </w:r>
    </w:p>
    <w:p>
      <w:pPr>
        <w:spacing w:before="56" w:line="227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三、政策措施</w:t>
      </w:r>
    </w:p>
    <w:p>
      <w:pPr>
        <w:spacing w:before="177" w:line="327" w:lineRule="auto"/>
        <w:ind w:left="4" w:firstLine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9.</w:t>
      </w:r>
      <w:r>
        <w:rPr>
          <w:rFonts w:ascii="KaiTi_GB2312" w:hAnsi="KaiTi_GB2312" w:eastAsia="KaiTi_GB2312" w:cs="KaiTi_GB2312"/>
          <w:spacing w:val="7"/>
          <w:sz w:val="31"/>
          <w:szCs w:val="31"/>
        </w:rPr>
        <w:t>有序推进城市更新。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以城市更新专项规划为指引，科学划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定城市更新片区，有序开展城市更新行动。实施主体充分结合更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新片区城市发展和民生诉求，组织编制《城市更新片区实施方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案》，确定更新范围、留改拆内容、方式及建筑规模、使用功能、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建设计划、土地取得方式、资金筹措方式、运营管理模式等。</w:t>
      </w:r>
    </w:p>
    <w:p>
      <w:pPr>
        <w:spacing w:before="57" w:line="219" w:lineRule="auto"/>
        <w:ind w:left="67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10.</w:t>
      </w:r>
      <w:r>
        <w:rPr>
          <w:rFonts w:ascii="KaiTi_GB2312" w:hAnsi="KaiTi_GB2312" w:eastAsia="KaiTi_GB2312" w:cs="KaiTi_GB2312"/>
          <w:spacing w:val="7"/>
          <w:sz w:val="31"/>
          <w:szCs w:val="31"/>
        </w:rPr>
        <w:t>统筹规划布局公共设施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。</w:t>
      </w:r>
      <w:r>
        <w:rPr>
          <w:rFonts w:ascii="FangSong_GB2312" w:hAnsi="FangSong_GB2312" w:eastAsia="FangSong_GB2312" w:cs="FangSong_GB2312"/>
          <w:spacing w:val="-7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以建设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“15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分钟社区生活圈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为</w:t>
      </w:r>
    </w:p>
    <w:p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8" w:type="default"/>
          <w:pgSz w:w="11906" w:h="16839"/>
          <w:pgMar w:top="1431" w:right="1431" w:bottom="1525" w:left="1536" w:header="0" w:footer="1246" w:gutter="0"/>
          <w:cols w:space="720" w:num="1"/>
        </w:sectPr>
      </w:pPr>
    </w:p>
    <w:p>
      <w:pPr>
        <w:pStyle w:val="2"/>
        <w:spacing w:line="313" w:lineRule="auto"/>
      </w:pPr>
    </w:p>
    <w:p>
      <w:pPr>
        <w:pStyle w:val="2"/>
        <w:spacing w:line="314" w:lineRule="auto"/>
      </w:pPr>
    </w:p>
    <w:p>
      <w:pPr>
        <w:spacing w:before="100" w:line="326" w:lineRule="auto"/>
        <w:ind w:left="2" w:right="95" w:firstLine="5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目标，改善居民住房条件，开展市政基础设施更新改造，完善公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共空间和公共服务设施。对新建房地产开发项目，教育设施应列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入首期项目建设；分期建设的开发项目，公共服务配套设施应当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在规划地块建设总量（不含配套设施的建筑面积）完成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80%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前建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设完成，并按规定完成工程竣工验收且验收合格。独立占地建设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的公共服务配套设施应当在规划地块建设总量（不含配套设施的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建筑面积）完成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50%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前建设完成，并按规定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完成工程竣工验收且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验收合格。</w:t>
      </w:r>
    </w:p>
    <w:p>
      <w:pPr>
        <w:spacing w:before="98" w:line="327" w:lineRule="auto"/>
        <w:ind w:left="12" w:right="92" w:firstLine="65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11.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>鼓励土地连片改造。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在符合国土空间规划的前提下，遵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循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面积相近、价值相等、双方自愿、凭证置换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的原则，允许城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市更新项目用地范围内、外地块之间的土地置换。城市更新区域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内项目的容积率、建筑高度等指标，在不违反国家有关强制性规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范、标准的前提下，可适当放宽。</w:t>
      </w:r>
    </w:p>
    <w:p>
      <w:pPr>
        <w:spacing w:before="54" w:line="329" w:lineRule="auto"/>
        <w:ind w:firstLine="67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12.</w:t>
      </w:r>
      <w:r>
        <w:rPr>
          <w:rFonts w:ascii="Times New Roman" w:hAnsi="Times New Roman" w:eastAsia="Times New Roman" w:cs="Times New Roman"/>
          <w:spacing w:val="-40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11"/>
          <w:sz w:val="31"/>
          <w:szCs w:val="31"/>
        </w:rPr>
        <w:t>支持新业态转型升级。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在符合国土空间规划前提下，经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主管部门批准，对利用现有房屋和土地兴办文化创意、科技研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发、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健康养老、工业旅游、众创空间、生产性服务业、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互联网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+”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等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新业态的新型产业项目，可按照为期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的过渡期政策，继续按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原用途和土地权利类型使用土地。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年期满或者涉及转让需要办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理用地手续的，可按新用途、新权利类型、市场价办理相关用地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手续。</w:t>
      </w:r>
    </w:p>
    <w:p>
      <w:pPr>
        <w:spacing w:before="51" w:line="323" w:lineRule="auto"/>
        <w:ind w:left="5" w:firstLine="66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13.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>积极盘活利用存量资源。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全面推进城镇低效用地开发利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用，发挥市场配置资源作用，通过完善交易规则、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健全服务体系、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降低交易成本等手段，鼓励引导低效用地进入土地二级市场流</w:t>
      </w:r>
    </w:p>
    <w:p>
      <w:pPr>
        <w:spacing w:line="323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9" w:type="default"/>
          <w:pgSz w:w="11906" w:h="16839"/>
          <w:pgMar w:top="1431" w:right="1435" w:bottom="1523" w:left="1538" w:header="0" w:footer="1246" w:gutter="0"/>
          <w:cols w:space="720" w:num="1"/>
        </w:sectPr>
      </w:pPr>
    </w:p>
    <w:p>
      <w:pPr>
        <w:pStyle w:val="2"/>
        <w:spacing w:line="312" w:lineRule="auto"/>
      </w:pPr>
    </w:p>
    <w:p>
      <w:pPr>
        <w:pStyle w:val="2"/>
        <w:spacing w:line="313" w:lineRule="auto"/>
      </w:pPr>
    </w:p>
    <w:p>
      <w:pPr>
        <w:spacing w:before="100" w:line="325" w:lineRule="auto"/>
        <w:ind w:left="11" w:firstLine="1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转，激发低效用地入市交易、盘活利用的积极性。结合老旧小区改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造，深入挖掘小区内空间资源，整合小区周边零星土地，实施新建、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改扩建公共服务和社会服务设施的，在不违反国家有关强制性规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范、标准的前提下，可适当放宽建筑密度、容积率等技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术指标。</w:t>
      </w:r>
    </w:p>
    <w:p>
      <w:pPr>
        <w:spacing w:before="52" w:line="330" w:lineRule="auto"/>
        <w:ind w:right="64" w:firstLine="67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14.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>规范城中村改造工作。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该项工作实施范围是各村（居）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居民点搬迁腾空的建设用地。改造项目要精准算账，</w:t>
      </w:r>
      <w:r>
        <w:rPr>
          <w:rFonts w:ascii="FangSong_GB2312" w:hAnsi="FangSong_GB2312" w:eastAsia="FangSong_GB2312" w:cs="FangSong_GB2312"/>
          <w:spacing w:val="-7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自求平衡，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合理确定安置面积标准，安置补偿户安置房选房标准执行面积上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限为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220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平方米。按照民主决策程序和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一村一策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”“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原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则，实施自主改造。扣除总体平衡算账部分剩余的腾空土地，由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县政府收储。沂源县人民政府办公室《关于印发沂源县城中村园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区村改造办法的通知》</w:t>
      </w:r>
      <w:r>
        <w:rPr>
          <w:rFonts w:ascii="FangSong_GB2312" w:hAnsi="FangSong_GB2312" w:eastAsia="FangSong_GB2312" w:cs="FangSong_GB2312"/>
          <w:spacing w:val="-1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（源政办发〔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2018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59</w:t>
      </w:r>
      <w:r>
        <w:rPr>
          <w:rFonts w:ascii="Times New Roman" w:hAnsi="Times New Roman" w:eastAsia="Times New Roman" w:cs="Times New Roman"/>
          <w:spacing w:val="34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号）文件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不再执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行。</w:t>
      </w:r>
    </w:p>
    <w:p>
      <w:pPr>
        <w:spacing w:before="49" w:line="228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四、保障措施</w:t>
      </w:r>
    </w:p>
    <w:p>
      <w:pPr>
        <w:spacing w:before="177" w:line="327" w:lineRule="auto"/>
        <w:ind w:left="4" w:right="102" w:firstLine="66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15.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>加强组织领导。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指挥部统筹城市更新政策制定、重大问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题协调、城市更新规划和重点更新片区实施方案审核等事项。各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镇（街道、经济开发区）按照属地管理原则，负责统筹组织协调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辖区内城市更新工作；县直有关部门、单位依据分工负责城市更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新相关工作，按照本意见制定相关配套文件。</w:t>
      </w:r>
    </w:p>
    <w:p>
      <w:pPr>
        <w:spacing w:before="57" w:line="327" w:lineRule="auto"/>
        <w:ind w:left="6" w:right="33" w:firstLine="6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16.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>突出规划引领。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立足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东强、西兴、南起、北美、</w:t>
      </w:r>
      <w:r>
        <w:rPr>
          <w:rFonts w:ascii="FangSong_GB2312" w:hAnsi="FangSong_GB2312" w:eastAsia="FangSong_GB2312" w:cs="FangSong_GB2312"/>
          <w:spacing w:val="-9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中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优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的城市建设总体布局，按照统筹推进各片区开发建设一体化发展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思路，编制城市新区详细规划和老城区更新规划、片区策划、年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度计划，逐步搭建由实施规划及年度计划组成的城市更新目标传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导机制。</w:t>
      </w:r>
    </w:p>
    <w:p>
      <w:pPr>
        <w:spacing w:line="327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0" w:type="default"/>
          <w:pgSz w:w="11906" w:h="16839"/>
          <w:pgMar w:top="1431" w:right="1428" w:bottom="1525" w:left="1536" w:header="0" w:footer="1246" w:gutter="0"/>
          <w:cols w:space="720" w:num="1"/>
        </w:sectPr>
      </w:pPr>
    </w:p>
    <w:p>
      <w:pPr>
        <w:pStyle w:val="2"/>
        <w:spacing w:line="315" w:lineRule="auto"/>
      </w:pPr>
    </w:p>
    <w:p>
      <w:pPr>
        <w:pStyle w:val="2"/>
        <w:spacing w:line="315" w:lineRule="auto"/>
      </w:pPr>
    </w:p>
    <w:p>
      <w:pPr>
        <w:spacing w:before="100" w:line="329" w:lineRule="auto"/>
        <w:ind w:right="32" w:firstLine="66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17.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>强化资金保障。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城市更新项目形成的土地价款，可支配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部分统筹用于推进城市更新。在符合上级政策要求的前提下，整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合利用老旧小区改造、棚户区改造、保障性租赁住房、排水防涝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等专项财政资金用于城市更新。同时，拓展融资渠道，加大政府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专项债券对城市更新的支持，鼓励城市更新项目积极利用国家政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策性金融和市场金融的支持政策筹集资金；引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入各类社会资本，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探索设立城市更新专项基金；引导金融机构加大对城市更新的支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持力度；合理引导居民出资参与更新改造。</w:t>
      </w:r>
    </w:p>
    <w:p>
      <w:pPr>
        <w:spacing w:before="54" w:line="325" w:lineRule="auto"/>
        <w:ind w:firstLine="66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18.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>建立考核机制。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指挥部定期对城市更新工作涉及的相关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部门、各镇（街道、经济开发区）和有关实施单位进行检查、监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督和考核。对未能按照时序要求完成建设任务的，进行重点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督导；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对建设进度严重滞后的，追究相关责任。</w:t>
      </w:r>
      <w:bookmarkStart w:id="0" w:name="_GoBack"/>
      <w:bookmarkEnd w:id="0"/>
    </w:p>
    <w:sectPr>
      <w:footerReference r:id="rId11" w:type="default"/>
      <w:pgSz w:w="11906" w:h="16839"/>
      <w:pgMar w:top="1431" w:right="1530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6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6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6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3ZjAyMDg1OGQ5ODY4NmE5NjlkNzRmYmM5NjEwYTgifQ=="/>
  </w:docVars>
  <w:rsids>
    <w:rsidRoot w:val="00000000"/>
    <w:rsid w:val="70550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3278</Words>
  <Characters>3328</Characters>
  <TotalTime>14</TotalTime>
  <ScaleCrop>false</ScaleCrop>
  <LinksUpToDate>false</LinksUpToDate>
  <CharactersWithSpaces>3461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2024-02-20T17:28:00Z</dcterms:created>
  <dc:creator>建设局</dc:creator>
  <cp:lastModifiedBy>Darren</cp:lastModifiedBy>
  <dcterms:modified xsi:type="dcterms:W3CDTF">2024-06-24T07:16:06Z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2024-06-24T15:01:29Z</vt:filetime>
  </property>
  <property fmtid="{D5CDD505-2E9C-101B-9397-08002B2CF9AE}" pid="4" name="KSOProductBuildVer">
    <vt:lpwstr>2052-12.1.0.16929</vt:lpwstr>
  </property>
  <property fmtid="{D5CDD505-2E9C-101B-9397-08002B2CF9AE}" pid="5" name="ICV">
    <vt:lpwstr>CA90D474F4B84F95BD3922BA27AF1CB1_12</vt:lpwstr>
  </property>
</Properties>
</file>