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附件10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固定资产投资项目节能审查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“区域评估＋告知承诺制”应用指南(试行)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w w:val="100"/>
          <w:position w:val="0"/>
          <w:sz w:val="32"/>
          <w:szCs w:val="32"/>
        </w:rPr>
        <w:t>本指南适用于在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w w:val="100"/>
          <w:position w:val="0"/>
          <w:sz w:val="32"/>
          <w:szCs w:val="32"/>
        </w:rPr>
        <w:t>范围内已完成固定资产投资项目节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w w:val="100"/>
          <w:position w:val="0"/>
          <w:sz w:val="32"/>
          <w:szCs w:val="32"/>
          <w:lang w:eastAsia="zh-CN"/>
        </w:rPr>
        <w:t>能审查区域评估的区域，指导相关建设项目应用“区域评估＋告知承诺制”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二、有关文件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《固定资产投资项目节能审查办法》(国家发改委2016年第44号令);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《国务院办公厅关于全面开展工程建设项目审批制度改革的实施意见》(国办发〔2019〕11号);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《山东省区域节能审查实施办法(试行)》(鲁发改环资〔2020〕830号)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《关于印发山东省单位能耗产出效益综合评价实施细则(试行)和山东省单位能耗产出效益综合评价试点工作方案的通知》(鲁发改环资〔2019〕773号)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《山东省人民政府办公厅关于印发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坚决遏制“两高”项目盲目发展的若干措施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的通知》(鲁政办字〔2021〕98号)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成果应用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textAlignment w:val="baseline"/>
        <w:outlineLvl w:val="0"/>
        <w:rPr>
          <w:rFonts w:hint="eastAsia" w:ascii="黑体" w:hAnsi="黑体" w:eastAsia="仿宋_GB2312" w:cs="黑体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经济开发区评估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区域内新上项目实行分类管理。其中需单独进行节能审查项目实行清单管理，清单外项目实行承诺备案制和定期报告制，不再单独进行节能审查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清单外项目应于项目开工前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由项目建设单位向行政审批部门提出节能承诺备案申请，填报《固定资产投资项目节能承诺备案表》,作出具有法律效力的书面承诺。承诺内容将作为节能主管部门开展事中事后监管的重要依据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项目建成投产后6个月内，项目建设单位或者项目法人应当向节能主管部门提交书面报告，报告本项目实际建设情况(建设规模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主要内容、主要用能设备等)、试运行期间耗能情况(能耗种类、数量以及相关能效标准的对比情况等)项目用能情况、建设内容、建设主体、建设地址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如果其中有任何一项发生变化的，需要重新提交承诺表。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附件：10-1.固定资产投资项目节能承诺备案表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（样表）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附件10-1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固定资产投资项目节能承诺备案表(样表)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40" w:lineRule="exact"/>
        <w:ind w:left="0" w:leftChars="0"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28"/>
          <w:szCs w:val="28"/>
          <w:lang w:eastAsia="zh-CN"/>
        </w:rPr>
        <w:t>日</w:t>
      </w:r>
    </w:p>
    <w:tbl>
      <w:tblPr>
        <w:tblStyle w:val="9"/>
        <w:tblW w:w="9757" w:type="dxa"/>
        <w:tblInd w:w="-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756"/>
        <w:gridCol w:w="1007"/>
        <w:gridCol w:w="1789"/>
        <w:gridCol w:w="330"/>
        <w:gridCol w:w="1466"/>
        <w:gridCol w:w="394"/>
        <w:gridCol w:w="210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项目概况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单位(盖章)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建设地点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单位负责人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单位负责人电话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联系人电话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项目性质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新建□改建□扩建□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 (万元)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投资管理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类别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审批□          核准□          备案□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属行业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建筑面积(m²)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拟开工时间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拟投产时间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2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建设规模及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主要内容</w:t>
            </w:r>
          </w:p>
        </w:tc>
        <w:tc>
          <w:tcPr>
            <w:tcW w:w="72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2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年耗能量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能源种类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年需要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实物量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参考折标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系数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年耗能量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(吨标准煤)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电力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(当量值)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(等价值)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煤炭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热力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天然气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耗能工质类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6348" w:type="dxa"/>
            <w:gridSpan w:val="5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项目年耗能总量(吨标准煤)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(当量值)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6348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(等价值)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能效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指标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单位产品能耗(吨标准煤/产品单位)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28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textAlignment w:val="baseline"/>
              <w:rPr>
                <w:rFonts w:ascii="宋体" w:hAnsi="宋体" w:eastAsia="宋体" w:cs="宋体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63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仿宋_GB2312" w:cs="宋体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单位工业增加值能耗(吨标准煤/万元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8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textAlignment w:val="baseline"/>
              <w:rPr>
                <w:rFonts w:ascii="Arial"/>
                <w:spacing w:val="0"/>
                <w:w w:val="10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7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textAlignment w:val="baseline"/>
              <w:rPr>
                <w:rFonts w:ascii="宋体" w:hAnsi="宋体" w:eastAsia="宋体" w:cs="宋体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项目节能措施简述(采用的节能设计标准、规范以及节能新技术、新产品并说明项目能源利用效率):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3" w:hRule="atLeast"/>
        </w:trPr>
        <w:tc>
          <w:tcPr>
            <w:tcW w:w="97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本单位郑重承诺：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1.本单位所提供的材料及数据真实有效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2.本项目不属于区域能评确定的负面清单范围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3.本项目符合国家和我省的产业政策，符合区域产业发展规划要求。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4.本项目单位产品能耗、电耗、水耗达到国家、省行业能耗准入标准(没有准入标准的，执行限额标准或地方能效指南)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5.本项目达产后，年综合能源消费量控制在吨标准煤(当量值)以内，预测每万元工业增加值能耗为吨标准煤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6.本项目主要用能设备选择符合国家相关节能技术标准，无国家明令禁止使用的淘汰落后设备。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7.按规定配备相应的能源计量器具，落实能源计量管理。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8.本项目实施过程中，将严格遵守国家相关节能法律法规政策；建成投产后将严格履行报告义务，自觉配合相关检查、监察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9.若未遵守本承诺内容，将依照有关法律法规政策规定接受处罚，依法承担相应责任,并接受联合惩戒。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280" w:firstLineChars="1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企业负责人(签字):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企业(盖章)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6720" w:firstLineChars="24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97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Autospacing="0" w:line="42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spacing w:val="0"/>
                <w:w w:val="100"/>
                <w:kern w:val="0"/>
                <w:positio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登记备案意见：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1.经审核，符合受理条件，原则同意通过该项目节能审查承诺备案。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2.项目建设单位要进一步加强节能管理，落实节能措施，确保项目总用能量控制在承诺数内，不得突破。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leftChars="0"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right="0" w:firstLine="7000" w:firstLineChars="25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 签 章 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0" w:lineRule="exact"/>
              <w:ind w:left="0" w:right="0" w:firstLine="6720" w:firstLineChars="24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20" w:lineRule="exact"/>
        <w:ind w:left="0" w:right="0" w:hanging="560" w:hanging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</w:rPr>
        <w:t>(1)各种能源及耗能工质折标准煤参考系数参照《综合能耗计算通则》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20" w:lineRule="exact"/>
        <w:ind w:left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</w:rPr>
        <w:t>(GB/T2589)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20" w:lineRule="exact"/>
        <w:ind w:left="0" w:leftChars="0" w:right="0" w:firstLine="56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  <w:sectPr>
          <w:pgSz w:w="12090" w:h="1698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</w:rPr>
        <w:t>(2)能源种类、耗能工质种类要全面，不得遗漏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Y1MmY0NWVmYWYxOGQ5MmFjYjhhMjYzNmQ2YTMifQ=="/>
  </w:docVars>
  <w:rsids>
    <w:rsidRoot w:val="00000000"/>
    <w:rsid w:val="07AB20F7"/>
    <w:rsid w:val="0AE93414"/>
    <w:rsid w:val="1069219C"/>
    <w:rsid w:val="1E12351D"/>
    <w:rsid w:val="328E3BC4"/>
    <w:rsid w:val="3FC94921"/>
    <w:rsid w:val="42FC322C"/>
    <w:rsid w:val="4E4A0AB9"/>
    <w:rsid w:val="68C91CB5"/>
    <w:rsid w:val="6A0C577D"/>
    <w:rsid w:val="6AFA26A1"/>
    <w:rsid w:val="74F657C8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qFormat/>
    <w:uiPriority w:val="0"/>
    <w:pPr>
      <w:spacing w:line="600" w:lineRule="exact"/>
      <w:ind w:leftChars="0" w:firstLine="420" w:firstLineChars="200"/>
    </w:pPr>
    <w:rPr>
      <w:rFonts w:eastAsia="仿宋_GB2312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Times New Roman"/>
      <w:sz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2023-05-11T00:40:00Z</dcterms:created>
  <dc:creator>Administrator</dc:creator>
  <cp:lastModifiedBy>Ringo</cp:lastModifiedBy>
  <dcterms:modified xsi:type="dcterms:W3CDTF">2023-10-13T06:05:54Z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69A3B8FF6CAC4AE18181A505F61CB9F2_12</vt:lpwstr>
  </property>
</Properties>
</file>