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bookmarkStart w:id="0" w:name="_GoBack"/>
      <w:r>
        <w:rPr>
          <w:rFonts w:hint="eastAsia" w:ascii="黑体" w:hAnsi="黑体" w:eastAsia="黑体" w:cs="黑体"/>
          <w:b/>
          <w:sz w:val="44"/>
          <w:szCs w:val="44"/>
          <w:lang w:eastAsia="zh-CN"/>
        </w:rPr>
        <w:t>沂源县卫生健康</w:t>
      </w:r>
      <w:r>
        <w:rPr>
          <w:rFonts w:hint="eastAsia" w:ascii="黑体" w:hAnsi="黑体" w:eastAsia="黑体" w:cs="黑体"/>
          <w:b/>
          <w:sz w:val="44"/>
          <w:szCs w:val="44"/>
        </w:rPr>
        <w:t>局随机抽查事项清单</w:t>
      </w:r>
    </w:p>
    <w:bookmarkEnd w:id="0"/>
    <w:tbl>
      <w:tblPr>
        <w:tblStyle w:val="5"/>
        <w:tblW w:w="14786" w:type="dxa"/>
        <w:jc w:val="center"/>
        <w:tblLayout w:type="fixed"/>
        <w:tblCellMar>
          <w:top w:w="0" w:type="dxa"/>
          <w:left w:w="108" w:type="dxa"/>
          <w:bottom w:w="0" w:type="dxa"/>
          <w:right w:w="108" w:type="dxa"/>
        </w:tblCellMar>
      </w:tblPr>
      <w:tblGrid>
        <w:gridCol w:w="582"/>
        <w:gridCol w:w="825"/>
        <w:gridCol w:w="826"/>
        <w:gridCol w:w="2861"/>
        <w:gridCol w:w="360"/>
        <w:gridCol w:w="5695"/>
        <w:gridCol w:w="941"/>
        <w:gridCol w:w="1363"/>
        <w:gridCol w:w="1333"/>
      </w:tblGrid>
      <w:tr>
        <w:tblPrEx>
          <w:tblCellMar>
            <w:top w:w="0" w:type="dxa"/>
            <w:left w:w="108" w:type="dxa"/>
            <w:bottom w:w="0" w:type="dxa"/>
            <w:right w:w="108" w:type="dxa"/>
          </w:tblCellMar>
        </w:tblPrEx>
        <w:trPr>
          <w:trHeight w:val="956"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序号</w:t>
            </w:r>
          </w:p>
        </w:tc>
        <w:tc>
          <w:tcPr>
            <w:tcW w:w="825"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抽查事项</w:t>
            </w:r>
          </w:p>
        </w:tc>
        <w:tc>
          <w:tcPr>
            <w:tcW w:w="82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抽查对象</w:t>
            </w:r>
          </w:p>
        </w:tc>
        <w:tc>
          <w:tcPr>
            <w:tcW w:w="322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抽查内容</w:t>
            </w:r>
          </w:p>
        </w:tc>
        <w:tc>
          <w:tcPr>
            <w:tcW w:w="5695"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抽查依据</w:t>
            </w:r>
          </w:p>
        </w:tc>
        <w:tc>
          <w:tcPr>
            <w:tcW w:w="94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抽查方式</w:t>
            </w:r>
          </w:p>
        </w:tc>
        <w:tc>
          <w:tcPr>
            <w:tcW w:w="1363"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抽查比例和频次</w:t>
            </w:r>
          </w:p>
        </w:tc>
        <w:tc>
          <w:tcPr>
            <w:tcW w:w="1333"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备注</w:t>
            </w:r>
          </w:p>
        </w:tc>
      </w:tr>
      <w:tr>
        <w:tblPrEx>
          <w:tblCellMar>
            <w:top w:w="0" w:type="dxa"/>
            <w:left w:w="108" w:type="dxa"/>
            <w:bottom w:w="0" w:type="dxa"/>
            <w:right w:w="108" w:type="dxa"/>
          </w:tblCellMar>
        </w:tblPrEx>
        <w:trPr>
          <w:trHeight w:val="5053"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b/>
                <w:sz w:val="18"/>
                <w:szCs w:val="18"/>
              </w:rPr>
            </w:pPr>
          </w:p>
          <w:p>
            <w:pPr>
              <w:jc w:val="center"/>
              <w:rPr>
                <w:rFonts w:hint="eastAsia" w:ascii="仿宋" w:hAnsi="仿宋" w:eastAsia="仿宋" w:cs="仿宋"/>
                <w:b/>
                <w:sz w:val="18"/>
                <w:szCs w:val="18"/>
              </w:rPr>
            </w:pPr>
            <w:r>
              <w:rPr>
                <w:rFonts w:hint="eastAsia" w:ascii="仿宋" w:hAnsi="仿宋" w:eastAsia="仿宋" w:cs="仿宋"/>
                <w:b/>
                <w:sz w:val="18"/>
                <w:szCs w:val="18"/>
              </w:rPr>
              <w:t>1</w:t>
            </w:r>
          </w:p>
          <w:p>
            <w:pPr>
              <w:jc w:val="center"/>
              <w:rPr>
                <w:rFonts w:hint="eastAsia" w:ascii="仿宋" w:hAnsi="仿宋" w:eastAsia="仿宋" w:cs="仿宋"/>
                <w:b/>
                <w:sz w:val="18"/>
                <w:szCs w:val="18"/>
              </w:rPr>
            </w:pPr>
          </w:p>
        </w:tc>
        <w:tc>
          <w:tcPr>
            <w:tcW w:w="825"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放射卫生监督</w:t>
            </w:r>
          </w:p>
        </w:tc>
        <w:tc>
          <w:tcPr>
            <w:tcW w:w="826" w:type="dxa"/>
            <w:tcBorders>
              <w:top w:val="single" w:color="000000" w:sz="4" w:space="0"/>
              <w:left w:val="nil"/>
              <w:bottom w:val="single" w:color="000000" w:sz="4" w:space="0"/>
              <w:right w:val="single" w:color="000000" w:sz="4" w:space="0"/>
            </w:tcBorders>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放射诊疗机构</w:t>
            </w:r>
          </w:p>
        </w:tc>
        <w:tc>
          <w:tcPr>
            <w:tcW w:w="3221" w:type="dxa"/>
            <w:gridSpan w:val="2"/>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b/>
                <w:sz w:val="18"/>
                <w:szCs w:val="18"/>
              </w:rPr>
            </w:pPr>
            <w:r>
              <w:rPr>
                <w:rFonts w:hint="eastAsia" w:ascii="仿宋" w:hAnsi="仿宋" w:eastAsia="仿宋" w:cs="仿宋"/>
                <w:b/>
                <w:sz w:val="18"/>
                <w:szCs w:val="18"/>
              </w:rPr>
              <w:t>1、放射工作单位是否给从事放射工作的人员办理《放射工作人员证》。</w:t>
            </w:r>
          </w:p>
          <w:p>
            <w:pPr>
              <w:rPr>
                <w:rFonts w:hint="eastAsia" w:ascii="仿宋" w:hAnsi="仿宋" w:eastAsia="仿宋" w:cs="仿宋"/>
                <w:b/>
                <w:sz w:val="18"/>
                <w:szCs w:val="18"/>
              </w:rPr>
            </w:pPr>
            <w:r>
              <w:rPr>
                <w:rFonts w:hint="eastAsia" w:ascii="仿宋" w:hAnsi="仿宋" w:eastAsia="仿宋" w:cs="仿宋"/>
                <w:b/>
                <w:sz w:val="18"/>
                <w:szCs w:val="18"/>
              </w:rPr>
              <w:t>2、医疗机构是否按规定对放射诊疗工作人员进行个人剂量监测的。</w:t>
            </w:r>
          </w:p>
          <w:p>
            <w:pPr>
              <w:rPr>
                <w:rFonts w:hint="eastAsia" w:ascii="仿宋" w:hAnsi="仿宋" w:eastAsia="仿宋" w:cs="仿宋"/>
                <w:b/>
                <w:sz w:val="18"/>
                <w:szCs w:val="18"/>
              </w:rPr>
            </w:pPr>
            <w:r>
              <w:rPr>
                <w:rFonts w:hint="eastAsia" w:ascii="仿宋" w:hAnsi="仿宋" w:eastAsia="仿宋" w:cs="仿宋"/>
                <w:b/>
                <w:sz w:val="18"/>
                <w:szCs w:val="18"/>
              </w:rPr>
              <w:t>3、医疗机构是否按照规定对放射诊疗设备、工作场所及防护设施进行检测和检查的。</w:t>
            </w:r>
          </w:p>
          <w:p>
            <w:pPr>
              <w:rPr>
                <w:rFonts w:hint="eastAsia" w:ascii="仿宋" w:hAnsi="仿宋" w:eastAsia="仿宋" w:cs="仿宋"/>
                <w:b/>
                <w:sz w:val="18"/>
                <w:szCs w:val="18"/>
              </w:rPr>
            </w:pPr>
            <w:r>
              <w:rPr>
                <w:rFonts w:hint="eastAsia" w:ascii="仿宋" w:hAnsi="仿宋" w:eastAsia="仿宋" w:cs="仿宋"/>
                <w:b/>
                <w:sz w:val="18"/>
                <w:szCs w:val="18"/>
              </w:rPr>
              <w:t>4、医疗机构是否按照规定使用安全防护装置和个人防护用品的。</w:t>
            </w:r>
          </w:p>
          <w:p>
            <w:pPr>
              <w:rPr>
                <w:rFonts w:hint="eastAsia" w:ascii="仿宋" w:hAnsi="仿宋" w:eastAsia="仿宋" w:cs="仿宋"/>
                <w:b/>
                <w:sz w:val="18"/>
                <w:szCs w:val="18"/>
              </w:rPr>
            </w:pPr>
            <w:r>
              <w:rPr>
                <w:rFonts w:hint="eastAsia" w:ascii="仿宋" w:hAnsi="仿宋" w:eastAsia="仿宋" w:cs="仿宋"/>
                <w:b/>
                <w:sz w:val="18"/>
                <w:szCs w:val="18"/>
              </w:rPr>
              <w:t>5、医疗机构是否使用不具备相应资质的人员从事放射诊疗工作的。</w:t>
            </w:r>
          </w:p>
          <w:p>
            <w:pPr>
              <w:rPr>
                <w:rFonts w:hint="eastAsia" w:ascii="仿宋" w:hAnsi="仿宋" w:eastAsia="仿宋" w:cs="仿宋"/>
                <w:b/>
                <w:sz w:val="18"/>
                <w:szCs w:val="18"/>
              </w:rPr>
            </w:pPr>
            <w:r>
              <w:rPr>
                <w:rFonts w:hint="eastAsia" w:ascii="仿宋" w:hAnsi="仿宋" w:eastAsia="仿宋" w:cs="仿宋"/>
                <w:b/>
                <w:sz w:val="18"/>
                <w:szCs w:val="18"/>
              </w:rPr>
              <w:t>6、是否经批准擅自变更放射诊疗项目或者超出批准范围从事放射诊疗工作的</w:t>
            </w:r>
          </w:p>
        </w:tc>
        <w:tc>
          <w:tcPr>
            <w:tcW w:w="5695" w:type="dxa"/>
            <w:tcBorders>
              <w:top w:val="single" w:color="000000" w:sz="4" w:space="0"/>
              <w:left w:val="nil"/>
              <w:bottom w:val="single" w:color="000000" w:sz="4" w:space="0"/>
              <w:right w:val="single" w:color="000000" w:sz="4" w:space="0"/>
            </w:tcBorders>
          </w:tcPr>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1. 《放射工作人员职业健康管理办法》第六条 放射工作人员上岗前，放射工作单位负责向所在地县级以上地方人民政府卫生行政部门为其申请办理《放射工作人员证》。</w:t>
            </w:r>
          </w:p>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2、《放射诊疗管理规定》 第二十二条放射诊疗工作人员应当按照有关规定配戴个人剂量计。</w:t>
            </w:r>
          </w:p>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3、《放射诊疗管理规定》 第二十一条医疗机构应当定期对放射诊疗工作场所、放射性同位素储存场所和防护设施进行放射防护检测，保证辐射水平符合有关规定或者标准。</w:t>
            </w:r>
          </w:p>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4、《放射诊疗管理规定》 第九条医疗机构应当按照下列要求配备并使用安全防护装置、辐射检测仪器和个人防护用品。</w:t>
            </w:r>
          </w:p>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5、《放射诊疗管理规定》 第七条医疗机构开展不同类别放射诊疗工作，应当分别具有下列人员。</w:t>
            </w:r>
          </w:p>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6、《放射诊疗管理规定》 第十七条　　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pPr>
              <w:ind w:firstLine="271" w:firstLineChars="150"/>
              <w:jc w:val="left"/>
              <w:rPr>
                <w:rFonts w:hint="eastAsia" w:ascii="仿宋" w:hAnsi="仿宋" w:eastAsia="仿宋" w:cs="仿宋"/>
                <w:b/>
                <w:sz w:val="18"/>
                <w:szCs w:val="18"/>
              </w:rPr>
            </w:pPr>
            <w:r>
              <w:rPr>
                <w:rFonts w:hint="eastAsia" w:ascii="仿宋" w:hAnsi="仿宋" w:eastAsia="仿宋" w:cs="仿宋"/>
                <w:b/>
                <w:sz w:val="18"/>
                <w:szCs w:val="18"/>
              </w:rPr>
              <w:t>　　</w:t>
            </w:r>
          </w:p>
        </w:tc>
        <w:tc>
          <w:tcPr>
            <w:tcW w:w="941" w:type="dxa"/>
            <w:tcBorders>
              <w:top w:val="single" w:color="000000" w:sz="4" w:space="0"/>
              <w:left w:val="nil"/>
              <w:bottom w:val="single" w:color="000000" w:sz="4" w:space="0"/>
              <w:right w:val="single" w:color="000000" w:sz="4" w:space="0"/>
            </w:tcBorders>
            <w:vAlign w:val="center"/>
          </w:tcPr>
          <w:p>
            <w:pPr>
              <w:jc w:val="left"/>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tcBorders>
              <w:top w:val="single" w:color="000000" w:sz="4" w:space="0"/>
              <w:left w:val="nil"/>
              <w:bottom w:val="single" w:color="000000" w:sz="4" w:space="0"/>
              <w:right w:val="single" w:color="000000" w:sz="4" w:space="0"/>
            </w:tcBorders>
            <w:vAlign w:val="center"/>
          </w:tcPr>
          <w:p>
            <w:pPr>
              <w:jc w:val="left"/>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Borders>
              <w:top w:val="single" w:color="000000" w:sz="4" w:space="0"/>
              <w:left w:val="nil"/>
              <w:bottom w:val="single" w:color="000000" w:sz="4" w:space="0"/>
              <w:right w:val="single" w:color="000000" w:sz="4" w:space="0"/>
            </w:tcBorders>
          </w:tcPr>
          <w:p>
            <w:pPr>
              <w:jc w:val="center"/>
              <w:rPr>
                <w:rFonts w:hint="eastAsia" w:ascii="仿宋" w:hAnsi="仿宋" w:eastAsia="仿宋" w:cs="仿宋"/>
                <w:b/>
                <w:sz w:val="18"/>
                <w:szCs w:val="18"/>
              </w:rPr>
            </w:pPr>
          </w:p>
        </w:tc>
      </w:tr>
      <w:tr>
        <w:tblPrEx>
          <w:tblCellMar>
            <w:top w:w="0" w:type="dxa"/>
            <w:left w:w="108" w:type="dxa"/>
            <w:bottom w:w="0" w:type="dxa"/>
            <w:right w:w="108" w:type="dxa"/>
          </w:tblCellMar>
        </w:tblPrEx>
        <w:trPr>
          <w:trHeight w:val="4728"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p>
        </w:tc>
        <w:tc>
          <w:tcPr>
            <w:tcW w:w="825"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放射卫生监督</w:t>
            </w:r>
          </w:p>
        </w:tc>
        <w:tc>
          <w:tcPr>
            <w:tcW w:w="82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放射诊疗机构</w:t>
            </w:r>
          </w:p>
        </w:tc>
        <w:tc>
          <w:tcPr>
            <w:tcW w:w="322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7、是否办理诊疗科目登记或者未按照规定进行校验的。</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8、是否取得放射诊疗许可从事放射诊疗工作的</w:t>
            </w:r>
          </w:p>
        </w:tc>
        <w:tc>
          <w:tcPr>
            <w:tcW w:w="5695" w:type="dxa"/>
            <w:tcBorders>
              <w:top w:val="single" w:color="000000" w:sz="4" w:space="0"/>
              <w:left w:val="nil"/>
              <w:bottom w:val="single" w:color="000000" w:sz="4" w:space="0"/>
              <w:right w:val="single" w:color="000000" w:sz="4" w:space="0"/>
            </w:tcBorders>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7、《放射诊疗管理规定》 第十六、十七条医疗机构取得《放射诊疗许可证》后，到核发《医疗机构执业许可证》的卫生行政执业登记部门办理相应诊疗科目登记手续。执业登记部门应根据许可情况，将医学影像科核准到二级诊疗科目。</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未取得《放射诊疗许可证》或未进行诊疗科目登记的，不得开展放射诊疗工作。</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第十七条　《放射诊疗许可证》与《医疗机构执业许可证》同时校验，申请校验时应当提交本周期有关放射诊疗设备性能与辐射工作场所的检测报告、放射诊疗工作人员健康监护资料和工作开展情况报告。</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8、《放射诊疗管理规定》 第十六条《医疗机构执业许可证》的卫生行政执业登记部门办理相应诊疗科目登记手续。执业登记部门应根据许可情况，将医学影像科核准到二级诊疗科目。</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未取得《放射诊疗许可证》或未进行诊疗科目登记的，不得开展放射诊疗工作。</w:t>
            </w:r>
          </w:p>
        </w:tc>
        <w:tc>
          <w:tcPr>
            <w:tcW w:w="94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Borders>
              <w:top w:val="single" w:color="000000" w:sz="4" w:space="0"/>
              <w:left w:val="nil"/>
              <w:bottom w:val="single" w:color="000000" w:sz="4" w:space="0"/>
              <w:right w:val="single" w:color="000000" w:sz="4" w:space="0"/>
            </w:tcBorders>
          </w:tcPr>
          <w:p>
            <w:pPr>
              <w:spacing w:line="360" w:lineRule="exact"/>
              <w:jc w:val="center"/>
              <w:rPr>
                <w:rFonts w:hint="eastAsia" w:ascii="仿宋" w:hAnsi="仿宋" w:eastAsia="仿宋" w:cs="仿宋"/>
                <w:b/>
                <w:sz w:val="18"/>
                <w:szCs w:val="18"/>
              </w:rPr>
            </w:pPr>
          </w:p>
        </w:tc>
      </w:tr>
      <w:tr>
        <w:tblPrEx>
          <w:tblCellMar>
            <w:top w:w="0" w:type="dxa"/>
            <w:left w:w="108" w:type="dxa"/>
            <w:bottom w:w="0" w:type="dxa"/>
            <w:right w:w="108" w:type="dxa"/>
          </w:tblCellMar>
        </w:tblPrEx>
        <w:trPr>
          <w:trHeight w:val="5418"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2</w:t>
            </w:r>
          </w:p>
          <w:p>
            <w:pPr>
              <w:spacing w:line="360" w:lineRule="exact"/>
              <w:jc w:val="center"/>
              <w:rPr>
                <w:rFonts w:hint="eastAsia" w:ascii="仿宋" w:hAnsi="仿宋" w:eastAsia="仿宋" w:cs="仿宋"/>
                <w:b/>
                <w:sz w:val="18"/>
                <w:szCs w:val="18"/>
              </w:rPr>
            </w:pPr>
          </w:p>
        </w:tc>
        <w:tc>
          <w:tcPr>
            <w:tcW w:w="825"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传染病监督</w:t>
            </w:r>
          </w:p>
        </w:tc>
        <w:tc>
          <w:tcPr>
            <w:tcW w:w="82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医疗卫生机构</w:t>
            </w:r>
          </w:p>
        </w:tc>
        <w:tc>
          <w:tcPr>
            <w:tcW w:w="322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1、消毒产品有是否在过期。</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2、医疗机构是否按无菌操作技术规范和隔离技术规范。</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3、医疗机构是否落实医院感染管理的规章制度、工作规范。</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4、医疗卫生机构的环境、物品是否符合国家有关规范、标准和规定，排放废弃的污水、污物未进行无害化处理，运送传染病病人及其污染物品的车辆、工具没有随时进行消毒处理。</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5、医疗卫生机构贮存设施或者设备不符合卫生要求的。</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6、</w:t>
            </w:r>
          </w:p>
        </w:tc>
        <w:tc>
          <w:tcPr>
            <w:tcW w:w="5695" w:type="dxa"/>
            <w:tcBorders>
              <w:top w:val="single" w:color="000000" w:sz="4" w:space="0"/>
              <w:left w:val="nil"/>
              <w:bottom w:val="single" w:color="000000" w:sz="4" w:space="0"/>
              <w:right w:val="single" w:color="000000" w:sz="4" w:space="0"/>
            </w:tcBorders>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1、《消毒管理办法》第三十一第三十一条　消毒产品的命名、标签（含说明书）应当符合国家卫生计生委的有关规定。</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2、《医院感染管理办法》 第十四条医疗机构应当严格执行隔离技术规范，根据病原体传播途径，采取相应的隔离措施。</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3、《医院感染管理办法》 第五条各级各类医疗机构应当建立医院感染管理责任制，制定并落实医院感染管理的规章制度和工作规范，严格执行有关技术操作规范和工作标准，有效预防和控制医院感染，防止传染病病原体、耐药菌、条件致病菌及其他病原微生物的传播。</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4、《消毒管理办法》第八条医疗卫生机构的环境、物品应当符合国家有关规范、标准和规定。排放废弃的污水、污物应当按照国家有关规定进行无害化处理。运送传染病病人及其污染物品的车辆、工具必须随时进行消毒处理。</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5、《医疗废物管理条例》第十七条医疗卫生机构应当建立医疗废物的暂时贮存设施、设备，不得露天存放医疗废物；医疗废物暂时贮存的时间不得超过2天。医疗废物的暂时贮存设施、设备，应当远离医疗区、食品加工区和人员活动区以及生活垃圾存放场所，并设置明显的警示标识和防渗漏、防鼠、防蚊蝇、防蟑螂、防盗以及预防儿童接触等安全措施。　医疗废物的暂时贮存设施、设备应当定期消毒和清洁。</w:t>
            </w:r>
          </w:p>
        </w:tc>
        <w:tc>
          <w:tcPr>
            <w:tcW w:w="94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Borders>
              <w:top w:val="single" w:color="000000" w:sz="4" w:space="0"/>
              <w:left w:val="nil"/>
              <w:bottom w:val="single" w:color="000000" w:sz="4" w:space="0"/>
              <w:right w:val="single" w:color="000000" w:sz="4" w:space="0"/>
            </w:tcBorders>
          </w:tcPr>
          <w:p>
            <w:pPr>
              <w:spacing w:line="360" w:lineRule="exact"/>
              <w:jc w:val="center"/>
              <w:rPr>
                <w:rFonts w:hint="eastAsia" w:ascii="仿宋" w:hAnsi="仿宋" w:eastAsia="仿宋" w:cs="仿宋"/>
                <w:b/>
                <w:sz w:val="18"/>
                <w:szCs w:val="18"/>
              </w:rPr>
            </w:pPr>
          </w:p>
        </w:tc>
      </w:tr>
      <w:tr>
        <w:tblPrEx>
          <w:tblCellMar>
            <w:top w:w="0" w:type="dxa"/>
            <w:left w:w="108" w:type="dxa"/>
            <w:bottom w:w="0" w:type="dxa"/>
            <w:right w:w="108" w:type="dxa"/>
          </w:tblCellMar>
        </w:tblPrEx>
        <w:trPr>
          <w:trHeight w:val="5418"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p>
        </w:tc>
        <w:tc>
          <w:tcPr>
            <w:tcW w:w="825"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传染病监督</w:t>
            </w:r>
          </w:p>
        </w:tc>
        <w:tc>
          <w:tcPr>
            <w:tcW w:w="826"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医疗卫生机构</w:t>
            </w:r>
          </w:p>
        </w:tc>
        <w:tc>
          <w:tcPr>
            <w:tcW w:w="286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6、医疗卫生机构是否将医疗废物按照类别分置于专用包装物或者容器的。</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7、医疗卫生机构是否按规定对污水、传染病病人或者疑似传染病病人的排泄物，进行严格消毒，或者未达到国家规定的排放标准，排入医疗卫生机构内的污水处理系统。</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8、不具备集中处置医疗废物条件的农村，医疗卫生机构是否按照本条例的要求处置医疗废物。</w:t>
            </w:r>
          </w:p>
        </w:tc>
        <w:tc>
          <w:tcPr>
            <w:tcW w:w="6055" w:type="dxa"/>
            <w:gridSpan w:val="2"/>
            <w:tcBorders>
              <w:top w:val="single" w:color="000000" w:sz="4" w:space="0"/>
              <w:left w:val="nil"/>
              <w:bottom w:val="single" w:color="000000" w:sz="4" w:space="0"/>
              <w:right w:val="single" w:color="000000" w:sz="4" w:space="0"/>
            </w:tcBorders>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6、《医疗废物管理条例》第十六条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7、《医疗废物管理条例》第二十条医疗卫生机构产生的污水、传染病病人或者疑似传染病病人的排泄物，应当按照国家规定严格消毒；达到国家规定的排放标准后，方可排入污水处理系统。</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8、《医疗废物管理条例》第二十一条不具备集中处置医疗废物条件的农村，医疗卫生机构应当按照县级人民政府卫生行政主管部门、环境保护行政主管部门的要求，自行就地处置其产生的医疗废物。自行处置医疗废物的，应当符合下列基本要求：</w:t>
            </w:r>
          </w:p>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（一）使用后的一次性医疗器具和容易致人损伤的医疗废物，应当消毒并作毁形处理；</w:t>
            </w:r>
          </w:p>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（二）能够焚烧的，应当及时焚烧；</w:t>
            </w:r>
          </w:p>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（三）不能焚烧的，消毒后集中填埋。</w:t>
            </w:r>
          </w:p>
        </w:tc>
        <w:tc>
          <w:tcPr>
            <w:tcW w:w="941"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tcBorders>
              <w:top w:val="single" w:color="000000" w:sz="4" w:space="0"/>
              <w:left w:val="nil"/>
              <w:bottom w:val="single" w:color="000000" w:sz="4" w:space="0"/>
              <w:right w:val="single" w:color="000000" w:sz="4" w:space="0"/>
            </w:tcBorders>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Borders>
              <w:top w:val="single" w:color="000000" w:sz="4" w:space="0"/>
              <w:left w:val="nil"/>
              <w:bottom w:val="single" w:color="000000" w:sz="4" w:space="0"/>
              <w:right w:val="single" w:color="000000" w:sz="4" w:space="0"/>
            </w:tcBorders>
          </w:tcPr>
          <w:p>
            <w:pPr>
              <w:spacing w:line="360" w:lineRule="exact"/>
              <w:jc w:val="center"/>
              <w:rPr>
                <w:rFonts w:hint="eastAsia" w:ascii="仿宋" w:hAnsi="仿宋" w:eastAsia="仿宋" w:cs="仿宋"/>
                <w:b/>
                <w:sz w:val="18"/>
                <w:szCs w:val="18"/>
              </w:rPr>
            </w:pPr>
          </w:p>
        </w:tc>
      </w:tr>
    </w:tbl>
    <w:p>
      <w:pPr>
        <w:spacing w:line="360" w:lineRule="exact"/>
        <w:jc w:val="center"/>
        <w:rPr>
          <w:rFonts w:hint="eastAsia" w:ascii="仿宋" w:hAnsi="仿宋" w:eastAsia="仿宋" w:cs="仿宋"/>
          <w:b/>
          <w:sz w:val="18"/>
          <w:szCs w:val="18"/>
        </w:rPr>
      </w:pPr>
    </w:p>
    <w:tbl>
      <w:tblPr>
        <w:tblStyle w:val="5"/>
        <w:tblW w:w="14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25"/>
        <w:gridCol w:w="826"/>
        <w:gridCol w:w="835"/>
        <w:gridCol w:w="8081"/>
        <w:gridCol w:w="941"/>
        <w:gridCol w:w="1363"/>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82" w:type="dxa"/>
            <w:vAlign w:val="center"/>
          </w:tcPr>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3</w:t>
            </w:r>
          </w:p>
          <w:p>
            <w:pPr>
              <w:spacing w:line="360" w:lineRule="exact"/>
              <w:jc w:val="center"/>
              <w:rPr>
                <w:rFonts w:hint="eastAsia" w:ascii="仿宋" w:hAnsi="仿宋" w:eastAsia="仿宋" w:cs="仿宋"/>
                <w:b/>
                <w:sz w:val="18"/>
                <w:szCs w:val="18"/>
              </w:rPr>
            </w:pPr>
          </w:p>
        </w:tc>
        <w:tc>
          <w:tcPr>
            <w:tcW w:w="82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医疗机构监管</w:t>
            </w:r>
          </w:p>
        </w:tc>
        <w:tc>
          <w:tcPr>
            <w:tcW w:w="826"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各级各类医疗卫生单位</w:t>
            </w:r>
          </w:p>
        </w:tc>
        <w:tc>
          <w:tcPr>
            <w:tcW w:w="83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被监管单位是否取得执业许可证、医疗机构是否将《医疗机构执业许可证》、诊疗科目、诊疗时间和收费标准悬挂于明显处、医疗机构是否按照核准登记的诊疗科目开展诊疗活动、是否使用非卫生技术人员。</w:t>
            </w:r>
          </w:p>
        </w:tc>
        <w:tc>
          <w:tcPr>
            <w:tcW w:w="8081" w:type="dxa"/>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1. 《医疗机构管理条例》第二十四条　任何单位或者个人，未取得《医疗机构执业许可证》，不得开展诊疗活动。</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2.《医疗机构管理条例》　第二十五条　医疗机构执业，必须遵守有关法律、法规和医疗技术规范。</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3. 《医疗机构管理条例》第二十六条　医疗机构必须将《医疗机构执业许可证》、诊疗科目、诊疗时间和收费标准悬挂于明显处所。</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4.　 《医疗机构管理条例》第二十七条　医疗机构必须按照核准登记的诊疗科目开展诊疗活动。</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5. 《医疗机构管理条例》　第二十八条　医疗机构不得使用非卫生技术人员从事医疗卫生技术工作。</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6《医疗机构管理条例》.第二十九条　医疗机构应当加强对医务人员的医德教育。</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7. 《医疗机构管理条例》　第三十条　医疗机构工作人员上岗工作，必须佩带载有本人姓名、职务或者职称的标牌。</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8. 《医疗机构管理条例》　第三十一条　医疗机构对危重病人应当立即抢救。对限于设备或者技术条件不能诊治的病人，应当及时转诊。</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9. 《医疗机构管理条例》　第三十二条　未经医师（士）亲自诊查病人，医疗机构不得出具疾病诊断书、健康证明书或者死亡证明书等证明文件；未经医师（士）、助产人员亲自接产，医疗机构不得出具出生证明书或者死产报告书《医疗机构管理条例》。</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10.　第三十三条　医疗机构施行手术、特殊检查或者特殊治疗时，必须征得患者同意，并应当取得其家属或者关系人同意并签字；无法取得患者意见时，应当取得家属或者关系人同意并签字；无法取得患者意见又无家属或者关系人在场，或者遇到其他特殊情况时，经治医师应当提出医疗处置方案，在取得医疗机构负责人或者被授权负责人员的批准后实施。</w:t>
            </w:r>
          </w:p>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11. 　《中华人民共和国执业医师法》第十四条　医师经注册后，可以在医疗、预防、保健机构中按照注册的执业地点、执业类别、执业范围执业，从事相应的医疗、预防、保健业务。未经医师注册取得执业证书，不得从事医师执业活动。</w:t>
            </w:r>
            <w:r>
              <w:rPr>
                <w:rFonts w:hint="eastAsia" w:ascii="仿宋" w:hAnsi="仿宋" w:eastAsia="仿宋" w:cs="仿宋"/>
                <w:b/>
                <w:sz w:val="18"/>
                <w:szCs w:val="18"/>
              </w:rPr>
              <w:br w:type="textWrapping"/>
            </w:r>
          </w:p>
        </w:tc>
        <w:tc>
          <w:tcPr>
            <w:tcW w:w="941"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Pr>
          <w:p>
            <w:pPr>
              <w:spacing w:line="360" w:lineRule="exact"/>
              <w:jc w:val="center"/>
              <w:rPr>
                <w:rFonts w:hint="eastAsia" w:ascii="仿宋" w:hAnsi="仿宋" w:eastAsia="仿宋" w:cs="仿宋"/>
                <w:b/>
                <w:sz w:val="18"/>
                <w:szCs w:val="18"/>
              </w:rPr>
            </w:pPr>
          </w:p>
        </w:tc>
      </w:tr>
    </w:tbl>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xml:space="preserve"> </w:t>
      </w:r>
    </w:p>
    <w:tbl>
      <w:tblPr>
        <w:tblStyle w:val="5"/>
        <w:tblW w:w="14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25"/>
        <w:gridCol w:w="826"/>
        <w:gridCol w:w="2735"/>
        <w:gridCol w:w="6181"/>
        <w:gridCol w:w="941"/>
        <w:gridCol w:w="1363"/>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82" w:type="dxa"/>
            <w:vAlign w:val="center"/>
          </w:tcPr>
          <w:p>
            <w:pPr>
              <w:spacing w:line="360" w:lineRule="exact"/>
              <w:jc w:val="center"/>
              <w:rPr>
                <w:rFonts w:hint="eastAsia" w:ascii="仿宋" w:hAnsi="仿宋" w:eastAsia="仿宋" w:cs="仿宋"/>
                <w:b/>
                <w:sz w:val="18"/>
                <w:szCs w:val="18"/>
              </w:rPr>
            </w:pP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4</w:t>
            </w:r>
          </w:p>
          <w:p>
            <w:pPr>
              <w:spacing w:line="360" w:lineRule="exact"/>
              <w:jc w:val="center"/>
              <w:rPr>
                <w:rFonts w:hint="eastAsia" w:ascii="仿宋" w:hAnsi="仿宋" w:eastAsia="仿宋" w:cs="仿宋"/>
                <w:b/>
                <w:sz w:val="18"/>
                <w:szCs w:val="18"/>
              </w:rPr>
            </w:pPr>
          </w:p>
        </w:tc>
        <w:tc>
          <w:tcPr>
            <w:tcW w:w="82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生活饮用水卫生监督</w:t>
            </w:r>
          </w:p>
        </w:tc>
        <w:tc>
          <w:tcPr>
            <w:tcW w:w="826"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生活饮用水供水单位</w:t>
            </w:r>
          </w:p>
        </w:tc>
        <w:tc>
          <w:tcPr>
            <w:tcW w:w="273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供水单位是否办理卫生许可证、供管水人员是否办理健康证、水质是否符合卫生标准</w:t>
            </w:r>
          </w:p>
        </w:tc>
        <w:tc>
          <w:tcPr>
            <w:tcW w:w="6181" w:type="dxa"/>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《生活饮用水卫生监督管理办法》</w:t>
            </w:r>
            <w:r>
              <w:rPr>
                <w:rFonts w:hint="eastAsia" w:ascii="仿宋" w:hAnsi="仿宋" w:eastAsia="仿宋" w:cs="仿宋"/>
                <w:bCs/>
                <w:sz w:val="18"/>
                <w:szCs w:val="18"/>
              </w:rPr>
              <w:t>第六条</w:t>
            </w:r>
            <w:r>
              <w:rPr>
                <w:rFonts w:hint="eastAsia" w:ascii="仿宋" w:hAnsi="仿宋" w:eastAsia="仿宋" w:cs="仿宋"/>
                <w:b/>
                <w:sz w:val="18"/>
                <w:szCs w:val="18"/>
              </w:rPr>
              <w:t>　供水单位供应的饮用水必须符合国家生活饮用水卫生标准。</w:t>
            </w:r>
            <w:r>
              <w:rPr>
                <w:rFonts w:hint="eastAsia" w:ascii="仿宋" w:hAnsi="仿宋" w:eastAsia="仿宋" w:cs="仿宋"/>
                <w:bCs/>
                <w:sz w:val="18"/>
                <w:szCs w:val="18"/>
              </w:rPr>
              <w:t>第七条</w:t>
            </w:r>
            <w:r>
              <w:rPr>
                <w:rFonts w:hint="eastAsia" w:ascii="仿宋" w:hAnsi="仿宋" w:eastAsia="仿宋" w:cs="仿宋"/>
                <w:b/>
                <w:sz w:val="18"/>
                <w:szCs w:val="18"/>
              </w:rPr>
              <w:t>　集中式供水单位必须取得县级以上地方人民政府卫生行政部门签发的卫生许可证。城市自来水供水企业和自建设施对外供水的企业还必须取得建设行政主管部门颁发的《城市供水企业资质证书》，方可供水。</w:t>
            </w:r>
            <w:r>
              <w:rPr>
                <w:rFonts w:hint="eastAsia" w:ascii="仿宋" w:hAnsi="仿宋" w:eastAsia="仿宋" w:cs="仿宋"/>
                <w:bCs/>
                <w:sz w:val="18"/>
                <w:szCs w:val="18"/>
              </w:rPr>
              <w:t>第十一条</w:t>
            </w:r>
            <w:r>
              <w:rPr>
                <w:rFonts w:hint="eastAsia" w:ascii="仿宋" w:hAnsi="仿宋" w:eastAsia="仿宋" w:cs="仿宋"/>
                <w:b/>
                <w:sz w:val="18"/>
                <w:szCs w:val="18"/>
              </w:rPr>
              <w:t>　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w:t>
            </w:r>
          </w:p>
        </w:tc>
        <w:tc>
          <w:tcPr>
            <w:tcW w:w="941"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Pr>
          <w:p>
            <w:pPr>
              <w:spacing w:line="360" w:lineRule="exact"/>
              <w:jc w:val="center"/>
              <w:rPr>
                <w:rFonts w:hint="eastAsia" w:ascii="仿宋" w:hAnsi="仿宋" w:eastAsia="仿宋" w:cs="仿宋"/>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82"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5</w:t>
            </w:r>
          </w:p>
        </w:tc>
        <w:tc>
          <w:tcPr>
            <w:tcW w:w="82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餐饮具集中消毒服务单位卫生监督</w:t>
            </w:r>
          </w:p>
        </w:tc>
        <w:tc>
          <w:tcPr>
            <w:tcW w:w="826"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餐饮具集中消毒服务单位</w:t>
            </w:r>
          </w:p>
        </w:tc>
        <w:tc>
          <w:tcPr>
            <w:tcW w:w="273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餐具、饮具集中消毒服务单位是否具备相应的作业场所、清洗消毒设备或者设施，用水和使用的洗涤剂、消毒剂是否符合相关食品安全国家标准和其他国家标准、卫生规范。</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餐具、饮具集中消毒服务单位是否对消毒餐具、饮具进行逐批检验，是否检验合格后方可出厂，并是否随附消毒合格证明。消毒后的餐具、饮具是否在独立包装上标注单位名称、地址、联系方式、消毒日期以及使用期限等内容。</w:t>
            </w:r>
          </w:p>
          <w:p>
            <w:pPr>
              <w:spacing w:line="360" w:lineRule="exact"/>
              <w:jc w:val="center"/>
              <w:rPr>
                <w:rFonts w:hint="eastAsia" w:ascii="仿宋" w:hAnsi="仿宋" w:eastAsia="仿宋" w:cs="仿宋"/>
                <w:b/>
                <w:sz w:val="18"/>
                <w:szCs w:val="18"/>
              </w:rPr>
            </w:pPr>
          </w:p>
        </w:tc>
        <w:tc>
          <w:tcPr>
            <w:tcW w:w="6181" w:type="dxa"/>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《食品安全法》第五十八条 餐具、饮具集中消毒服务单位应当具备相应的作业场所、清洗消毒设备或者设施，用水和使用的洗涤剂、消毒剂应当符合相关食品安全国家标准和其他国家标准、卫生规范。</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《餐具、饮具集中消毒服务单位卫生监督工作规范》第二条  卫生计生行政部门依法对餐具、饮具集中消毒服务单位实施监督检查时，适用本规范。</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第四条  对餐具、饮具集中消毒服务单位的监督检查内容：</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（一）作业场所；</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（二）清洗消毒设备或者设施；</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（三）生产用水和使用的洗涤剂、消毒剂；</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（四）餐具、饮具的出厂检验；</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（五）餐具、饮具的包装标识。</w:t>
            </w:r>
          </w:p>
          <w:p>
            <w:pPr>
              <w:spacing w:line="360" w:lineRule="exact"/>
              <w:jc w:val="center"/>
              <w:rPr>
                <w:rFonts w:hint="eastAsia" w:ascii="仿宋" w:hAnsi="仿宋" w:eastAsia="仿宋" w:cs="仿宋"/>
                <w:b/>
                <w:sz w:val="18"/>
                <w:szCs w:val="18"/>
              </w:rPr>
            </w:pPr>
          </w:p>
        </w:tc>
        <w:tc>
          <w:tcPr>
            <w:tcW w:w="941"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Pr>
          <w:p>
            <w:pPr>
              <w:spacing w:line="360" w:lineRule="exact"/>
              <w:jc w:val="center"/>
              <w:rPr>
                <w:rFonts w:hint="eastAsia" w:ascii="仿宋" w:hAnsi="仿宋" w:eastAsia="仿宋" w:cs="仿宋"/>
                <w:b/>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82"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6</w:t>
            </w:r>
          </w:p>
        </w:tc>
        <w:tc>
          <w:tcPr>
            <w:tcW w:w="82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学校卫生监督</w:t>
            </w:r>
          </w:p>
        </w:tc>
        <w:tc>
          <w:tcPr>
            <w:tcW w:w="826"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中小学</w:t>
            </w:r>
          </w:p>
        </w:tc>
        <w:tc>
          <w:tcPr>
            <w:tcW w:w="273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教学环境是否符合标准、传染病防控工作是否开展</w:t>
            </w:r>
          </w:p>
        </w:tc>
        <w:tc>
          <w:tcPr>
            <w:tcW w:w="6181" w:type="dxa"/>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《学校卫生工作条例》第四条 教育行政部门负责学校卫生工作的行政管理。卫生行政部门负责对学校卫生工作的监督指导。　第六条 学校教学建筑、环境噪声、室内微小气候、采光、照明等环境质量以及黑板、课桌椅的设置应当符合国家有关标准。　第十七条 学校应当认真贯彻执行传染病防治法律、法规，做好急、慢性传染病的预防和控制管理工作，同时做好地方病的预防和控制管理工作。</w:t>
            </w:r>
          </w:p>
        </w:tc>
        <w:tc>
          <w:tcPr>
            <w:tcW w:w="941"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Pr>
          <w:p>
            <w:pPr>
              <w:spacing w:line="360" w:lineRule="exact"/>
              <w:jc w:val="center"/>
              <w:rPr>
                <w:rFonts w:hint="eastAsia" w:ascii="仿宋" w:hAnsi="仿宋" w:eastAsia="仿宋" w:cs="仿宋"/>
                <w:b/>
                <w:sz w:val="18"/>
                <w:szCs w:val="18"/>
              </w:rPr>
            </w:pPr>
          </w:p>
        </w:tc>
      </w:tr>
    </w:tbl>
    <w:p>
      <w:pPr>
        <w:spacing w:line="360" w:lineRule="exact"/>
        <w:jc w:val="center"/>
        <w:rPr>
          <w:rFonts w:hint="eastAsia" w:ascii="仿宋" w:hAnsi="仿宋" w:eastAsia="仿宋" w:cs="仿宋"/>
          <w:b/>
          <w:sz w:val="18"/>
          <w:szCs w:val="18"/>
        </w:rPr>
      </w:pPr>
    </w:p>
    <w:tbl>
      <w:tblPr>
        <w:tblStyle w:val="5"/>
        <w:tblW w:w="14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25"/>
        <w:gridCol w:w="826"/>
        <w:gridCol w:w="835"/>
        <w:gridCol w:w="8081"/>
        <w:gridCol w:w="941"/>
        <w:gridCol w:w="1363"/>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4" w:hRule="atLeast"/>
          <w:jc w:val="center"/>
        </w:trPr>
        <w:tc>
          <w:tcPr>
            <w:tcW w:w="582"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xml:space="preserve"> </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7</w:t>
            </w:r>
          </w:p>
          <w:p>
            <w:pPr>
              <w:spacing w:line="360" w:lineRule="exact"/>
              <w:jc w:val="center"/>
              <w:rPr>
                <w:rFonts w:hint="eastAsia" w:ascii="仿宋" w:hAnsi="仿宋" w:eastAsia="仿宋" w:cs="仿宋"/>
                <w:b/>
                <w:sz w:val="18"/>
                <w:szCs w:val="18"/>
              </w:rPr>
            </w:pPr>
          </w:p>
        </w:tc>
        <w:tc>
          <w:tcPr>
            <w:tcW w:w="82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公共场所卫生监督</w:t>
            </w:r>
          </w:p>
        </w:tc>
        <w:tc>
          <w:tcPr>
            <w:tcW w:w="826"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公共场所经营单位</w:t>
            </w:r>
          </w:p>
        </w:tc>
        <w:tc>
          <w:tcPr>
            <w:tcW w:w="835"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卫生许可证、健康证、公共场所卫生检测报告</w:t>
            </w:r>
          </w:p>
        </w:tc>
        <w:tc>
          <w:tcPr>
            <w:tcW w:w="8081" w:type="dxa"/>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《公共场所卫生管理条例》第七条　公共场所直接为顾客服务的人员，持有“健康合格证”方能从事本职工作。患有痢疾、伤寒、病毒性肝炎、活动期肺结核、化脓性或者渗出性皮肤病以及其他有碍公共卫生的疾病的，治愈前不得从事直接为顾客服务的工作。</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第八条　经营单位须取得“卫生许可证”后，方可向工商行政管理部门申请登记，办理营业执照。在本条例实施前已开业的，须经卫生防疫机构验收合格后，补发“卫生许可证”。“卫生许可证”两年复核一次。</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《公共场所卫生管理条例实施细则》第十九条　公共场所经营者应当按照卫生标准、规范的要求对公共场所的空气、微小气候、水质、采光、照明、噪声、顾客用品用具等进行卫生检测，检测每年不得少于一次;检测结果不符合卫生标准、规范要求的应当及时整改。</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公共场所经营者不具备检测能力的，可以委托检测。</w:t>
            </w:r>
          </w:p>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　　公共场所经营者应当在醒目位置如实公示检测结果。</w:t>
            </w:r>
          </w:p>
          <w:p>
            <w:pPr>
              <w:spacing w:line="360" w:lineRule="exact"/>
              <w:jc w:val="center"/>
              <w:rPr>
                <w:rFonts w:hint="eastAsia" w:ascii="仿宋" w:hAnsi="仿宋" w:eastAsia="仿宋" w:cs="仿宋"/>
                <w:b/>
                <w:sz w:val="18"/>
                <w:szCs w:val="18"/>
              </w:rPr>
            </w:pPr>
          </w:p>
        </w:tc>
        <w:tc>
          <w:tcPr>
            <w:tcW w:w="941"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实地核查、书式检查、网络监测、专用联系信函抽查</w:t>
            </w:r>
          </w:p>
        </w:tc>
        <w:tc>
          <w:tcPr>
            <w:tcW w:w="1363" w:type="dxa"/>
            <w:vAlign w:val="center"/>
          </w:tcPr>
          <w:p>
            <w:pPr>
              <w:spacing w:line="360" w:lineRule="exact"/>
              <w:jc w:val="center"/>
              <w:rPr>
                <w:rFonts w:hint="eastAsia" w:ascii="仿宋" w:hAnsi="仿宋" w:eastAsia="仿宋" w:cs="仿宋"/>
                <w:b/>
                <w:sz w:val="18"/>
                <w:szCs w:val="18"/>
              </w:rPr>
            </w:pPr>
            <w:r>
              <w:rPr>
                <w:rFonts w:hint="eastAsia" w:ascii="仿宋" w:hAnsi="仿宋" w:eastAsia="仿宋" w:cs="仿宋"/>
                <w:b/>
                <w:sz w:val="18"/>
                <w:szCs w:val="18"/>
              </w:rPr>
              <w:t>不定向抽查每年不少于一次，抽查比例不低于3%；定向抽查每年不少于2次，抽查比例不低于3%</w:t>
            </w:r>
          </w:p>
        </w:tc>
        <w:tc>
          <w:tcPr>
            <w:tcW w:w="1333" w:type="dxa"/>
          </w:tcPr>
          <w:p>
            <w:pPr>
              <w:spacing w:line="360" w:lineRule="exact"/>
              <w:jc w:val="center"/>
              <w:rPr>
                <w:rFonts w:hint="eastAsia" w:ascii="仿宋" w:hAnsi="仿宋" w:eastAsia="仿宋" w:cs="仿宋"/>
                <w:b/>
                <w:sz w:val="18"/>
                <w:szCs w:val="18"/>
              </w:rPr>
            </w:pPr>
          </w:p>
        </w:tc>
      </w:tr>
    </w:tbl>
    <w:p>
      <w:pPr>
        <w:jc w:val="center"/>
        <w:rPr>
          <w:rFonts w:ascii="黑体" w:hAnsi="黑体" w:eastAsia="黑体"/>
          <w:sz w:val="44"/>
          <w:szCs w:val="44"/>
        </w:rPr>
      </w:pPr>
      <w:r>
        <w:rPr>
          <w:rFonts w:hint="eastAsia" w:ascii="黑体" w:eastAsia="黑体"/>
          <w:sz w:val="28"/>
          <w:szCs w:val="28"/>
        </w:rPr>
        <w:t xml:space="preserve"> </w:t>
      </w:r>
    </w:p>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2711"/>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04E7"/>
    <w:rsid w:val="00165469"/>
    <w:rsid w:val="002504E7"/>
    <w:rsid w:val="003D49E3"/>
    <w:rsid w:val="005374BB"/>
    <w:rsid w:val="00797D75"/>
    <w:rsid w:val="11561C5A"/>
    <w:rsid w:val="34E5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827</Words>
  <Characters>4715</Characters>
  <Lines>39</Lines>
  <Paragraphs>11</Paragraphs>
  <TotalTime>0</TotalTime>
  <ScaleCrop>false</ScaleCrop>
  <LinksUpToDate>false</LinksUpToDate>
  <CharactersWithSpaces>5531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2017-05-18T03:27:00Z</dcterms:created>
  <dc:creator>wju</dc:creator>
  <cp:lastModifiedBy>Administrator</cp:lastModifiedBy>
  <cp:lastPrinted>2017-05-18T03:32:00Z</cp:lastPrinted>
  <dcterms:modified xsi:type="dcterms:W3CDTF">2019-12-17T12:38:32Z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