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600"/>
        <w:jc w:val="center"/>
        <w:textAlignment w:val="auto"/>
        <w:outlineLvl w:val="9"/>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600"/>
        <w:jc w:val="center"/>
        <w:textAlignment w:val="auto"/>
        <w:outlineLvl w:val="9"/>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600"/>
        <w:jc w:val="center"/>
        <w:textAlignment w:val="auto"/>
        <w:outlineLvl w:val="9"/>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pPr>
      <w:r>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t>沂源县统计局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600"/>
        <w:jc w:val="center"/>
        <w:textAlignment w:val="auto"/>
        <w:outlineLvl w:val="9"/>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pPr>
      <w:r>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t>“双随机、一公开”抽查工作指引</w:t>
      </w:r>
    </w:p>
    <w:p>
      <w:pPr>
        <w:pStyle w:val="14"/>
        <w:keepNext/>
        <w:keepLines/>
        <w:pageBreakBefore w:val="0"/>
        <w:kinsoku/>
        <w:wordWrap/>
        <w:overflowPunct/>
        <w:topLinePunct w:val="0"/>
        <w:autoSpaceDE/>
        <w:autoSpaceDN/>
        <w:bidi w:val="0"/>
        <w:adjustRightInd/>
        <w:snapToGrid/>
        <w:spacing w:before="280" w:after="280" w:line="560" w:lineRule="exact"/>
        <w:jc w:val="both"/>
        <w:textAlignment w:val="auto"/>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本工作指引适用于我局采用“双随机”抽查方式，对《山东省“双随机、一公开”抽查事项清单（2021年版）》所列各抽查事项，可根据具体情况采取实地核查、书面检查等适当方式进行检查。</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黑体" w:hAnsi="黑体" w:eastAsia="黑体" w:cs="黑体"/>
          <w:b/>
          <w:bCs w:val="0"/>
          <w:color w:val="000000" w:themeColor="text1"/>
          <w:sz w:val="32"/>
          <w:szCs w:val="32"/>
          <w:lang w:val="en-US" w:eastAsia="zh-CN"/>
          <w14:textFill>
            <w14:solidFill>
              <w14:schemeClr w14:val="tx1"/>
            </w14:solidFill>
          </w14:textFill>
        </w:rPr>
      </w:pPr>
      <w:r>
        <w:rPr>
          <w:rFonts w:hint="eastAsia" w:ascii="黑体" w:hAnsi="黑体" w:eastAsia="黑体" w:cs="黑体"/>
          <w:b/>
          <w:bCs w:val="0"/>
          <w:color w:val="000000" w:themeColor="text1"/>
          <w:sz w:val="32"/>
          <w:szCs w:val="32"/>
          <w:lang w:val="en-US" w:eastAsia="zh-CN"/>
          <w14:textFill>
            <w14:solidFill>
              <w14:schemeClr w14:val="tx1"/>
            </w14:solidFill>
          </w14:textFill>
        </w:rPr>
        <w:t>一、抽查事项</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1、依法提供统计资料情况。</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2、依法设置原始记录、统计台账情况。</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3、依法建立并执行统计资料管理制度情况。</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二、检查内容</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1、调查对象依法提供统计资料情况。</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2、调查对象依法建立原始记录、统计台账和统计资料管理制度情况。</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3、调查对象依法为履行法定填报职责提供保障情况。 </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4、调查对象依法配合统计调查和统计监督情况。</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三、检查方法</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实地核查人员不得少于两人，并应当出示统计执法证件。在核查中，应注意通过文字、音频或影像等方式留存核查痕迹，必要时可邀请相关人员作为见证人。</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四、结果公示</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除依法依规不适合公开的情形外，在抽查任务完成后20个工作日内，将抽查检查结果进行公示，接受社会监督。</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五、抽查依据</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《中华人民共和国统计法》（2009年6月27日第十一届全国人民代表大会常务委员会第九次会议修订自2010年1月1日起施行）</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第三十五条　县级以上人民政府统计机构在调查统计违法行为或者核查统计数据时，有权采取下列措施：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（一）发出统计检查查询书，向检查对象查询有关事项；</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（二）要求检查对象提供有关原始记录和凭证、统计台账、统计调查表、会计资料及其他相关证明和资料；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（三）就与检查有关的事项询问有关人员；</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（四）进入检查对象的业务场所和统计数据处理信息系统进行检查、核对；</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（五）经本机构负责人批准，登记保存检查对象的有关原始记录和凭证、统计台账、统计调查表、会计资料及其他相关证明和资料；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（六）对与检查事项有关的情况和资料进行记录、录音、录像、照相和复制。</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县级以上人民政府统计机构进行监督检查时，监督检查人员不得少于二人，并应当出示执法证件；未出示的，有关单位和个人有权拒绝检查。</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第三十六条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（一）拒绝提供统计资料或者经催报后仍未按时提供统计资料的；</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（二）提供不真实或者不完整的统计资料的；</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（三）拒绝答复或者不如实答复统计检查查询书的；</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（四）拒绝、阻碍统计调查、统计检查的；</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（五）转移、隐匿、篡改、毁弃或者拒绝提供原始记录和凭证、统计台账、统计调查表及其他相关证明和资料的。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企业事业单位或者其他组织有前款所列行为之一的，可以并处五万元以下的罚款；情节严重的，并处五万元以上二十万元以下的罚款。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个体工商户有本条第一款所列行为之一的，由县级以上人民政府统计机构责令改正，给予警告，可以并处一万元以下的罚款。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 xml:space="preserve">                                   2023年2月20日</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OWY2NjYzMjc1OTJmOGEwNTk2YjRlMTlmODMyNGEifQ=="/>
  </w:docVars>
  <w:rsids>
    <w:rsidRoot w:val="3A1406A8"/>
    <w:rsid w:val="28E45616"/>
    <w:rsid w:val="33ED4649"/>
    <w:rsid w:val="37B34AA0"/>
    <w:rsid w:val="38BC45FC"/>
    <w:rsid w:val="3A1406A8"/>
    <w:rsid w:val="3AF202C8"/>
    <w:rsid w:val="3DB02462"/>
    <w:rsid w:val="4F2F2B26"/>
    <w:rsid w:val="50C75E5D"/>
    <w:rsid w:val="51DA6E0E"/>
    <w:rsid w:val="55256612"/>
    <w:rsid w:val="5909669C"/>
    <w:rsid w:val="606515C6"/>
    <w:rsid w:val="609D4491"/>
    <w:rsid w:val="70360B78"/>
    <w:rsid w:val="78D1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Indent"/>
    <w:basedOn w:val="1"/>
    <w:next w:val="5"/>
    <w:qFormat/>
    <w:uiPriority w:val="0"/>
    <w:pPr>
      <w:ind w:left="0" w:leftChars="0"/>
    </w:pPr>
  </w:style>
  <w:style w:type="paragraph" w:styleId="5">
    <w:name w:val="Body Text First Indent 2"/>
    <w:basedOn w:val="4"/>
    <w:next w:val="1"/>
    <w:qFormat/>
    <w:uiPriority w:val="0"/>
    <w:pPr>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yperlink"/>
    <w:basedOn w:val="8"/>
    <w:qFormat/>
    <w:uiPriority w:val="0"/>
    <w:rPr>
      <w:color w:val="0000FF"/>
      <w:u w:val="none"/>
    </w:rPr>
  </w:style>
  <w:style w:type="character" w:customStyle="1" w:styleId="12">
    <w:name w:val="layui-layer-tabnow"/>
    <w:basedOn w:val="8"/>
    <w:qFormat/>
    <w:uiPriority w:val="0"/>
    <w:rPr>
      <w:bdr w:val="single" w:color="CCCCCC" w:sz="6" w:space="0"/>
      <w:shd w:val="clear" w:fill="FFFFFF"/>
    </w:rPr>
  </w:style>
  <w:style w:type="character" w:customStyle="1" w:styleId="13">
    <w:name w:val="first-child"/>
    <w:basedOn w:val="8"/>
    <w:qFormat/>
    <w:uiPriority w:val="0"/>
  </w:style>
  <w:style w:type="paragraph" w:customStyle="1" w:styleId="14">
    <w:name w:val="Heading #2|1"/>
    <w:basedOn w:val="1"/>
    <w:qFormat/>
    <w:uiPriority w:val="0"/>
    <w:pPr>
      <w:spacing w:after="290"/>
      <w:jc w:val="center"/>
      <w:outlineLvl w:val="1"/>
    </w:pPr>
    <w:rPr>
      <w:rFonts w:ascii="宋体" w:hAnsi="宋体" w:cs="宋体"/>
      <w:kern w:val="0"/>
      <w:sz w:val="22"/>
      <w:szCs w:val="20"/>
      <w:lang w:val="zh-CN" w:bidi="zh-CN"/>
    </w:rPr>
  </w:style>
  <w:style w:type="paragraph" w:customStyle="1" w:styleId="15">
    <w:name w:val="Body text|1"/>
    <w:basedOn w:val="1"/>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1265</Words>
  <Characters>1280</Characters>
  <Lines>0</Lines>
  <Paragraphs>0</Paragraphs>
  <TotalTime>14</TotalTime>
  <ScaleCrop>false</ScaleCrop>
  <LinksUpToDate>false</LinksUpToDate>
  <CharactersWithSpaces>1319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2022-03-02T07:58:00Z</dcterms:created>
  <dc:creator>大丽</dc:creator>
  <cp:lastModifiedBy>大丽</cp:lastModifiedBy>
  <cp:lastPrinted>2022-03-11T07:04:00Z</cp:lastPrinted>
  <dcterms:modified xsi:type="dcterms:W3CDTF">2023-02-22T06:31:22Z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6415F3BBB7934DBDB20209B73D5C8F50</vt:lpwstr>
  </property>
</Properties>
</file>