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978" w:rsidRDefault="005C6978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张家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坡中心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学校</w:t>
      </w:r>
    </w:p>
    <w:p w:rsidR="004F0F87" w:rsidRDefault="005C6978">
      <w:pPr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2023</w:t>
      </w:r>
      <w:r>
        <w:rPr>
          <w:rFonts w:ascii="宋体" w:eastAsia="宋体" w:hAnsi="宋体" w:cs="宋体" w:hint="eastAsia"/>
          <w:sz w:val="28"/>
          <w:szCs w:val="28"/>
        </w:rPr>
        <w:t>—</w:t>
      </w:r>
      <w:r>
        <w:rPr>
          <w:rFonts w:ascii="宋体" w:eastAsia="宋体" w:hAnsi="宋体" w:cs="宋体" w:hint="eastAsia"/>
          <w:sz w:val="28"/>
          <w:szCs w:val="28"/>
        </w:rPr>
        <w:t>2024</w:t>
      </w:r>
      <w:r>
        <w:rPr>
          <w:rFonts w:ascii="宋体" w:eastAsia="宋体" w:hAnsi="宋体" w:cs="宋体" w:hint="eastAsia"/>
          <w:sz w:val="28"/>
          <w:szCs w:val="28"/>
        </w:rPr>
        <w:t>学年</w:t>
      </w:r>
      <w:r>
        <w:rPr>
          <w:rFonts w:ascii="宋体" w:eastAsia="宋体" w:hAnsi="宋体" w:cs="宋体" w:hint="eastAsia"/>
          <w:sz w:val="28"/>
          <w:szCs w:val="28"/>
        </w:rPr>
        <w:t>三年级上册语文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备课组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工作计划</w:t>
      </w:r>
    </w:p>
    <w:p w:rsidR="004F0F87" w:rsidRDefault="005C6978">
      <w:pPr>
        <w:numPr>
          <w:ilvl w:val="0"/>
          <w:numId w:val="1"/>
        </w:num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指导思想</w:t>
      </w:r>
      <w:r>
        <w:rPr>
          <w:rFonts w:ascii="宋体" w:eastAsia="宋体" w:hAnsi="宋体" w:cs="宋体" w:hint="eastAsia"/>
          <w:sz w:val="28"/>
          <w:szCs w:val="28"/>
        </w:rPr>
        <w:t>：</w:t>
      </w:r>
    </w:p>
    <w:p w:rsidR="004F0F87" w:rsidRDefault="005C697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proofErr w:type="gramStart"/>
      <w:r>
        <w:rPr>
          <w:rFonts w:ascii="宋体" w:eastAsia="宋体" w:hAnsi="宋体" w:cs="宋体" w:hint="eastAsia"/>
          <w:sz w:val="28"/>
          <w:szCs w:val="28"/>
        </w:rPr>
        <w:t>备课组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是学校开展教学研究活动的主阵地，我们三年级语文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备课组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坚持以《语文课程标准》为指导，以学校和教研组工作计划为主线，以理论和实践结合为手段，不断深化课堂教学改革，深化思想道德教育。在这学期，我们将通过理论</w:t>
      </w:r>
      <w:r>
        <w:rPr>
          <w:rFonts w:ascii="宋体" w:eastAsia="宋体" w:hAnsi="宋体" w:cs="宋体" w:hint="eastAsia"/>
          <w:sz w:val="28"/>
          <w:szCs w:val="28"/>
        </w:rPr>
        <w:t>学习、</w:t>
      </w:r>
      <w:r>
        <w:rPr>
          <w:rFonts w:ascii="宋体" w:eastAsia="宋体" w:hAnsi="宋体" w:cs="宋体" w:hint="eastAsia"/>
          <w:sz w:val="28"/>
          <w:szCs w:val="28"/>
        </w:rPr>
        <w:t>集体备课与说课、听课与评课、作业批改与学生辅导等活</w:t>
      </w:r>
      <w:r>
        <w:rPr>
          <w:rFonts w:ascii="宋体" w:eastAsia="宋体" w:hAnsi="宋体" w:cs="宋体" w:hint="eastAsia"/>
          <w:sz w:val="28"/>
          <w:szCs w:val="28"/>
        </w:rPr>
        <w:t>动，</w:t>
      </w:r>
      <w:r>
        <w:rPr>
          <w:rFonts w:ascii="宋体" w:eastAsia="宋体" w:hAnsi="宋体" w:cs="宋体" w:hint="eastAsia"/>
          <w:sz w:val="28"/>
          <w:szCs w:val="28"/>
        </w:rPr>
        <w:t>把工作落到实处，提高语文学科教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学效益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与质量。并以此培</w:t>
      </w:r>
      <w:r>
        <w:rPr>
          <w:rFonts w:ascii="宋体" w:eastAsia="宋体" w:hAnsi="宋体" w:cs="宋体" w:hint="eastAsia"/>
          <w:sz w:val="28"/>
          <w:szCs w:val="28"/>
        </w:rPr>
        <w:t>养</w:t>
      </w:r>
      <w:r>
        <w:rPr>
          <w:rFonts w:ascii="宋体" w:eastAsia="宋体" w:hAnsi="宋体" w:cs="宋体" w:hint="eastAsia"/>
          <w:sz w:val="28"/>
          <w:szCs w:val="28"/>
        </w:rPr>
        <w:t>学生的学科情感，激发学生的学习兴趣，养成良好的学习习惯，促进学生主动持续发展。</w:t>
      </w:r>
    </w:p>
    <w:p w:rsidR="004F0F87" w:rsidRDefault="005C697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二、工作思路。</w:t>
      </w:r>
    </w:p>
    <w:p w:rsidR="004F0F87" w:rsidRDefault="005C697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、组织全组教师认真学习教科研工作计划和语文教学计划的相关内容，制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定本组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活动计划，明确目标，落实任务。</w:t>
      </w:r>
    </w:p>
    <w:p w:rsidR="004F0F87" w:rsidRDefault="005C697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、按要求组织本学期的集体备课、课题研究，组织好每次的单元练习。</w:t>
      </w:r>
    </w:p>
    <w:p w:rsidR="004F0F87" w:rsidRDefault="005C697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三、具体措施</w:t>
      </w:r>
    </w:p>
    <w:p w:rsidR="004F0F87" w:rsidRDefault="005C697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、加强学习，不断提高业务水平。继续学习理论知识及课改前沿信息，不断接受新的教学理念、教育方法、教育手段，积极开展教学改革实践，不断提高课堂教学水平。</w:t>
      </w:r>
    </w:p>
    <w:p w:rsidR="004F0F87" w:rsidRDefault="005C697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、加强良好学科情感、态度的培养，激发学习热情，提高学生自主学习的能力。在平时的</w:t>
      </w:r>
      <w:r>
        <w:rPr>
          <w:rFonts w:ascii="宋体" w:eastAsia="宋体" w:hAnsi="宋体" w:cs="宋体" w:hint="eastAsia"/>
          <w:sz w:val="28"/>
          <w:szCs w:val="28"/>
        </w:rPr>
        <w:t>教学中，除了用赏识、鼓励等方法，增强学生的学习兴趣外，还要注意利用学科知识的魅力，来吸引学生。同</w:t>
      </w:r>
      <w:r>
        <w:rPr>
          <w:rFonts w:ascii="宋体" w:eastAsia="宋体" w:hAnsi="宋体" w:cs="宋体" w:hint="eastAsia"/>
          <w:sz w:val="28"/>
          <w:szCs w:val="28"/>
        </w:rPr>
        <w:lastRenderedPageBreak/>
        <w:t>时要根据班级学生的特点，采取一定的激励策略，让好生更想学，中下生对语文的学习也充满自信和兴趣，切实促进学生积极主动学习。对那些“后进生”要分层要求，多创设条件让他们体验到成功的喜悦。</w:t>
      </w:r>
    </w:p>
    <w:p w:rsidR="004F0F87" w:rsidRDefault="005C697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、继续改革语文课堂教学，提高课堂效率。</w:t>
      </w:r>
    </w:p>
    <w:p w:rsidR="004F0F87" w:rsidRDefault="005C697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(1)</w:t>
      </w:r>
      <w:r>
        <w:rPr>
          <w:rFonts w:ascii="宋体" w:eastAsia="宋体" w:hAnsi="宋体" w:cs="宋体" w:hint="eastAsia"/>
          <w:sz w:val="28"/>
          <w:szCs w:val="28"/>
        </w:rPr>
        <w:t>认真开展集体备课活动，每周进行有效的集体备课活动，主要研讨选定的课，科学地制定出“三维目标”，确立每节课的教学重难点，然后着重研讨</w:t>
      </w:r>
      <w:proofErr w:type="gramStart"/>
      <w:r>
        <w:rPr>
          <w:rFonts w:ascii="宋体" w:eastAsia="宋体" w:hAnsi="宋体" w:cs="宋体" w:hint="eastAsia"/>
          <w:sz w:val="28"/>
          <w:szCs w:val="28"/>
        </w:rPr>
        <w:t>突破重</w:t>
      </w:r>
      <w:proofErr w:type="gramEnd"/>
      <w:r>
        <w:rPr>
          <w:rFonts w:ascii="宋体" w:eastAsia="宋体" w:hAnsi="宋体" w:cs="宋体" w:hint="eastAsia"/>
          <w:sz w:val="28"/>
          <w:szCs w:val="28"/>
        </w:rPr>
        <w:t>难点的方法策略或探究如何上更具特色更有实效性。</w:t>
      </w:r>
    </w:p>
    <w:p w:rsidR="004F0F87" w:rsidRDefault="005C697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(2)</w:t>
      </w:r>
      <w:r>
        <w:rPr>
          <w:rFonts w:ascii="宋体" w:eastAsia="宋体" w:hAnsi="宋体" w:cs="宋体" w:hint="eastAsia"/>
          <w:sz w:val="28"/>
          <w:szCs w:val="28"/>
        </w:rPr>
        <w:t>继续抓好学法指导和学生良好学习习惯的养成，特别是学生的书写、倾听、发言、勤思善问、认真审题等习惯和能力的培养。积极提高培优补差工作，全面提高教学质量。</w:t>
      </w:r>
    </w:p>
    <w:p w:rsidR="004F0F87" w:rsidRDefault="005C6978">
      <w:pPr>
        <w:ind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四、具体活动安排</w:t>
      </w:r>
      <w:r>
        <w:rPr>
          <w:rFonts w:ascii="宋体" w:eastAsia="宋体" w:hAnsi="宋体" w:cs="宋体" w:hint="eastAsia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29"/>
        <w:gridCol w:w="4695"/>
        <w:gridCol w:w="1290"/>
      </w:tblGrid>
      <w:tr w:rsidR="004F0F87">
        <w:tc>
          <w:tcPr>
            <w:tcW w:w="1629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备课时间</w:t>
            </w:r>
          </w:p>
        </w:tc>
        <w:tc>
          <w:tcPr>
            <w:tcW w:w="4695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备课主题</w:t>
            </w:r>
          </w:p>
        </w:tc>
        <w:tc>
          <w:tcPr>
            <w:tcW w:w="1290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主备人</w:t>
            </w:r>
            <w:proofErr w:type="gramEnd"/>
          </w:p>
        </w:tc>
      </w:tr>
      <w:tr w:rsidR="004F0F87">
        <w:tc>
          <w:tcPr>
            <w:tcW w:w="1629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8.30</w:t>
            </w:r>
          </w:p>
        </w:tc>
        <w:tc>
          <w:tcPr>
            <w:tcW w:w="4695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制定三年级语文</w:t>
            </w: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备课组</w:t>
            </w:r>
            <w:proofErr w:type="gramEnd"/>
            <w:r>
              <w:rPr>
                <w:rFonts w:ascii="宋体" w:eastAsia="宋体" w:hAnsi="宋体" w:cs="宋体" w:hint="eastAsia"/>
                <w:sz w:val="28"/>
                <w:szCs w:val="28"/>
              </w:rPr>
              <w:t>计划</w:t>
            </w:r>
          </w:p>
        </w:tc>
        <w:tc>
          <w:tcPr>
            <w:tcW w:w="1290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张凡</w:t>
            </w:r>
          </w:p>
        </w:tc>
      </w:tr>
      <w:tr w:rsidR="004F0F87">
        <w:tc>
          <w:tcPr>
            <w:tcW w:w="1629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9.1</w:t>
            </w:r>
          </w:p>
        </w:tc>
        <w:tc>
          <w:tcPr>
            <w:tcW w:w="4695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第一单元</w:t>
            </w:r>
          </w:p>
        </w:tc>
        <w:tc>
          <w:tcPr>
            <w:tcW w:w="1290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张凡</w:t>
            </w:r>
          </w:p>
        </w:tc>
      </w:tr>
      <w:tr w:rsidR="004F0F87">
        <w:tc>
          <w:tcPr>
            <w:tcW w:w="1629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9.2</w:t>
            </w:r>
          </w:p>
        </w:tc>
        <w:tc>
          <w:tcPr>
            <w:tcW w:w="4695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第二单元</w:t>
            </w:r>
          </w:p>
        </w:tc>
        <w:tc>
          <w:tcPr>
            <w:tcW w:w="1290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桑荣</w:t>
            </w:r>
            <w:proofErr w:type="gramEnd"/>
          </w:p>
        </w:tc>
      </w:tr>
      <w:tr w:rsidR="004F0F87">
        <w:tc>
          <w:tcPr>
            <w:tcW w:w="1629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第三周</w:t>
            </w:r>
          </w:p>
        </w:tc>
        <w:tc>
          <w:tcPr>
            <w:tcW w:w="4695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第三单元</w:t>
            </w:r>
          </w:p>
        </w:tc>
        <w:tc>
          <w:tcPr>
            <w:tcW w:w="1290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崔霞</w:t>
            </w:r>
          </w:p>
        </w:tc>
      </w:tr>
      <w:tr w:rsidR="004F0F87">
        <w:tc>
          <w:tcPr>
            <w:tcW w:w="1629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第六周</w:t>
            </w:r>
          </w:p>
        </w:tc>
        <w:tc>
          <w:tcPr>
            <w:tcW w:w="4695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第四单元</w:t>
            </w:r>
          </w:p>
        </w:tc>
        <w:tc>
          <w:tcPr>
            <w:tcW w:w="1290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张凡</w:t>
            </w:r>
          </w:p>
        </w:tc>
      </w:tr>
      <w:tr w:rsidR="004F0F87">
        <w:tc>
          <w:tcPr>
            <w:tcW w:w="1629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第九周</w:t>
            </w:r>
          </w:p>
        </w:tc>
        <w:tc>
          <w:tcPr>
            <w:tcW w:w="4695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第五单元</w:t>
            </w:r>
          </w:p>
        </w:tc>
        <w:tc>
          <w:tcPr>
            <w:tcW w:w="1290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桑荣</w:t>
            </w:r>
            <w:proofErr w:type="gramEnd"/>
          </w:p>
        </w:tc>
      </w:tr>
      <w:tr w:rsidR="004F0F87">
        <w:tc>
          <w:tcPr>
            <w:tcW w:w="1629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第十二周</w:t>
            </w:r>
          </w:p>
        </w:tc>
        <w:tc>
          <w:tcPr>
            <w:tcW w:w="4695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第六单元</w:t>
            </w:r>
          </w:p>
        </w:tc>
        <w:tc>
          <w:tcPr>
            <w:tcW w:w="1290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崔霞</w:t>
            </w:r>
          </w:p>
        </w:tc>
      </w:tr>
      <w:tr w:rsidR="004F0F87">
        <w:tc>
          <w:tcPr>
            <w:tcW w:w="1629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第十五周</w:t>
            </w:r>
          </w:p>
        </w:tc>
        <w:tc>
          <w:tcPr>
            <w:tcW w:w="4695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第七单元</w:t>
            </w:r>
          </w:p>
        </w:tc>
        <w:tc>
          <w:tcPr>
            <w:tcW w:w="1290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张凡</w:t>
            </w:r>
          </w:p>
        </w:tc>
      </w:tr>
      <w:tr w:rsidR="004F0F87">
        <w:tc>
          <w:tcPr>
            <w:tcW w:w="1629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第十八周</w:t>
            </w:r>
          </w:p>
        </w:tc>
        <w:tc>
          <w:tcPr>
            <w:tcW w:w="4695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第八单元</w:t>
            </w:r>
          </w:p>
        </w:tc>
        <w:tc>
          <w:tcPr>
            <w:tcW w:w="1290" w:type="dxa"/>
          </w:tcPr>
          <w:p w:rsidR="004F0F87" w:rsidRDefault="005C6978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proofErr w:type="gramStart"/>
            <w:r>
              <w:rPr>
                <w:rFonts w:ascii="宋体" w:eastAsia="宋体" w:hAnsi="宋体" w:cs="宋体" w:hint="eastAsia"/>
                <w:sz w:val="28"/>
                <w:szCs w:val="28"/>
              </w:rPr>
              <w:t>桑荣</w:t>
            </w:r>
            <w:proofErr w:type="gramEnd"/>
          </w:p>
        </w:tc>
      </w:tr>
    </w:tbl>
    <w:p w:rsidR="004F0F87" w:rsidRDefault="004F0F87">
      <w:pPr>
        <w:rPr>
          <w:rFonts w:ascii="宋体" w:eastAsia="宋体" w:hAnsi="宋体" w:cs="宋体" w:hint="eastAsia"/>
          <w:sz w:val="28"/>
          <w:szCs w:val="28"/>
        </w:rPr>
      </w:pPr>
      <w:bookmarkStart w:id="0" w:name="_GoBack"/>
      <w:bookmarkEnd w:id="0"/>
    </w:p>
    <w:sectPr w:rsidR="004F0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Arial"/>
    <w:charset w:val="00"/>
    <w:family w:val="swiss"/>
    <w:pitch w:val="default"/>
    <w:sig w:usb0="00000001" w:usb1="4000ACFF" w:usb2="00000001" w:usb3="00000000" w:csb0="2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3C282DB"/>
    <w:multiLevelType w:val="singleLevel"/>
    <w:tmpl w:val="B3C282DB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ZWJlZDQyYjljNmJiNTJjNjlhNWRhMTFhM2ExZjAifQ=="/>
  </w:docVars>
  <w:rsids>
    <w:rsidRoot w:val="004F0F87"/>
    <w:rsid w:val="004F0F87"/>
    <w:rsid w:val="005C6978"/>
    <w:rsid w:val="3D65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1FF0E2"/>
  <w15:docId w15:val="{1DF4B848-A2F7-4C76-B2B8-FC74A9FB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Windows 用户</cp:lastModifiedBy>
  <cp:revision>2</cp:revision>
  <cp:lastPrinted>2023-09-05T03:00:00Z</cp:lastPrinted>
  <dcterms:created xsi:type="dcterms:W3CDTF">2023-09-05T02:40:00Z</dcterms:created>
  <dcterms:modified xsi:type="dcterms:W3CDTF">2023-12-16T01:26:00Z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37F5B883FE264A77B24EE43B5E0A7280_12</vt:lpwstr>
  </property>
</Properties>
</file>