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000000"/>
          <w:spacing w:val="24"/>
          <w:sz w:val="164"/>
          <w:szCs w:val="32"/>
        </w:rPr>
      </w:pPr>
      <w:r>
        <w:rPr>
          <w:rFonts w:hint="eastAsia" w:ascii="方正小标宋简体" w:hAnsi="方正小标宋简体" w:eastAsia="方正小标宋简体" w:cs="方正小标宋简体"/>
          <w:color w:val="FF0000"/>
          <w:spacing w:val="24"/>
          <w:w w:val="50"/>
          <w:sz w:val="164"/>
        </w:rPr>
        <w:t>沂源县交通运输局文件</w:t>
      </w:r>
    </w:p>
    <w:p>
      <w:pPr>
        <w:widowControl/>
        <w:kinsoku w:val="0"/>
        <w:autoSpaceDE w:val="0"/>
        <w:autoSpaceDN w:val="0"/>
        <w:spacing w:line="560" w:lineRule="exact"/>
        <w:ind w:firstLine="2880" w:firstLineChars="900"/>
        <w:textAlignment w:val="baseline"/>
      </w:pPr>
      <w:bookmarkStart w:id="6" w:name="_GoBack"/>
      <w:r>
        <w:rPr>
          <w:rFonts w:hint="eastAsia" w:ascii="仿宋_GB2312" w:hAnsi="仿宋_GB2312" w:eastAsia="仿宋_GB2312" w:cs="仿宋_GB2312"/>
          <w:sz w:val="32"/>
          <w:szCs w:val="32"/>
        </w:rPr>
        <w:t>源交政</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〔2023〕1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bookmarkEnd w:id="6"/>
    </w:p>
    <w:p>
      <w:pPr>
        <w:widowControl/>
        <w:kinsoku w:val="0"/>
        <w:autoSpaceDE w:val="0"/>
        <w:autoSpaceDN w:val="0"/>
        <w:spacing w:line="560" w:lineRule="exact"/>
        <w:textAlignment w:val="baseline"/>
        <w:rPr>
          <w:rFonts w:ascii="仿宋_GB2312" w:hAnsi="仿宋_GB2312" w:eastAsia="仿宋_GB2312" w:cs="仿宋_GB2312"/>
          <w:sz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35560</wp:posOffset>
                </wp:positionV>
                <wp:extent cx="5652135" cy="635"/>
                <wp:effectExtent l="0" t="13970" r="1905" b="15875"/>
                <wp:wrapNone/>
                <wp:docPr id="4" name="直接连接符 4"/>
                <wp:cNvGraphicFramePr/>
                <a:graphic xmlns:a="http://schemas.openxmlformats.org/drawingml/2006/main">
                  <a:graphicData uri="http://schemas.microsoft.com/office/word/2010/wordprocessingShape">
                    <wps:wsp>
                      <wps:cNvCnPr/>
                      <wps:spPr>
                        <a:xfrm flipV="1">
                          <a:off x="946785" y="3357245"/>
                          <a:ext cx="565213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1pt;margin-top:2.8pt;height:0.05pt;width:445.05pt;z-index:251659264;mso-width-relative:page;mso-height-relative:page;" filled="f" stroked="t" coordsize="21600,21600" o:gfxdata="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Q+0NgAAAAHAQAADwAAAAAAAAABACAAAAAi&#10;AAAAZHJzL2Rvd25yZXYueG1sUEsBAhQAFAAAAAgAh07iQGzO7q8KAgAA/gMAAA4AAAAAAAAAAQAg&#10;AAAAJwEAAGRycy9lMm9Eb2MueG1sUEsFBgAAAAAGAAYAWQEAAKMFAAAAAA==&#10;">
                <v:fill on="f" focussize="0,0"/>
                <v:stroke weight="2.25pt" color="#FF0000" joinstyle="round"/>
                <v:imagedata o:title=""/>
                <o:lock v:ext="edit" aspectratio="f"/>
              </v:line>
            </w:pict>
          </mc:Fallback>
        </mc:AlternateContent>
      </w:r>
    </w:p>
    <w:p>
      <w:pPr>
        <w:pStyle w:val="2"/>
        <w:ind w:firstLine="640"/>
        <w:rPr>
          <w:rFonts w:ascii="仿宋_GB2312" w:hAnsi="仿宋_GB2312" w:eastAsia="仿宋_GB2312" w:cs="仿宋_GB2312"/>
          <w:sz w:val="32"/>
        </w:rPr>
      </w:pPr>
    </w:p>
    <w:p>
      <w:pPr>
        <w:pStyle w:val="2"/>
        <w:spacing w:line="56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关于印发《沂源县交通运输局信用分级分类监管细则（试行）》的通知</w:t>
      </w:r>
    </w:p>
    <w:p>
      <w:pPr>
        <w:pStyle w:val="2"/>
        <w:ind w:left="0" w:leftChars="0" w:firstLine="0" w:firstLineChars="0"/>
        <w:rPr>
          <w:rFonts w:ascii="仿宋_GB2312" w:hAnsi="仿宋_GB2312" w:eastAsia="仿宋_GB2312" w:cs="仿宋_GB2312"/>
          <w:sz w:val="32"/>
          <w:szCs w:val="32"/>
        </w:rPr>
      </w:pPr>
    </w:p>
    <w:p>
      <w:pPr>
        <w:pStyle w:val="2"/>
        <w:spacing w:line="56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局属各科室、单位：</w:t>
      </w:r>
    </w:p>
    <w:p>
      <w:pPr>
        <w:pStyle w:val="2"/>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升监管效能，建立完善以信用为基础的精准监管机制，推动差异化监管工作，按照淄博市交通运输局《关于印发〈淄博市交通运输局深入推进信用分级分类监管工作实施方案〉的通知》要求，县局拟订了《县交通运输局信用分级分类监管细则（试行）》，现印发你们，请结合各自工作实际,抓好贯彻落实。</w:t>
      </w:r>
    </w:p>
    <w:p>
      <w:pPr>
        <w:pStyle w:val="2"/>
        <w:ind w:left="0" w:leftChars="0" w:firstLine="0" w:firstLineChars="0"/>
        <w:rPr>
          <w:rFonts w:hint="eastAsia" w:ascii="Times New Roman" w:hAnsi="Times New Roman" w:eastAsia="仿宋_GB2312" w:cs="Times New Roman"/>
          <w:sz w:val="32"/>
          <w:szCs w:val="32"/>
        </w:rPr>
      </w:pPr>
    </w:p>
    <w:p>
      <w:pPr>
        <w:pStyle w:val="2"/>
        <w:ind w:left="0" w:leftChars="0" w:firstLine="0" w:firstLineChars="0"/>
        <w:rPr>
          <w:rFonts w:hint="eastAsia" w:ascii="Times New Roman" w:hAnsi="Times New Roman" w:eastAsia="仿宋_GB2312" w:cs="Times New Roman"/>
          <w:sz w:val="32"/>
          <w:szCs w:val="32"/>
        </w:rPr>
      </w:pPr>
    </w:p>
    <w:p>
      <w:pPr>
        <w:pStyle w:val="2"/>
        <w:wordWrap/>
        <w:ind w:left="0" w:leftChars="0" w:firstLine="0" w:firstLineChars="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日</w:t>
      </w:r>
    </w:p>
    <w:p>
      <w:pPr>
        <w:pStyle w:val="4"/>
        <w:spacing w:line="560" w:lineRule="exact"/>
        <w:contextualSpacing/>
        <w:jc w:val="center"/>
        <w:rPr>
          <w:rFonts w:ascii="方正小标宋简体" w:hAnsi="Times New Roman" w:eastAsia="方正小标宋简体" w:cs="仿宋_GB2312"/>
          <w:sz w:val="44"/>
          <w:szCs w:val="44"/>
        </w:rPr>
      </w:pPr>
    </w:p>
    <w:p>
      <w:pPr>
        <w:pStyle w:val="15"/>
        <w:keepNext/>
        <w:keepLines/>
        <w:rPr>
          <w:rFonts w:ascii="方正小标宋简体" w:hAnsi="方正小标宋简体" w:eastAsia="方正小标宋简体" w:cs="方正小标宋简体"/>
          <w:sz w:val="44"/>
          <w:szCs w:val="44"/>
        </w:rPr>
      </w:pPr>
      <w:bookmarkStart w:id="0" w:name="bookmark4"/>
      <w:r>
        <w:rPr>
          <w:rStyle w:val="16"/>
          <w:rFonts w:hint="eastAsia" w:ascii="方正小标宋简体" w:hAnsi="方正小标宋简体" w:eastAsia="方正小标宋简体" w:cs="方正小标宋简体"/>
          <w:color w:val="000000"/>
          <w:sz w:val="44"/>
          <w:szCs w:val="44"/>
        </w:rPr>
        <w:t>沂源县交通运输局信用分级分类监管细则</w:t>
      </w:r>
      <w:r>
        <w:rPr>
          <w:rStyle w:val="16"/>
          <w:rFonts w:hint="eastAsia" w:ascii="方正小标宋简体" w:hAnsi="方正小标宋简体" w:eastAsia="方正小标宋简体" w:cs="方正小标宋简体"/>
          <w:color w:val="000000"/>
          <w:sz w:val="44"/>
          <w:szCs w:val="44"/>
        </w:rPr>
        <w:br w:type="textWrapping"/>
      </w:r>
      <w:r>
        <w:rPr>
          <w:rStyle w:val="16"/>
          <w:rFonts w:hint="eastAsia" w:ascii="方正小标宋简体" w:hAnsi="方正小标宋简体" w:eastAsia="方正小标宋简体" w:cs="方正小标宋简体"/>
          <w:color w:val="000000"/>
          <w:sz w:val="44"/>
          <w:szCs w:val="44"/>
        </w:rPr>
        <w:t>（试行）</w:t>
      </w:r>
      <w:bookmarkEnd w:id="0"/>
    </w:p>
    <w:p>
      <w:pPr>
        <w:pStyle w:val="17"/>
        <w:keepNext/>
        <w:keepLines/>
        <w:rPr>
          <w:rFonts w:ascii="黑体" w:hAnsi="黑体" w:eastAsia="黑体" w:cs="黑体"/>
          <w:b w:val="0"/>
          <w:bCs w:val="0"/>
          <w:sz w:val="32"/>
          <w:szCs w:val="32"/>
        </w:rPr>
      </w:pPr>
      <w:bookmarkStart w:id="1" w:name="bookmark6"/>
      <w:r>
        <w:rPr>
          <w:rStyle w:val="18"/>
          <w:rFonts w:hint="eastAsia" w:ascii="黑体" w:hAnsi="黑体" w:eastAsia="黑体" w:cs="黑体"/>
          <w:b w:val="0"/>
          <w:bCs w:val="0"/>
          <w:sz w:val="32"/>
          <w:szCs w:val="32"/>
        </w:rPr>
        <w:t>第一章</w:t>
      </w:r>
      <w:r>
        <w:rPr>
          <w:rStyle w:val="18"/>
          <w:rFonts w:hint="eastAsia" w:ascii="黑体" w:hAnsi="黑体" w:eastAsia="黑体" w:cs="黑体"/>
          <w:b w:val="0"/>
          <w:bCs w:val="0"/>
          <w:sz w:val="32"/>
          <w:szCs w:val="32"/>
          <w:lang w:val="en-US"/>
        </w:rPr>
        <w:t xml:space="preserve"> </w:t>
      </w:r>
      <w:r>
        <w:rPr>
          <w:rStyle w:val="18"/>
          <w:rFonts w:hint="eastAsia" w:ascii="黑体" w:hAnsi="黑体" w:eastAsia="黑体" w:cs="黑体"/>
          <w:b w:val="0"/>
          <w:bCs w:val="0"/>
          <w:sz w:val="32"/>
          <w:szCs w:val="32"/>
        </w:rPr>
        <w:t>总则</w:t>
      </w:r>
      <w:bookmarkEnd w:id="1"/>
    </w:p>
    <w:p>
      <w:pPr>
        <w:pStyle w:val="19"/>
        <w:spacing w:line="560" w:lineRule="exact"/>
        <w:ind w:firstLine="658"/>
        <w:rPr>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一条为贯彻落实《山东省信用分级分类管理办法（试行）》《淄博市交通运输局深入推进信用分级分类监管工作实施方案》，加快构建差异化监管模式，着力提升监管效能，全力打造一流营商环境，结合区域交通运输工作实际，制定本细则。</w:t>
      </w:r>
    </w:p>
    <w:p>
      <w:pPr>
        <w:pStyle w:val="19"/>
        <w:spacing w:line="560" w:lineRule="exact"/>
        <w:ind w:firstLine="658"/>
        <w:rPr>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第二条开展信用分级分类监管，应遵循综合性、一致性、审慎性原则，根据现有信用评价指标体系，建立完善信用风险对应关系，以信用风险对应级别的高低确定差异化监管措施。</w:t>
      </w:r>
    </w:p>
    <w:p>
      <w:pPr>
        <w:pStyle w:val="19"/>
        <w:spacing w:line="560" w:lineRule="exact"/>
        <w:ind w:firstLine="658"/>
        <w:rPr>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第三条全县交通运输行业信用分级分类监管适用于本细则，各职能科室单位按照监管职责分工负责各自领域的信用分级分类监管工作。</w:t>
      </w:r>
    </w:p>
    <w:p>
      <w:pPr>
        <w:pStyle w:val="17"/>
        <w:keepNext/>
        <w:keepLines/>
        <w:rPr>
          <w:rFonts w:ascii="黑体" w:hAnsi="黑体" w:eastAsia="黑体" w:cs="黑体"/>
          <w:b w:val="0"/>
          <w:bCs w:val="0"/>
          <w:sz w:val="32"/>
          <w:szCs w:val="32"/>
        </w:rPr>
      </w:pPr>
      <w:bookmarkStart w:id="2" w:name="bookmark8"/>
      <w:r>
        <w:rPr>
          <w:rStyle w:val="18"/>
          <w:rFonts w:hint="eastAsia" w:ascii="黑体" w:hAnsi="黑体" w:eastAsia="黑体" w:cs="黑体"/>
          <w:b w:val="0"/>
          <w:bCs w:val="0"/>
          <w:sz w:val="32"/>
          <w:szCs w:val="32"/>
        </w:rPr>
        <w:t>第二章</w:t>
      </w:r>
      <w:r>
        <w:rPr>
          <w:rStyle w:val="18"/>
          <w:rFonts w:hint="eastAsia" w:ascii="黑体" w:hAnsi="黑体" w:eastAsia="黑体" w:cs="黑体"/>
          <w:b w:val="0"/>
          <w:bCs w:val="0"/>
          <w:sz w:val="32"/>
          <w:szCs w:val="32"/>
          <w:lang w:val="en-US"/>
        </w:rPr>
        <w:t xml:space="preserve"> </w:t>
      </w:r>
      <w:r>
        <w:rPr>
          <w:rStyle w:val="18"/>
          <w:rFonts w:hint="eastAsia" w:ascii="黑体" w:hAnsi="黑体" w:eastAsia="黑体" w:cs="黑体"/>
          <w:b w:val="0"/>
          <w:bCs w:val="0"/>
          <w:sz w:val="32"/>
          <w:szCs w:val="32"/>
        </w:rPr>
        <w:t>信用风险</w:t>
      </w:r>
      <w:bookmarkEnd w:id="2"/>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四条为确定统一的监管标准，有效推动信用分级分类管理，按照经营主体信用风险由低到高确定为四个“信用风险对应等级”，即：“低风险、一般风险、中风险、高风险”，并与现行信用评价标准建立对应关系。详见附件《交通运输行业信用分级分类管理信用风险对应等级表》。</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第五条信用风险对应等级是实施信用分级分类监管的重要依据，在不同信用评价体系中，优先选取信用评价等级最低的确定信用风险对应级别。</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六条“信用风险对应等级”原则上在本年度相关等级未明确前，按照上年度各体系中的信用等级确定信用风险对应等级。本年度各体系信用等级确定后以及有关信用等级动态变动后，可根据实际情况确定“信用风险对应等级”。</w:t>
      </w:r>
    </w:p>
    <w:p>
      <w:pPr>
        <w:pStyle w:val="17"/>
        <w:keepNext/>
        <w:keepLines/>
        <w:spacing w:line="566" w:lineRule="exact"/>
        <w:rPr>
          <w:rFonts w:ascii="黑体" w:hAnsi="黑体" w:eastAsia="黑体" w:cs="黑体"/>
          <w:b w:val="0"/>
          <w:bCs w:val="0"/>
          <w:sz w:val="32"/>
          <w:szCs w:val="32"/>
        </w:rPr>
      </w:pPr>
      <w:bookmarkStart w:id="3" w:name="bookmark10"/>
      <w:r>
        <w:rPr>
          <w:rStyle w:val="18"/>
          <w:rFonts w:hint="eastAsia" w:ascii="黑体" w:hAnsi="黑体" w:eastAsia="黑体" w:cs="黑体"/>
          <w:b w:val="0"/>
          <w:bCs w:val="0"/>
          <w:sz w:val="32"/>
          <w:szCs w:val="32"/>
        </w:rPr>
        <w:t>第三章</w:t>
      </w:r>
      <w:r>
        <w:rPr>
          <w:rStyle w:val="18"/>
          <w:rFonts w:hint="eastAsia" w:ascii="黑体" w:hAnsi="黑体" w:eastAsia="黑体" w:cs="黑体"/>
          <w:b w:val="0"/>
          <w:bCs w:val="0"/>
          <w:sz w:val="32"/>
          <w:szCs w:val="32"/>
          <w:lang w:val="en-US"/>
        </w:rPr>
        <w:t xml:space="preserve"> </w:t>
      </w:r>
      <w:r>
        <w:rPr>
          <w:rStyle w:val="18"/>
          <w:rFonts w:hint="eastAsia" w:ascii="黑体" w:hAnsi="黑体" w:eastAsia="黑体" w:cs="黑体"/>
          <w:b w:val="0"/>
          <w:bCs w:val="0"/>
          <w:sz w:val="32"/>
          <w:szCs w:val="32"/>
        </w:rPr>
        <w:t>信用分级分类管理</w:t>
      </w:r>
      <w:bookmarkEnd w:id="3"/>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七条对信用低风险主体，在日常监管过程中，适当减少监督检查比例和频次，有条件的可以落实“非请勿扰”“免检免扰”等措施。在行政管理和公共服务中，实行绿色通道、容缺受理、简化程序等支持激励措施。</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第八条对信用一般风险主体，在日常监管过程中，在保证监管频次和比例的基础上，采取包容审慎监管方式。</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第九条对信用中风险主体，在日常监管过程中，可以适当增加检查比例和频次，有针对性地开展信用警示约谈。</w:t>
      </w:r>
    </w:p>
    <w:p>
      <w:pPr>
        <w:pStyle w:val="19"/>
        <w:spacing w:line="560" w:lineRule="exact"/>
        <w:ind w:firstLine="658"/>
        <w:rPr>
          <w:rStyle w:val="20"/>
          <w:sz w:val="32"/>
          <w:szCs w:val="32"/>
        </w:rPr>
      </w:pPr>
      <w:r>
        <w:rPr>
          <w:rStyle w:val="20"/>
          <w:rFonts w:hint="eastAsia" w:ascii="仿宋_GB2312" w:hAnsi="仿宋_GB2312" w:eastAsia="仿宋_GB2312" w:cs="仿宋_GB2312"/>
          <w:sz w:val="32"/>
          <w:szCs w:val="32"/>
        </w:rPr>
        <w:t>第十条对信用高风险主体，在日常监管过程中，列为重点监管对象，抽查比例不设上限，依法依规加大检查力度和频次。在行政管理和公共服务中，对符合联合惩戒条件的主体实行限制申请财政性资金项目、评优评先等惩戒措施。</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第十一条对信用风险主体开展的专项检查、安全检查等特定检查，上级部门对监管频次、覆盖范围等有具体要求的，从其规定，不受信用分级分类监管工作限制。</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第十二条现有信用评价体系中，对应信用级别的奖惩措施从其规定。</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第十三条各职能科室单位按照监管职责分工建立健全有关信用风险对应等级清单，在“双</w:t>
      </w:r>
      <w:r>
        <w:rPr>
          <w:rStyle w:val="20"/>
          <w:rFonts w:hint="eastAsia" w:ascii="仿宋_GB2312" w:hAnsi="仿宋_GB2312" w:eastAsia="仿宋_GB2312" w:cs="仿宋_GB2312"/>
          <w:sz w:val="32"/>
          <w:szCs w:val="32"/>
          <w:lang w:val="en-US"/>
        </w:rPr>
        <w:t>随</w:t>
      </w:r>
      <w:r>
        <w:rPr>
          <w:rStyle w:val="20"/>
          <w:rFonts w:hint="eastAsia" w:ascii="仿宋_GB2312" w:hAnsi="仿宋_GB2312" w:eastAsia="仿宋_GB2312" w:cs="仿宋_GB2312"/>
          <w:sz w:val="32"/>
          <w:szCs w:val="32"/>
        </w:rPr>
        <w:t>机、一公开”监督检查等工作中，结合各自工作实际，合理确定各等级的抽查比例及频次，不断提升监管实效。</w:t>
      </w:r>
    </w:p>
    <w:p>
      <w:pPr>
        <w:pStyle w:val="17"/>
        <w:keepNext/>
        <w:keepLines/>
        <w:rPr>
          <w:rFonts w:ascii="黑体" w:hAnsi="黑体" w:eastAsia="黑体" w:cs="黑体"/>
          <w:b w:val="0"/>
          <w:bCs w:val="0"/>
          <w:sz w:val="32"/>
          <w:szCs w:val="32"/>
        </w:rPr>
      </w:pPr>
      <w:bookmarkStart w:id="4" w:name="bookmark12"/>
      <w:r>
        <w:rPr>
          <w:rStyle w:val="18"/>
          <w:rFonts w:hint="eastAsia" w:ascii="黑体" w:hAnsi="黑体" w:eastAsia="黑体" w:cs="黑体"/>
          <w:b w:val="0"/>
          <w:bCs w:val="0"/>
          <w:sz w:val="32"/>
          <w:szCs w:val="32"/>
        </w:rPr>
        <w:t>第四章</w:t>
      </w:r>
      <w:r>
        <w:rPr>
          <w:rStyle w:val="18"/>
          <w:rFonts w:hint="eastAsia" w:ascii="黑体" w:hAnsi="黑体" w:eastAsia="黑体" w:cs="黑体"/>
          <w:b w:val="0"/>
          <w:bCs w:val="0"/>
          <w:sz w:val="32"/>
          <w:szCs w:val="32"/>
          <w:lang w:val="en-US"/>
        </w:rPr>
        <w:t xml:space="preserve"> </w:t>
      </w:r>
      <w:r>
        <w:rPr>
          <w:rStyle w:val="18"/>
          <w:rFonts w:hint="eastAsia" w:ascii="黑体" w:hAnsi="黑体" w:eastAsia="黑体" w:cs="黑体"/>
          <w:b w:val="0"/>
          <w:bCs w:val="0"/>
          <w:sz w:val="32"/>
          <w:szCs w:val="32"/>
        </w:rPr>
        <w:t>信用主体权益保护</w:t>
      </w:r>
      <w:bookmarkEnd w:id="4"/>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第十四条要加强信用主体信用信息安全防护，保障信用主体信用信息在信用评价管理、分级分类监管过程中的安全。</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第十五条要切实保护信用主体合法权益，对泄漏、篡改信用主体信用分级分类结果或者利用信用分级分类结果谋私等行为，依法依规进行处理。</w:t>
      </w:r>
    </w:p>
    <w:p>
      <w:pPr>
        <w:pStyle w:val="19"/>
        <w:spacing w:line="560" w:lineRule="exact"/>
        <w:ind w:firstLine="658"/>
        <w:rPr>
          <w:rStyle w:val="20"/>
          <w:rFonts w:ascii="仿宋_GB2312" w:hAnsi="仿宋_GB2312" w:eastAsia="仿宋_GB2312" w:cs="仿宋_GB2312"/>
          <w:sz w:val="32"/>
          <w:szCs w:val="32"/>
        </w:rPr>
      </w:pPr>
      <w:r>
        <w:rPr>
          <w:rStyle w:val="20"/>
          <w:rFonts w:hint="eastAsia" w:ascii="仿宋_GB2312" w:hAnsi="仿宋_GB2312" w:eastAsia="仿宋_GB2312" w:cs="仿宋_GB2312"/>
          <w:sz w:val="32"/>
          <w:szCs w:val="32"/>
        </w:rPr>
        <w:t>第十六条信用信息采集归集和披露、信用激励和惩戒等活动，应当遵循合法、客观、关联、适当的原则，严格遵照《山东省社会信用条例》等有关规定要求，未经允许不得违规公示公开。</w:t>
      </w:r>
    </w:p>
    <w:p>
      <w:pPr>
        <w:pStyle w:val="4"/>
        <w:spacing w:line="560" w:lineRule="exact"/>
        <w:ind w:firstLine="640"/>
        <w:contextualSpacing/>
        <w:jc w:val="center"/>
        <w:rPr>
          <w:rStyle w:val="20"/>
          <w:rFonts w:ascii="黑体" w:hAnsi="黑体" w:eastAsia="黑体" w:cs="黑体"/>
          <w:sz w:val="32"/>
          <w:szCs w:val="32"/>
        </w:rPr>
      </w:pPr>
      <w:r>
        <w:rPr>
          <w:rStyle w:val="20"/>
          <w:rFonts w:hint="eastAsia" w:ascii="黑体" w:hAnsi="黑体" w:eastAsia="黑体" w:cs="黑体"/>
          <w:sz w:val="32"/>
          <w:szCs w:val="32"/>
        </w:rPr>
        <w:t>第五章附则</w:t>
      </w:r>
    </w:p>
    <w:p>
      <w:pPr>
        <w:pStyle w:val="19"/>
        <w:spacing w:line="560" w:lineRule="exact"/>
        <w:ind w:firstLine="658"/>
        <w:rPr>
          <w:rStyle w:val="20"/>
          <w:rFonts w:ascii="仿宋_GB2312" w:hAnsi="仿宋_GB2312" w:eastAsia="仿宋_GB2312" w:cs="仿宋_GB2312"/>
          <w:sz w:val="32"/>
          <w:szCs w:val="32"/>
        </w:rPr>
        <w:sectPr>
          <w:footerReference r:id="rId3" w:type="default"/>
          <w:pgSz w:w="11906" w:h="16838"/>
          <w:pgMar w:top="1984" w:right="1474" w:bottom="1984" w:left="1587" w:header="851" w:footer="992" w:gutter="0"/>
          <w:cols w:space="425" w:num="1"/>
          <w:docGrid w:type="lines" w:linePitch="312" w:charSpace="0"/>
        </w:sectPr>
      </w:pPr>
      <w:r>
        <w:rPr>
          <w:rStyle w:val="20"/>
          <w:rFonts w:hint="eastAsia" w:ascii="仿宋_GB2312" w:hAnsi="仿宋_GB2312" w:eastAsia="仿宋_GB2312" w:cs="仿宋_GB2312"/>
          <w:sz w:val="32"/>
          <w:szCs w:val="32"/>
        </w:rPr>
        <w:t>第十七条本细则自印发之日起试行。</w:t>
      </w:r>
    </w:p>
    <w:p>
      <w:pPr>
        <w:pStyle w:val="14"/>
        <w:ind w:left="0" w:firstLine="0" w:firstLineChars="0"/>
        <w:rPr>
          <w:rFonts w:ascii="Times New Roman" w:hAnsi="Times New Roman" w:eastAsia="仿宋_GB2312" w:cs="Times New Roman"/>
          <w:sz w:val="32"/>
          <w:szCs w:val="32"/>
        </w:rPr>
      </w:pPr>
      <w:bookmarkStart w:id="5" w:name="bookmark16"/>
      <w:r>
        <w:rPr>
          <w:rFonts w:ascii="Times New Roman" w:hAnsi="Times New Roman" w:eastAsia="仿宋_GB2312" w:cs="Times New Roman"/>
          <w:sz w:val="32"/>
          <w:szCs w:val="32"/>
          <w:lang w:val="en-US"/>
        </w:rPr>
        <w:t>附件</w:t>
      </w:r>
    </w:p>
    <w:tbl>
      <w:tblPr>
        <w:tblStyle w:val="8"/>
        <w:tblpPr w:leftFromText="180" w:rightFromText="180" w:vertAnchor="text" w:horzAnchor="page" w:tblpX="1010" w:tblpY="1268"/>
        <w:tblOverlap w:val="never"/>
        <w:tblW w:w="14847" w:type="dxa"/>
        <w:tblInd w:w="0" w:type="dxa"/>
        <w:tblLayout w:type="fixed"/>
        <w:tblCellMar>
          <w:top w:w="0" w:type="dxa"/>
          <w:left w:w="10" w:type="dxa"/>
          <w:bottom w:w="0" w:type="dxa"/>
          <w:right w:w="10" w:type="dxa"/>
        </w:tblCellMar>
      </w:tblPr>
      <w:tblGrid>
        <w:gridCol w:w="1397"/>
        <w:gridCol w:w="1819"/>
        <w:gridCol w:w="1810"/>
        <w:gridCol w:w="1819"/>
        <w:gridCol w:w="1752"/>
        <w:gridCol w:w="2160"/>
        <w:gridCol w:w="1613"/>
        <w:gridCol w:w="2477"/>
      </w:tblGrid>
      <w:tr>
        <w:tblPrEx>
          <w:tblCellMar>
            <w:top w:w="0" w:type="dxa"/>
            <w:left w:w="10" w:type="dxa"/>
            <w:bottom w:w="0" w:type="dxa"/>
            <w:right w:w="10" w:type="dxa"/>
          </w:tblCellMar>
        </w:tblPrEx>
        <w:trPr>
          <w:trHeight w:val="2189" w:hRule="exact"/>
        </w:trPr>
        <w:tc>
          <w:tcPr>
            <w:tcW w:w="1397"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信用风险对应等级</w:t>
            </w:r>
          </w:p>
        </w:tc>
        <w:tc>
          <w:tcPr>
            <w:tcW w:w="1819"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公共信用综合评价标准一一《山东省信用分级分类管理办法（试行）》</w:t>
            </w:r>
          </w:p>
        </w:tc>
        <w:tc>
          <w:tcPr>
            <w:tcW w:w="1810"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行业安全生产信用评价标准</w:t>
            </w:r>
            <w:r>
              <w:rPr>
                <w:rFonts w:hint="eastAsia" w:ascii="黑体" w:hAnsi="黑体" w:eastAsia="黑体" w:cs="黑体"/>
                <w:sz w:val="24"/>
                <w:szCs w:val="24"/>
              </w:rPr>
              <w:tab/>
            </w:r>
            <w:r>
              <w:rPr>
                <w:rFonts w:hint="eastAsia" w:ascii="黑体" w:hAnsi="黑体" w:eastAsia="黑体" w:cs="黑体"/>
                <w:sz w:val="24"/>
                <w:szCs w:val="24"/>
              </w:rPr>
              <w:t>《一一山东省交通运输安全生产信用管理实施办法》</w:t>
            </w:r>
          </w:p>
        </w:tc>
        <w:tc>
          <w:tcPr>
            <w:tcW w:w="1819"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道路运输经营者信用评价标准一一《山东省</w:t>
            </w:r>
          </w:p>
          <w:p>
            <w:pPr>
              <w:pStyle w:val="21"/>
              <w:jc w:val="center"/>
              <w:rPr>
                <w:rFonts w:ascii="黑体" w:hAnsi="黑体" w:eastAsia="黑体" w:cs="黑体"/>
                <w:sz w:val="24"/>
                <w:szCs w:val="24"/>
              </w:rPr>
            </w:pPr>
            <w:r>
              <w:rPr>
                <w:rFonts w:hint="eastAsia" w:ascii="黑体" w:hAnsi="黑体" w:eastAsia="黑体" w:cs="黑体"/>
                <w:sz w:val="24"/>
                <w:szCs w:val="24"/>
              </w:rPr>
              <w:t>道路运输经营者信用管理办法（试行）》</w:t>
            </w:r>
          </w:p>
        </w:tc>
        <w:tc>
          <w:tcPr>
            <w:tcW w:w="1752" w:type="dxa"/>
            <w:tcBorders>
              <w:top w:val="single" w:color="auto" w:sz="4" w:space="0"/>
              <w:left w:val="single" w:color="auto" w:sz="4" w:space="0"/>
            </w:tcBorders>
            <w:shd w:val="clear" w:color="auto" w:fill="auto"/>
            <w:vAlign w:val="center"/>
          </w:tcPr>
          <w:p>
            <w:pPr>
              <w:pStyle w:val="21"/>
              <w:jc w:val="left"/>
              <w:rPr>
                <w:rFonts w:ascii="黑体" w:hAnsi="黑体" w:eastAsia="黑体" w:cs="黑体"/>
                <w:sz w:val="24"/>
                <w:szCs w:val="24"/>
              </w:rPr>
            </w:pPr>
            <w:r>
              <w:rPr>
                <w:rFonts w:hint="eastAsia" w:ascii="黑体" w:hAnsi="黑体" w:eastAsia="黑体" w:cs="黑体"/>
                <w:sz w:val="24"/>
                <w:szCs w:val="24"/>
              </w:rPr>
              <w:t>道路运输企业质量信誉考核标准一一《道路运输企业质量信誉考核办法（试行）》</w:t>
            </w:r>
          </w:p>
        </w:tc>
        <w:tc>
          <w:tcPr>
            <w:tcW w:w="2160"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出租汽车服务质量信誉考核标准一一《出租汽车服务质量信誉考核办法》</w:t>
            </w:r>
          </w:p>
        </w:tc>
        <w:tc>
          <w:tcPr>
            <w:tcW w:w="1613" w:type="dxa"/>
            <w:tcBorders>
              <w:top w:val="single" w:color="auto" w:sz="4" w:space="0"/>
              <w:lef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机动车驾驶员培训机构质量信誉考核标准</w:t>
            </w:r>
          </w:p>
        </w:tc>
        <w:tc>
          <w:tcPr>
            <w:tcW w:w="2477" w:type="dxa"/>
            <w:tcBorders>
              <w:top w:val="single" w:color="auto" w:sz="4" w:space="0"/>
              <w:left w:val="single" w:color="auto" w:sz="4" w:space="0"/>
              <w:right w:val="single" w:color="auto" w:sz="4" w:space="0"/>
            </w:tcBorders>
            <w:shd w:val="clear" w:color="auto" w:fill="auto"/>
            <w:vAlign w:val="center"/>
          </w:tcPr>
          <w:p>
            <w:pPr>
              <w:pStyle w:val="21"/>
              <w:jc w:val="center"/>
              <w:rPr>
                <w:rFonts w:ascii="黑体" w:hAnsi="黑体" w:eastAsia="黑体" w:cs="黑体"/>
                <w:sz w:val="24"/>
                <w:szCs w:val="24"/>
              </w:rPr>
            </w:pPr>
            <w:r>
              <w:rPr>
                <w:rFonts w:hint="eastAsia" w:ascii="黑体" w:hAnsi="黑体" w:eastAsia="黑体" w:cs="黑体"/>
                <w:sz w:val="24"/>
                <w:szCs w:val="24"/>
              </w:rPr>
              <w:t>机动车维修企业质量信誉考核标准一一《机动车维修企业质量信誉考核办法（试行）》</w:t>
            </w:r>
          </w:p>
        </w:tc>
      </w:tr>
      <w:tr>
        <w:tblPrEx>
          <w:tblCellMar>
            <w:top w:w="0" w:type="dxa"/>
            <w:left w:w="10" w:type="dxa"/>
            <w:bottom w:w="0" w:type="dxa"/>
            <w:right w:w="10" w:type="dxa"/>
          </w:tblCellMar>
        </w:tblPrEx>
        <w:trPr>
          <w:trHeight w:val="1066" w:hRule="exact"/>
        </w:trPr>
        <w:tc>
          <w:tcPr>
            <w:tcW w:w="1397"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低风险</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诚实守法类</w:t>
            </w:r>
            <w:r>
              <w:rPr>
                <w:rFonts w:ascii="Times New Roman" w:hAnsi="Times New Roman" w:eastAsia="仿宋_GB2312" w:cs="Times New Roman"/>
                <w:sz w:val="24"/>
                <w:szCs w:val="24"/>
                <w:lang w:val="en-US"/>
              </w:rPr>
              <w:t>A+</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rPr>
              <w:t>A</w:t>
            </w:r>
            <w:r>
              <w:rPr>
                <w:rFonts w:ascii="Times New Roman" w:hAnsi="Times New Roman" w:eastAsia="仿宋_GB2312" w:cs="Times New Roman"/>
                <w:sz w:val="24"/>
                <w:szCs w:val="24"/>
              </w:rPr>
              <w:t>级</w:t>
            </w:r>
          </w:p>
        </w:tc>
        <w:tc>
          <w:tcPr>
            <w:tcW w:w="181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c>
          <w:tcPr>
            <w:tcW w:w="1752"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AAA</w:t>
            </w:r>
            <w:r>
              <w:rPr>
                <w:rFonts w:ascii="Times New Roman" w:hAnsi="Times New Roman" w:eastAsia="仿宋_GB2312" w:cs="Times New Roman"/>
                <w:sz w:val="24"/>
                <w:szCs w:val="24"/>
              </w:rPr>
              <w:t>级</w:t>
            </w:r>
          </w:p>
        </w:tc>
        <w:tc>
          <w:tcPr>
            <w:tcW w:w="216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rPr>
              <w:t>AAAAA</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rPr>
              <w:t>AAAA</w:t>
            </w:r>
            <w:r>
              <w:rPr>
                <w:rFonts w:ascii="Times New Roman" w:hAnsi="Times New Roman" w:eastAsia="仿宋_GB2312" w:cs="Times New Roman"/>
                <w:sz w:val="24"/>
                <w:szCs w:val="24"/>
              </w:rPr>
              <w:t>级</w:t>
            </w:r>
          </w:p>
        </w:tc>
        <w:tc>
          <w:tcPr>
            <w:tcW w:w="1613"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AAA</w:t>
            </w:r>
            <w:r>
              <w:rPr>
                <w:rFonts w:ascii="Times New Roman" w:hAnsi="Times New Roman" w:eastAsia="仿宋_GB2312" w:cs="Times New Roman"/>
                <w:sz w:val="24"/>
                <w:szCs w:val="24"/>
              </w:rPr>
              <w:t>级</w:t>
            </w:r>
          </w:p>
        </w:tc>
        <w:tc>
          <w:tcPr>
            <w:tcW w:w="2477" w:type="dxa"/>
            <w:tcBorders>
              <w:top w:val="single" w:color="auto" w:sz="4" w:space="0"/>
              <w:left w:val="single" w:color="auto" w:sz="4" w:space="0"/>
              <w:righ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AAA</w:t>
            </w:r>
            <w:r>
              <w:rPr>
                <w:rFonts w:ascii="Times New Roman" w:hAnsi="Times New Roman" w:eastAsia="仿宋_GB2312" w:cs="Times New Roman"/>
                <w:sz w:val="24"/>
                <w:szCs w:val="24"/>
              </w:rPr>
              <w:t>级</w:t>
            </w:r>
          </w:p>
        </w:tc>
      </w:tr>
      <w:tr>
        <w:tblPrEx>
          <w:tblCellMar>
            <w:top w:w="0" w:type="dxa"/>
            <w:left w:w="10" w:type="dxa"/>
            <w:bottom w:w="0" w:type="dxa"/>
            <w:right w:w="10" w:type="dxa"/>
          </w:tblCellMar>
        </w:tblPrEx>
        <w:trPr>
          <w:trHeight w:val="1099" w:hRule="exact"/>
        </w:trPr>
        <w:tc>
          <w:tcPr>
            <w:tcW w:w="1397"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一般风险</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轻微失信类</w:t>
            </w: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181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1752"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p>
        </w:tc>
        <w:tc>
          <w:tcPr>
            <w:tcW w:w="216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AAA</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p>
        </w:tc>
        <w:tc>
          <w:tcPr>
            <w:tcW w:w="1613"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p>
        </w:tc>
        <w:tc>
          <w:tcPr>
            <w:tcW w:w="2477" w:type="dxa"/>
            <w:tcBorders>
              <w:top w:val="single" w:color="auto" w:sz="4" w:space="0"/>
              <w:left w:val="single" w:color="auto" w:sz="4" w:space="0"/>
              <w:righ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AA</w:t>
            </w:r>
            <w:r>
              <w:rPr>
                <w:rFonts w:ascii="Times New Roman" w:hAnsi="Times New Roman" w:eastAsia="仿宋_GB2312" w:cs="Times New Roman"/>
                <w:sz w:val="24"/>
                <w:szCs w:val="24"/>
              </w:rPr>
              <w:t>级</w:t>
            </w:r>
          </w:p>
        </w:tc>
      </w:tr>
      <w:tr>
        <w:tblPrEx>
          <w:tblCellMar>
            <w:top w:w="0" w:type="dxa"/>
            <w:left w:w="10" w:type="dxa"/>
            <w:bottom w:w="0" w:type="dxa"/>
            <w:right w:w="10" w:type="dxa"/>
          </w:tblCellMar>
        </w:tblPrEx>
        <w:trPr>
          <w:trHeight w:val="1013" w:hRule="exact"/>
        </w:trPr>
        <w:tc>
          <w:tcPr>
            <w:tcW w:w="1397"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中风险</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一般失信类</w:t>
            </w:r>
            <w:r>
              <w:rPr>
                <w:rFonts w:ascii="Times New Roman" w:hAnsi="Times New Roman" w:eastAsia="仿宋_GB2312" w:cs="Times New Roman"/>
                <w:sz w:val="24"/>
                <w:szCs w:val="24"/>
                <w:lang w:val="en-US"/>
              </w:rPr>
              <w:t>C</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rPr>
              <w:t>C-</w:t>
            </w:r>
            <w:r>
              <w:rPr>
                <w:rFonts w:ascii="Times New Roman" w:hAnsi="Times New Roman" w:eastAsia="仿宋_GB2312" w:cs="Times New Roman"/>
                <w:sz w:val="24"/>
                <w:szCs w:val="24"/>
              </w:rPr>
              <w:t>级</w:t>
            </w:r>
          </w:p>
        </w:tc>
        <w:tc>
          <w:tcPr>
            <w:tcW w:w="181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C</w:t>
            </w:r>
            <w:r>
              <w:rPr>
                <w:rFonts w:ascii="Times New Roman" w:hAnsi="Times New Roman" w:eastAsia="仿宋_GB2312" w:cs="Times New Roman"/>
                <w:sz w:val="24"/>
                <w:szCs w:val="24"/>
              </w:rPr>
              <w:t>级</w:t>
            </w:r>
          </w:p>
        </w:tc>
        <w:tc>
          <w:tcPr>
            <w:tcW w:w="1819"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C</w:t>
            </w:r>
            <w:r>
              <w:rPr>
                <w:rFonts w:ascii="Times New Roman" w:hAnsi="Times New Roman" w:eastAsia="仿宋_GB2312" w:cs="Times New Roman"/>
                <w:sz w:val="24"/>
                <w:szCs w:val="24"/>
              </w:rPr>
              <w:t>级</w:t>
            </w:r>
          </w:p>
        </w:tc>
        <w:tc>
          <w:tcPr>
            <w:tcW w:w="1752"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c>
          <w:tcPr>
            <w:tcW w:w="2160"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c>
          <w:tcPr>
            <w:tcW w:w="1613" w:type="dxa"/>
            <w:tcBorders>
              <w:top w:val="single" w:color="auto" w:sz="4" w:space="0"/>
              <w:lef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c>
          <w:tcPr>
            <w:tcW w:w="2477" w:type="dxa"/>
            <w:tcBorders>
              <w:top w:val="single" w:color="auto" w:sz="4" w:space="0"/>
              <w:left w:val="single" w:color="auto" w:sz="4" w:space="0"/>
              <w:righ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A</w:t>
            </w:r>
            <w:r>
              <w:rPr>
                <w:rFonts w:ascii="Times New Roman" w:hAnsi="Times New Roman" w:eastAsia="仿宋_GB2312" w:cs="Times New Roman"/>
                <w:sz w:val="24"/>
                <w:szCs w:val="24"/>
              </w:rPr>
              <w:t>级</w:t>
            </w:r>
          </w:p>
        </w:tc>
      </w:tr>
      <w:tr>
        <w:tblPrEx>
          <w:tblCellMar>
            <w:top w:w="0" w:type="dxa"/>
            <w:left w:w="10" w:type="dxa"/>
            <w:bottom w:w="0" w:type="dxa"/>
            <w:right w:w="10" w:type="dxa"/>
          </w:tblCellMar>
        </w:tblPrEx>
        <w:trPr>
          <w:trHeight w:val="816" w:hRule="exact"/>
        </w:trPr>
        <w:tc>
          <w:tcPr>
            <w:tcW w:w="1397"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高风险</w:t>
            </w:r>
          </w:p>
        </w:tc>
        <w:tc>
          <w:tcPr>
            <w:tcW w:w="1819" w:type="dxa"/>
            <w:tcBorders>
              <w:top w:val="single" w:color="auto" w:sz="4" w:space="0"/>
              <w:left w:val="single" w:color="auto" w:sz="4" w:space="0"/>
              <w:bottom w:val="single" w:color="auto" w:sz="4" w:space="0"/>
            </w:tcBorders>
            <w:shd w:val="clear" w:color="auto" w:fill="auto"/>
            <w:vAlign w:val="bottom"/>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严重失信类</w:t>
            </w:r>
            <w:r>
              <w:rPr>
                <w:rFonts w:ascii="Times New Roman" w:hAnsi="Times New Roman" w:eastAsia="仿宋_GB2312" w:cs="Times New Roman"/>
                <w:sz w:val="24"/>
                <w:szCs w:val="24"/>
                <w:lang w:val="en-US"/>
              </w:rPr>
              <w:t>D</w:t>
            </w:r>
            <w:r>
              <w:rPr>
                <w:rFonts w:ascii="Times New Roman" w:hAnsi="Times New Roman" w:eastAsia="仿宋_GB2312" w:cs="Times New Roman"/>
                <w:sz w:val="24"/>
                <w:szCs w:val="24"/>
              </w:rPr>
              <w:t>级，</w:t>
            </w:r>
            <w:r>
              <w:rPr>
                <w:rFonts w:ascii="Times New Roman" w:hAnsi="Times New Roman" w:eastAsia="仿宋_GB2312" w:cs="Times New Roman"/>
                <w:sz w:val="24"/>
                <w:szCs w:val="24"/>
                <w:lang w:val="en-US"/>
              </w:rPr>
              <w:t>D-</w:t>
            </w:r>
            <w:r>
              <w:rPr>
                <w:rFonts w:ascii="Times New Roman" w:hAnsi="Times New Roman" w:eastAsia="仿宋_GB2312" w:cs="Times New Roman"/>
                <w:sz w:val="24"/>
                <w:szCs w:val="24"/>
              </w:rPr>
              <w:t>级</w:t>
            </w:r>
          </w:p>
        </w:tc>
        <w:tc>
          <w:tcPr>
            <w:tcW w:w="1810"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D</w:t>
            </w:r>
            <w:r>
              <w:rPr>
                <w:rFonts w:ascii="Times New Roman" w:hAnsi="Times New Roman" w:eastAsia="仿宋_GB2312" w:cs="Times New Roman"/>
                <w:sz w:val="24"/>
                <w:szCs w:val="24"/>
              </w:rPr>
              <w:t>级</w:t>
            </w:r>
          </w:p>
        </w:tc>
        <w:tc>
          <w:tcPr>
            <w:tcW w:w="1819"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D</w:t>
            </w:r>
            <w:r>
              <w:rPr>
                <w:rFonts w:ascii="Times New Roman" w:hAnsi="Times New Roman" w:eastAsia="仿宋_GB2312" w:cs="Times New Roman"/>
                <w:sz w:val="24"/>
                <w:szCs w:val="24"/>
              </w:rPr>
              <w:t>级</w:t>
            </w:r>
          </w:p>
        </w:tc>
        <w:tc>
          <w:tcPr>
            <w:tcW w:w="1752"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2160"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1613" w:type="dxa"/>
            <w:tcBorders>
              <w:top w:val="single" w:color="auto" w:sz="4" w:space="0"/>
              <w:left w:val="single" w:color="auto" w:sz="4" w:space="0"/>
              <w:bottom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en-US"/>
              </w:rPr>
              <w:t>B</w:t>
            </w:r>
            <w:r>
              <w:rPr>
                <w:rFonts w:ascii="Times New Roman" w:hAnsi="Times New Roman" w:eastAsia="仿宋_GB2312" w:cs="Times New Roman"/>
                <w:sz w:val="24"/>
                <w:szCs w:val="24"/>
              </w:rPr>
              <w:t>级</w:t>
            </w:r>
          </w:p>
        </w:tc>
      </w:tr>
    </w:tbl>
    <w:p>
      <w:pPr>
        <w:pStyle w:val="14"/>
        <w:spacing w:line="560" w:lineRule="exact"/>
        <w:ind w:left="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交通运输行业信用分级分类管理</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信用风险对应等级表</w:t>
      </w:r>
      <w:bookmarkEnd w:id="5"/>
    </w:p>
    <w:p>
      <w:pPr>
        <w:pStyle w:val="4"/>
        <w:spacing w:line="560" w:lineRule="exact"/>
        <w:ind w:firstLine="640"/>
        <w:contextualSpacing/>
        <w:rPr>
          <w:rStyle w:val="20"/>
          <w:sz w:val="32"/>
          <w:szCs w:val="32"/>
        </w:rPr>
        <w:sectPr>
          <w:pgSz w:w="16838" w:h="11906" w:orient="landscape"/>
          <w:pgMar w:top="1984" w:right="1701" w:bottom="1701" w:left="1587" w:header="851" w:footer="992" w:gutter="0"/>
          <w:cols w:space="425" w:num="1"/>
          <w:docGrid w:type="lines" w:linePitch="312" w:charSpace="0"/>
        </w:sectPr>
      </w:pPr>
    </w:p>
    <w:p>
      <w:pPr>
        <w:rPr>
          <w:rStyle w:val="20"/>
          <w:sz w:val="32"/>
          <w:szCs w:val="32"/>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 w:hAnsi="仿宋" w:eastAsia="仿宋" w:cs="仿宋"/>
          <w:sz w:val="28"/>
          <w:szCs w:val="28"/>
          <w:lang w:val="en-US"/>
        </w:rPr>
      </w:pPr>
    </w:p>
    <w:p>
      <w:pPr>
        <w:pStyle w:val="14"/>
        <w:tabs>
          <w:tab w:val="left" w:pos="5642"/>
        </w:tabs>
        <w:spacing w:line="560" w:lineRule="exact"/>
        <w:ind w:left="0" w:firstLine="28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信息公开属性：依申请公开</w:t>
      </w:r>
    </w:p>
    <w:p>
      <w:pPr>
        <w:pBdr>
          <w:top w:val="single" w:color="auto" w:sz="4" w:space="1"/>
          <w:bottom w:val="single" w:color="auto" w:sz="4" w:space="1"/>
        </w:pBdr>
        <w:tabs>
          <w:tab w:val="right" w:pos="8508"/>
        </w:tabs>
        <w:spacing w:line="560" w:lineRule="exact"/>
        <w:ind w:firstLine="280" w:firstLineChars="100"/>
        <w:jc w:val="left"/>
      </w:pPr>
      <w:r>
        <w:rPr>
          <w:rFonts w:hint="eastAsia" w:ascii="仿宋_GB2312" w:hAnsi="仿宋_GB2312" w:eastAsia="仿宋_GB2312" w:cs="仿宋_GB2312"/>
          <w:color w:val="000000"/>
          <w:sz w:val="28"/>
          <w:szCs w:val="28"/>
        </w:rPr>
        <w:t xml:space="preserve">沂源县交通运输局办公室                   </w:t>
      </w:r>
      <w:r>
        <w:rPr>
          <w:rFonts w:ascii="Times New Roman" w:hAnsi="Times New Roman" w:eastAsia="仿宋_GB2312" w:cs="Times New Roman"/>
          <w:color w:val="000000"/>
          <w:sz w:val="28"/>
          <w:szCs w:val="28"/>
        </w:rPr>
        <w:t xml:space="preserve"> 2023年5月10日印发</w:t>
      </w:r>
    </w:p>
    <w:sectPr>
      <w:pgSz w:w="11906" w:h="16838"/>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45761"/>
    <w:rsid w:val="00043689"/>
    <w:rsid w:val="00145761"/>
    <w:rsid w:val="001860A1"/>
    <w:rsid w:val="001C616A"/>
    <w:rsid w:val="0031590E"/>
    <w:rsid w:val="00471AFF"/>
    <w:rsid w:val="00831252"/>
    <w:rsid w:val="00870488"/>
    <w:rsid w:val="0097558C"/>
    <w:rsid w:val="00B86A34"/>
    <w:rsid w:val="00E1181A"/>
    <w:rsid w:val="00FF36D3"/>
    <w:rsid w:val="085B0979"/>
    <w:rsid w:val="2F9803B1"/>
    <w:rsid w:val="33627DFB"/>
    <w:rsid w:val="3DAA3791"/>
    <w:rsid w:val="482D5017"/>
    <w:rsid w:val="49700A42"/>
    <w:rsid w:val="53160750"/>
    <w:rsid w:val="5754084E"/>
    <w:rsid w:val="58DF1B90"/>
    <w:rsid w:val="630A2513"/>
    <w:rsid w:val="64A760BC"/>
    <w:rsid w:val="6B3E65B4"/>
    <w:rsid w:val="74B01BD6"/>
    <w:rsid w:val="7CCF4F32"/>
    <w:rsid w:val="7D23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Body Text"/>
    <w:basedOn w:val="1"/>
    <w:link w:val="11"/>
    <w:qFormat/>
    <w:uiPriority w:val="0"/>
    <w:rPr>
      <w:rFonts w:ascii="Calibri" w:hAnsi="Calibri" w:eastAsia="宋体" w:cs="Times New Roman"/>
      <w:szCs w:val="2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link w:val="12"/>
    <w:semiHidden/>
    <w:unhideWhenUsed/>
    <w:qFormat/>
    <w:uiPriority w:val="99"/>
    <w:pPr>
      <w:spacing w:after="120"/>
      <w:ind w:firstLine="420" w:firstLineChars="100"/>
    </w:pPr>
    <w:rPr>
      <w:rFonts w:asciiTheme="minorHAnsi" w:hAnsiTheme="minorHAnsi" w:eastAsiaTheme="minorEastAsia" w:cstheme="minorBidi"/>
    </w:rPr>
  </w:style>
  <w:style w:type="paragraph" w:customStyle="1" w:styleId="10">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1">
    <w:name w:val="正文文本 Char"/>
    <w:basedOn w:val="9"/>
    <w:link w:val="4"/>
    <w:qFormat/>
    <w:uiPriority w:val="0"/>
    <w:rPr>
      <w:rFonts w:ascii="Calibri" w:hAnsi="Calibri" w:eastAsia="宋体" w:cs="Times New Roman"/>
    </w:rPr>
  </w:style>
  <w:style w:type="character" w:customStyle="1" w:styleId="12">
    <w:name w:val="正文首行缩进 Char"/>
    <w:basedOn w:val="11"/>
    <w:link w:val="7"/>
    <w:semiHidden/>
    <w:qFormat/>
    <w:uiPriority w:val="99"/>
    <w:rPr>
      <w:rFonts w:ascii="Calibri" w:hAnsi="Calibri" w:eastAsia="宋体" w:cs="Times New Roman"/>
    </w:rPr>
  </w:style>
  <w:style w:type="character" w:customStyle="1" w:styleId="13">
    <w:name w:val="页脚 Char"/>
    <w:basedOn w:val="9"/>
    <w:link w:val="5"/>
    <w:qFormat/>
    <w:uiPriority w:val="0"/>
    <w:rPr>
      <w:sz w:val="18"/>
      <w:szCs w:val="18"/>
    </w:rPr>
  </w:style>
  <w:style w:type="paragraph" w:customStyle="1" w:styleId="14">
    <w:name w:val="Body Text First Indent1"/>
    <w:qFormat/>
    <w:uiPriority w:val="99"/>
    <w:pPr>
      <w:widowControl w:val="0"/>
      <w:ind w:left="120" w:firstLine="420" w:firstLineChars="100"/>
      <w:jc w:val="both"/>
    </w:pPr>
    <w:rPr>
      <w:rFonts w:ascii="Arial Unicode MS" w:hAnsi="Arial Unicode MS" w:eastAsia="宋体" w:cs="Arial Unicode MS"/>
      <w:kern w:val="2"/>
      <w:sz w:val="30"/>
      <w:szCs w:val="30"/>
      <w:lang w:val="zh-CN" w:eastAsia="zh-CN" w:bidi="ar-SA"/>
    </w:rPr>
  </w:style>
  <w:style w:type="paragraph" w:customStyle="1" w:styleId="15">
    <w:name w:val="Style 11"/>
    <w:basedOn w:val="1"/>
    <w:link w:val="16"/>
    <w:qFormat/>
    <w:uiPriority w:val="0"/>
    <w:pPr>
      <w:spacing w:after="480" w:line="562" w:lineRule="exact"/>
      <w:jc w:val="center"/>
      <w:outlineLvl w:val="1"/>
    </w:pPr>
    <w:rPr>
      <w:rFonts w:ascii="宋体" w:hAnsi="宋体" w:eastAsia="宋体" w:cs="宋体"/>
      <w:color w:val="505B66"/>
      <w:sz w:val="40"/>
      <w:szCs w:val="40"/>
      <w:lang w:val="zh-CN" w:bidi="zh-CN"/>
    </w:rPr>
  </w:style>
  <w:style w:type="character" w:customStyle="1" w:styleId="16">
    <w:name w:val="Char Style 12"/>
    <w:basedOn w:val="9"/>
    <w:link w:val="15"/>
    <w:qFormat/>
    <w:uiPriority w:val="0"/>
    <w:rPr>
      <w:rFonts w:ascii="宋体" w:hAnsi="宋体" w:eastAsia="宋体" w:cs="宋体"/>
      <w:color w:val="505B66"/>
      <w:sz w:val="40"/>
      <w:szCs w:val="40"/>
      <w:u w:val="none"/>
      <w:lang w:val="zh-CN" w:eastAsia="zh-CN" w:bidi="zh-CN"/>
    </w:rPr>
  </w:style>
  <w:style w:type="paragraph" w:customStyle="1" w:styleId="17">
    <w:name w:val="Style 15"/>
    <w:basedOn w:val="1"/>
    <w:link w:val="18"/>
    <w:qFormat/>
    <w:uiPriority w:val="0"/>
    <w:pPr>
      <w:spacing w:line="563" w:lineRule="exact"/>
      <w:jc w:val="center"/>
      <w:outlineLvl w:val="2"/>
    </w:pPr>
    <w:rPr>
      <w:rFonts w:ascii="宋体" w:hAnsi="宋体" w:eastAsia="宋体" w:cs="宋体"/>
      <w:b/>
      <w:bCs/>
      <w:sz w:val="30"/>
      <w:szCs w:val="30"/>
      <w:lang w:val="zh-CN" w:bidi="zh-CN"/>
    </w:rPr>
  </w:style>
  <w:style w:type="character" w:customStyle="1" w:styleId="18">
    <w:name w:val="Char Style 16"/>
    <w:basedOn w:val="9"/>
    <w:link w:val="17"/>
    <w:qFormat/>
    <w:uiPriority w:val="0"/>
    <w:rPr>
      <w:rFonts w:ascii="宋体" w:hAnsi="宋体" w:eastAsia="宋体" w:cs="宋体"/>
      <w:b/>
      <w:bCs/>
      <w:sz w:val="30"/>
      <w:szCs w:val="30"/>
      <w:u w:val="none"/>
      <w:lang w:val="zh-CN" w:eastAsia="zh-CN" w:bidi="zh-CN"/>
    </w:rPr>
  </w:style>
  <w:style w:type="paragraph" w:customStyle="1" w:styleId="19">
    <w:name w:val="Style 7"/>
    <w:basedOn w:val="1"/>
    <w:link w:val="20"/>
    <w:qFormat/>
    <w:uiPriority w:val="0"/>
    <w:pPr>
      <w:spacing w:line="396" w:lineRule="auto"/>
      <w:ind w:firstLine="400"/>
    </w:pPr>
    <w:rPr>
      <w:rFonts w:ascii="宋体" w:hAnsi="宋体" w:eastAsia="宋体" w:cs="宋体"/>
      <w:sz w:val="30"/>
      <w:szCs w:val="30"/>
      <w:lang w:val="zh-CN" w:bidi="zh-CN"/>
    </w:rPr>
  </w:style>
  <w:style w:type="character" w:customStyle="1" w:styleId="20">
    <w:name w:val="Char Style 8"/>
    <w:basedOn w:val="9"/>
    <w:link w:val="19"/>
    <w:qFormat/>
    <w:uiPriority w:val="0"/>
    <w:rPr>
      <w:rFonts w:ascii="宋体" w:hAnsi="宋体" w:eastAsia="宋体" w:cs="宋体"/>
      <w:sz w:val="30"/>
      <w:szCs w:val="30"/>
      <w:u w:val="none"/>
      <w:lang w:val="zh-CN" w:eastAsia="zh-CN" w:bidi="zh-CN"/>
    </w:rPr>
  </w:style>
  <w:style w:type="paragraph" w:customStyle="1" w:styleId="21">
    <w:name w:val="Style 4"/>
    <w:basedOn w:val="1"/>
    <w:link w:val="22"/>
    <w:qFormat/>
    <w:uiPriority w:val="0"/>
    <w:rPr>
      <w:sz w:val="20"/>
      <w:szCs w:val="20"/>
      <w:lang w:val="zh-CN" w:bidi="zh-CN"/>
    </w:rPr>
  </w:style>
  <w:style w:type="character" w:customStyle="1" w:styleId="22">
    <w:name w:val="Char Style 5"/>
    <w:basedOn w:val="9"/>
    <w:link w:val="21"/>
    <w:qFormat/>
    <w:uiPriority w:val="0"/>
    <w:rPr>
      <w:sz w:val="20"/>
      <w:szCs w:val="20"/>
      <w:u w:val="none"/>
      <w:lang w:val="zh-CN" w:eastAsia="zh-CN" w:bidi="zh-CN"/>
    </w:rPr>
  </w:style>
  <w:style w:type="paragraph" w:customStyle="1" w:styleId="23">
    <w:name w:val="Style 18"/>
    <w:basedOn w:val="1"/>
    <w:link w:val="24"/>
    <w:qFormat/>
    <w:uiPriority w:val="0"/>
    <w:pPr>
      <w:spacing w:after="540"/>
      <w:ind w:firstLine="280"/>
    </w:pPr>
    <w:rPr>
      <w:color w:val="505B66"/>
      <w:sz w:val="30"/>
      <w:szCs w:val="30"/>
      <w:lang w:val="zh-CN" w:bidi="zh-CN"/>
    </w:rPr>
  </w:style>
  <w:style w:type="character" w:customStyle="1" w:styleId="24">
    <w:name w:val="Char Style 19"/>
    <w:basedOn w:val="9"/>
    <w:link w:val="23"/>
    <w:qFormat/>
    <w:uiPriority w:val="0"/>
    <w:rPr>
      <w:color w:val="505B66"/>
      <w:sz w:val="30"/>
      <w:szCs w:val="30"/>
      <w:u w:val="none"/>
      <w:lang w:val="zh-CN" w:eastAsia="zh-CN" w:bidi="zh-CN"/>
    </w:rPr>
  </w:style>
  <w:style w:type="paragraph" w:customStyle="1" w:styleId="25">
    <w:name w:val="Style 21"/>
    <w:basedOn w:val="1"/>
    <w:link w:val="26"/>
    <w:qFormat/>
    <w:uiPriority w:val="0"/>
    <w:pPr>
      <w:spacing w:line="396" w:lineRule="auto"/>
      <w:ind w:firstLine="400"/>
    </w:pPr>
    <w:rPr>
      <w:rFonts w:ascii="宋体" w:hAnsi="宋体" w:eastAsia="宋体" w:cs="宋体"/>
      <w:sz w:val="30"/>
      <w:szCs w:val="30"/>
      <w:lang w:val="zh-CN" w:bidi="zh-CN"/>
    </w:rPr>
  </w:style>
  <w:style w:type="character" w:customStyle="1" w:styleId="26">
    <w:name w:val="Char Style 22"/>
    <w:basedOn w:val="9"/>
    <w:link w:val="25"/>
    <w:qFormat/>
    <w:uiPriority w:val="0"/>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1896</Words>
  <Characters>1932</Characters>
  <Lines>14</Lines>
  <Paragraphs>4</Paragraphs>
  <TotalTime>5</TotalTime>
  <ScaleCrop>false</ScaleCrop>
  <LinksUpToDate>false</LinksUpToDate>
  <CharactersWithSpaces>1965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2022-03-03T06:04:00Z</dcterms:created>
  <dc:creator>Administrator</dc:creator>
  <cp:lastModifiedBy>瑞瑞宝贝</cp:lastModifiedBy>
  <cp:lastPrinted>2023-05-17T01:17:48Z</cp:lastPrinted>
  <dcterms:modified xsi:type="dcterms:W3CDTF">2023-05-17T01:18:44Z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F31567B2EE8240CEA8445D854E6E796C_13</vt:lpwstr>
  </property>
</Properties>
</file>