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40" w:lineRule="exact"/>
        <w:ind w:firstLine="880" w:firstLineChars="200"/>
        <w:jc w:val="center"/>
        <w:rPr>
          <w:rFonts w:hint="eastAsia" w:ascii="方正小标宋简体" w:hAnsi="Calibri" w:eastAsia="方正小标宋简体" w:cs="Times New Roman"/>
          <w:sz w:val="44"/>
          <w:szCs w:val="44"/>
          <w:lang w:val="en-US" w:eastAsia="zh-CN"/>
        </w:rPr>
      </w:pPr>
    </w:p>
    <w:p>
      <w:pPr>
        <w:keepNext w:val="0"/>
        <w:keepLines w:val="0"/>
        <w:pageBreakBefore w:val="0"/>
        <w:kinsoku/>
        <w:wordWrap/>
        <w:topLinePunct w:val="0"/>
        <w:autoSpaceDE/>
        <w:autoSpaceDN/>
        <w:bidi w:val="0"/>
        <w:spacing w:line="540" w:lineRule="exact"/>
        <w:ind w:firstLine="880" w:firstLineChars="200"/>
        <w:jc w:val="center"/>
        <w:rPr>
          <w:rFonts w:hint="eastAsia" w:ascii="方正小标宋简体" w:hAnsi="Calibri" w:eastAsia="方正小标宋简体" w:cs="Times New Roman"/>
          <w:sz w:val="44"/>
          <w:szCs w:val="44"/>
          <w:lang w:val="en-US" w:eastAsia="zh-CN"/>
        </w:rPr>
      </w:pPr>
    </w:p>
    <w:p>
      <w:pPr>
        <w:keepNext w:val="0"/>
        <w:keepLines w:val="0"/>
        <w:pageBreakBefore w:val="0"/>
        <w:kinsoku/>
        <w:wordWrap/>
        <w:topLinePunct w:val="0"/>
        <w:autoSpaceDE/>
        <w:autoSpaceDN/>
        <w:bidi w:val="0"/>
        <w:spacing w:line="540" w:lineRule="exact"/>
        <w:ind w:firstLine="880" w:firstLineChars="200"/>
        <w:jc w:val="center"/>
        <w:rPr>
          <w:rFonts w:hint="eastAsia" w:ascii="方正小标宋简体" w:hAnsi="Calibri" w:eastAsia="方正小标宋简体" w:cs="Times New Roman"/>
          <w:sz w:val="44"/>
          <w:szCs w:val="44"/>
          <w:lang w:val="en-US" w:eastAsia="zh-CN"/>
        </w:rPr>
      </w:pPr>
    </w:p>
    <w:p>
      <w:pPr>
        <w:keepNext w:val="0"/>
        <w:keepLines w:val="0"/>
        <w:pageBreakBefore w:val="0"/>
        <w:kinsoku/>
        <w:wordWrap/>
        <w:topLinePunct w:val="0"/>
        <w:autoSpaceDE/>
        <w:autoSpaceDN/>
        <w:bidi w:val="0"/>
        <w:spacing w:line="540" w:lineRule="exact"/>
        <w:jc w:val="both"/>
        <w:rPr>
          <w:rFonts w:hint="eastAsia" w:ascii="方正小标宋简体" w:hAnsi="Calibri" w:eastAsia="方正小标宋简体" w:cs="Times New Roman"/>
          <w:sz w:val="44"/>
          <w:szCs w:val="44"/>
          <w:lang w:val="en-US" w:eastAsia="zh-CN"/>
        </w:rPr>
      </w:pPr>
    </w:p>
    <w:p>
      <w:pPr>
        <w:pStyle w:val="3"/>
        <w:keepNext w:val="0"/>
        <w:keepLines w:val="0"/>
        <w:pageBreakBefore w:val="0"/>
        <w:kinsoku/>
        <w:wordWrap/>
        <w:topLinePunct w:val="0"/>
        <w:autoSpaceDE/>
        <w:autoSpaceDN/>
        <w:bidi w:val="0"/>
        <w:spacing w:line="540" w:lineRule="exact"/>
        <w:jc w:val="cente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沂源县</w:t>
      </w:r>
      <w:r>
        <w:rPr>
          <w:rFonts w:hint="eastAsia" w:ascii="方正小标宋简体" w:hAnsi="方正小标宋简体" w:eastAsia="方正小标宋简体" w:cs="方正小标宋简体"/>
          <w:color w:val="000000" w:themeColor="text1"/>
          <w:w w:val="105"/>
          <w:sz w:val="44"/>
          <w:szCs w:val="44"/>
          <w:lang w:val="en-US" w:eastAsia="zh-CN"/>
          <w14:textFill>
            <w14:solidFill>
              <w14:schemeClr w14:val="tx1"/>
            </w14:solidFill>
          </w14:textFill>
        </w:rPr>
        <w:t>综合行政执法</w:t>
      </w: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局</w:t>
      </w:r>
    </w:p>
    <w:p>
      <w:pPr>
        <w:pStyle w:val="3"/>
        <w:keepNext w:val="0"/>
        <w:keepLines w:val="0"/>
        <w:pageBreakBefore w:val="0"/>
        <w:kinsoku/>
        <w:wordWrap/>
        <w:topLinePunct w:val="0"/>
        <w:autoSpaceDE/>
        <w:autoSpaceDN/>
        <w:bidi w:val="0"/>
        <w:spacing w:line="540" w:lineRule="exact"/>
        <w:jc w:val="center"/>
        <w:rPr>
          <w:rFonts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“双随机、一公开”监管工作指引</w:t>
      </w:r>
    </w:p>
    <w:p>
      <w:pPr>
        <w:pStyle w:val="5"/>
        <w:keepNext w:val="0"/>
        <w:keepLines w:val="0"/>
        <w:pageBreakBefore w:val="0"/>
        <w:tabs>
          <w:tab w:val="left" w:pos="4396"/>
        </w:tabs>
        <w:kinsoku/>
        <w:wordWrap/>
        <w:topLinePunct w:val="0"/>
        <w:autoSpaceDE/>
        <w:autoSpaceDN/>
        <w:bidi w:val="0"/>
        <w:spacing w:line="540" w:lineRule="exact"/>
        <w:ind w:firstLine="640" w:firstLineChars="200"/>
        <w:rPr>
          <w:rFonts w:hint="eastAsia" w:ascii="仿宋_GB2312" w:hAnsi="仿宋_GB2312" w:eastAsia="仿宋_GB2312" w:cs="Times New Roman"/>
          <w:kern w:val="2"/>
          <w:sz w:val="32"/>
          <w:szCs w:val="2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left="0"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本工作指引适用于《沂源县综合行政执法局“双随机、一公开”抽查事项清单》所列各抽查事项的实地核查。除实地核查外，“双随机、一公开”监管中还可根据具体情况采取书面检查、专项检查、网络监测、聘请专业机构等适当方式进行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left="0"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本工作指引适用于企业、项目、建筑类从业人员、其他行政执法经营单位等各类检查对象。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一、前期准备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实地核查前，可根据需要查阅企业、个人登记、备案、行政许可、行政处罚等基本信息，或委托第三方机构、数据公司，通过信息化手段进行事先检索，初步了解企业的存续及个人从业情况、可能存在的问题等，提高检查效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default"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二、实施抽查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实地核查人员不得少于两人，并应当出示执法证件。在核查中，应注意通过文字、音频或影像等方式留存核查痕迹，必要时可邀请相关人员作为见证人。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随机抽查流程。根据抽查计划制定抽查工作实施方案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rightChars="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——确定抽查任务——随机抽取检查对象、随机抽取执法检查人员——实施抽查检查——录入检查结果并公示，依法对检查中发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rightChars="0"/>
        <w:rPr>
          <w:rFonts w:hint="eastAsia" w:ascii="仿宋_GB2312" w:hAnsi="仿宋_GB2312" w:eastAsia="仿宋_GB2312" w:cs="Times New Roman"/>
          <w:kern w:val="2"/>
          <w:sz w:val="32"/>
          <w:szCs w:val="22"/>
          <w:lang w:val="en-US" w:eastAsia="zh-CN" w:bidi="ar-SA"/>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rightChars="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现的问题进行后续处理。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（二）制定抽查工作实施方案。有法制科牵头按照抽查计划及时制定具体抽查工作实施方案，明确工作原则及目标、抽查范围及内容、检查时间及检查人员组成、现场检查工作实施及相关工作要求等。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（三）确定抽查任务。由各科室、中队根据相关工作职责制定抽查任务上报法制科，后通过省“双随机、一公开”监管工作平台创建抽查任务，明确任务名称、执行时间、参与检查的具体部门等事宜。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四）随机抽取检查对象、随机抽取执法检查人员。抽查任务设置完成后，启动省“双随机、一公开”监管工作平台中的随机摇号程序，按照预定的比例从检查对象名录库中抽取检查对象名单，抽取产生的检查对象名单一经锁定不得更改。针对任务要求调配执法力量，随机抽取执法检查人员进行匹配。已抽取的执法检查人员原则上不得更换，但因岗位调整、工作冲突、健康状况、执法回避等特殊情况无法履行检查任务的，经科室、中队负责人同意后，可调整更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五）执法检查人员实施检查。检查活动按照“按标监管”、“一次到位”的要求开展，执法检查人员应当严格依法依规开展检查活动，依法履行监督检查职责，一次性完成本次抽查事项清单中所有内容的检查工作。执行抽查任务时，一般应当对被检查对象进行实地检查，并可根据任务需要综合采取书面检查、网络监测等其它方法。执行抽查任务时，一般按照以下程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1.预查比对。执法检查人员按照检查任务要求，通过查询国家企业信用信息公示系统（山东）、部门业务应用系统和档案资料等，掌握被检查对象基本信息和动态状况。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现场检查。检查小组应当在现场检查前以书面或电话、传真等形式，告知被检查对象检查的时间及配合检查的相关要求，提示准备相关资料。实地核查人员每组不得少于两人，并应当出示执法证件。在核查中，应注意通过文字、音频或影像等方式留存核查痕迹，必要时可邀请相关人员作为见证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检查中发现违法违规等异常情况，可视情采取责令当事人停止违法活动、督促当事人整改等相应监管措施。检查完成后，需要被检查对象在双随机检查记录表上签字或盖章确认。被检查对象拒绝签字或盖章的，由执法检查人员在双随机检查记录表上签字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3.形成检查结果。执法检查人员汇总检查情况，讨论确认双随机检查情况汇总表的相关检查结论，并形成书面检查结果。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三、结果公示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检查结果应当在汇总完成当天统一上报法制科，由法制科于检查结束20个工作日内由相关执法检查人员录入省工作平台，检查结果将通过国家企业信用信息公示系统（山东）向社会公示，同时共享到信用中国（山东）、信用交通（山东）网。已实施检查但未公示的，视为未完成此次抽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（一）通过对此次抽查所匹配的抽查事项的检查，未发现违反本指引所列法律法规的，可认定为“未发现问题”。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（二）企业未依照《企业信息公示暂行条例》第十条规定履行公示义务的，应当书面责令其在10日内履行公示义务。企业未在责令的期限内公示信息的，可认定为“未按规定公示应当公示的信息”。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（三）检查中发现下列公示信息与检查情况不一致的，可认定为“公示信息隐瞒真实情况弄虚作假”: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1.企业投资设立企业、购买股权信息；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2.股东或发起人认缴和实缴的出资额、出资时间、出资方式等信息；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3.有限公司股东股权转让等股权变更信息；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4.资产总额、负债总额、所有者权益合计、营业总收入、主营业务收入、利润总额、净利润、纳税总额信息；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5.对外提供保证担保信息；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6.行政许可、行政处罚、知识产权出质登记等即时公示信息。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（四）有以下情形之一的，可认定为“通过登记的住所（经营场所）无法联系”：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1.通过实地核查，确认实际不存在该企业，并由登记的住所或经营场所产权所有人、物管公司、相关部门等予以证明的；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2.通过实地核查、第三方证明或邮寄等方式，能确认登记的住所或经营场所实际不存在的；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3.经向企业登记的住所或经营场所两次邮寄专用信函，无人签收的。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（五）对检查发现的违反本指引所列法律法规的行为，通过指导、提示、告诫等方式要求企业当场改正，且已当场改正的，可认定为“发现问题已责令改正”。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（六）有以下情形之一的，可认定为“不配合检查情节严重”：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1.拒绝检查人员或其委托的专业机构进入被检查场所的；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2.拒绝向检查人员或其委托的专业机构提供相关材料的；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3.其他阻扰、妨碍检查工作的行为，致使检查工作无法正常进行的。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（七）未发现企业从事本次抽查匹配的检查事项，并经企业书面承诺的，可认定为“未发现开展本次抽查涉及的经营活动”。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 xml:space="preserve">（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第一章 对城市生活垃圾管理工作的监督检查工作指引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一、检查事项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对城市生活垃圾管理工作的监督检查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1.市、县主管部门监督管理制度建立执行情况。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2.城市生活垃圾处理设施建设运行管理情况。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1.随机确定检查对象。根据日常工作安排，视情对全省部分生活垃圾处理设施建设运行情况进行检查。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2.开展书面或现场检查。根据随机确定的检查对象，调度相关建设运行材料，开展书面或现场检查。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《城市生活垃圾管理办法》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二十九条：“国务院建设主管部门和省、自治区人民政府建设主管部门应当建立健全监督管理制度，对本办法的执行情况进行监督检查。直辖市、市、县人民政府建设（环境卫生）主管部门应当对本行政区域内城市生活垃圾经营性清扫、收集、运输、处置企业执行本办法的情况进行监督检查；根据需要，可以向城市生活垃圾经营性处置企业派驻监督员。”</w:t>
      </w:r>
    </w:p>
    <w:p>
      <w:pPr>
        <w:pStyle w:val="10"/>
        <w:spacing w:before="280" w:after="280" w:line="310" w:lineRule="exact"/>
        <w:ind w:firstLine="0"/>
        <w:jc w:val="center"/>
        <w:outlineLvl w:val="1"/>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第二章  对城镇容貌和环境卫生管理工作的监督检查工作指引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一、检查事项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对城镇容貌和环境卫生管理工作的监督检查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城镇容貌和环境卫生管理工作开展情况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1.随机抽取对象。随机抽取各地城镇容貌和环境卫生管理工作的责任部门、单位。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2.开展书面或现场检查。根据随机抽取的检查对象，结合投诉举报或上级交办事项，调度有关资料台账，开展书面或现场执法检查。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《山东省城镇容貌和环境卫生管理办法》（2009年12月通过，2010年3月实施）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省人民政府住房和城乡建设行政主管部门负责全省的城镇容貌和环境卫生管理工作。设区的市、县(市、区)人民政府城镇容貌和环境卫生行政主管部门负责本行政区域内的城镇容貌和环境卫生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第三章 城镇排水与污水监督检查工作指引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一、抽查事项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1.城镇排水与污水处理设施运行维护和保护情况的监督检查；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2.城市排水与污水处理的监督检查。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1.城镇排水与污水处理设施运行维护和保护情况。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2.城市生活污水处理设施建设运行情况，污水处理能力是否满足当地城市污水排放需求；政府拨付污水处理费情况；查看污水处理厂污泥产生量、处置量、处置方式等资料，是否存在污泥积存情况。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采用听取汇报、查阅资料、现场检查、意见反馈（座谈交流）的方式进行。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《城镇排水与污水处理条例》（2013年10月2日国务院令第641号发布）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县级以上地方人民政府城镇排水与污水处理主管部门（以下称城镇排水主管部门）负责本行政区域内城镇排水与污水处理的监督管理工作。县级以上人民政府其他有关部门依照本条例和其他有关法律、法规的规定，在各自的职责范围内负责城镇排水与污水处理监督管理的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第四十四条：“县级以上人民政府城镇排水主管部门应当会同有关部门，加强对城镇排水与污水处理设施运行维护和保护情况的监督检查，并将检查情况及结果向社会公开。”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第四章 对物业管理活动的监督检查工作指引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一、抽查事项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对物业管理活动的监督检查。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1.检查物业服务企业是否依法承接退出项目：是否依法接管物业服务项目；是否按要求进行承接查验；是否依法签订物业服务合同并备案；是否按规定移交物业管理用房及相关资料；是否按规定终止合同。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2.检查物业服务企业是否依法依约提供服务：是否按照合同约定提供服务；是否将全部服务委托给他人。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检查物业服务企业是否依法使用公共部分：是否擅自占用、挖掘物业管理区域内的道路、场地，损害业主的共同利益；是否擅自改变物业管理区域内按照规划建设的公共建筑和共用设施用途；是否擅自利用物业共用部位、共用设施设备进行经营；是否未经同意改变物业管理用房的用途；是否挪用专项维修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4.检查物业服务企业是否依法报送报告信息：是否定期报送信用档案信息、统计报表等相关资料；是否及时报告业主入住情况；是否及时向有关部门报告违法违规行为和安全事故等情况。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现场检查。检查组人员按照检查内容对被检企业和项目进行明察暗访，通过实地检查、座谈交流、查阅资料等方式检查物业服务情况。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（一）《物业管理条例》（2003年6月国务院令第379号，2018年3月修订）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 国务院建设行政主管部门负责全国物业管理活动的监督管理工作。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县级以上地方人民政府房地产行政主管部门负责本行政区域内物业管理活动的监督管理工作。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（二）《住宅专项维修资金管理办法》（2007年12月，建设部、财政部令）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 国务院建设主管部门会同国务院财政部门负责全国住宅专项维修资金的指导和监督工作。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县级以上地方人民政府建设（房地产）主管部门会同同级财政部门负责本行政区域内住宅专项维修资金的指导和监督工作。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（三）《山东省物业管理条例》（2009年1月，2018年9月修正）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 省人民政府建设行政主管部门负责全省物业管理活动的监督管理工作。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设区的市、县（市、区）人民政府房地产管理部门或者建设行政主管部门（以下统称物业主管部门），负责本行政区域内物业管理活动的监督管理工作。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城管执法、房地产开发、财政、民政、价格、公安、城乡规划、市政公用、环境保护、工商行政管理等有关部门按照各自职责，做好与物业管理有关的工作。</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40" w:lineRule="exact"/>
        <w:ind w:left="0" w:leftChars="0" w:firstLine="640" w:firstLineChars="200"/>
        <w:jc w:val="right"/>
        <w:textAlignment w:val="auto"/>
        <w:rPr>
          <w:rFonts w:hint="eastAsia" w:ascii="仿宋_GB2312" w:hAnsi="仿宋_GB2312" w:eastAsia="仿宋_GB2312" w:cs="Times New Roman"/>
          <w:kern w:val="2"/>
          <w:sz w:val="32"/>
          <w:szCs w:val="22"/>
          <w:lang w:val="en-US" w:eastAsia="zh-CN" w:bidi="ar-SA"/>
        </w:rPr>
      </w:pPr>
    </w:p>
    <w:p>
      <w:pPr>
        <w:pStyle w:val="9"/>
        <w:keepNext w:val="0"/>
        <w:keepLines w:val="0"/>
        <w:pageBreakBefore w:val="0"/>
        <w:kinsoku/>
        <w:wordWrap/>
        <w:topLinePunct w:val="0"/>
        <w:autoSpaceDE/>
        <w:autoSpaceDN/>
        <w:bidi w:val="0"/>
        <w:spacing w:line="540" w:lineRule="exact"/>
        <w:ind w:firstLine="880" w:firstLineChars="200"/>
        <w:rPr>
          <w:rFonts w:hint="eastAsia" w:ascii="Times New Roman" w:hAnsi="Times New Roman" w:eastAsia="仿宋_GB2312" w:cs="Times New Roman"/>
          <w:b w:val="0"/>
          <w:bCs/>
          <w:sz w:val="32"/>
          <w:szCs w:val="32"/>
          <w:lang w:val="en-US" w:eastAsia="zh-CN"/>
        </w:rPr>
      </w:pPr>
      <w:r>
        <w:rPr>
          <w:rFonts w:hint="eastAsia"/>
          <w:sz w:val="44"/>
          <w:szCs w:val="44"/>
          <w:lang w:val="en-US" w:eastAsia="zh-CN"/>
        </w:rPr>
        <w:t xml:space="preserve">                        </w:t>
      </w:r>
      <w:r>
        <w:rPr>
          <w:rFonts w:hint="eastAsia" w:ascii="Times New Roman" w:hAnsi="Times New Roman" w:eastAsia="仿宋_GB2312" w:cs="Times New Roman"/>
          <w:b w:val="0"/>
          <w:bCs/>
          <w:kern w:val="2"/>
          <w:sz w:val="32"/>
          <w:szCs w:val="30"/>
          <w:lang w:val="en-US" w:eastAsia="zh-CN" w:bidi="ar-SA"/>
        </w:rPr>
        <w:t>2024年3月7日</w:t>
      </w:r>
      <w:bookmarkStart w:id="0" w:name="_GoBack"/>
      <w:bookmarkEnd w:id="0"/>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40" w:lineRule="exact"/>
        <w:ind w:left="319" w:leftChars="152" w:firstLine="640" w:firstLineChars="200"/>
        <w:jc w:val="left"/>
        <w:textAlignment w:val="auto"/>
        <w:rPr>
          <w:rFonts w:hint="default"/>
          <w:lang w:val="en-US" w:eastAsia="zh-CN"/>
        </w:rPr>
      </w:pPr>
      <w:r>
        <w:rPr>
          <w:rFonts w:hint="eastAsia" w:ascii="Times New Roman" w:hAnsi="Times New Roman" w:eastAsia="仿宋_GB2312" w:cs="Times New Roman"/>
          <w:b w:val="0"/>
          <w:bCs/>
          <w:sz w:val="32"/>
          <w:szCs w:val="32"/>
          <w:lang w:val="en-US" w:eastAsia="zh-CN"/>
        </w:rPr>
        <w:t>（此件主动公开）</w:t>
      </w:r>
    </w:p>
    <w:sectPr>
      <w:pgSz w:w="11906" w:h="16838"/>
      <w:pgMar w:top="1247"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214F8"/>
    <w:multiLevelType w:val="singleLevel"/>
    <w:tmpl w:val="79D21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81521"/>
    <w:rsid w:val="1D896F5D"/>
    <w:rsid w:val="295F6722"/>
    <w:rsid w:val="2B5D5604"/>
    <w:rsid w:val="2C6C57A5"/>
    <w:rsid w:val="33E00D1D"/>
    <w:rsid w:val="35C026CF"/>
    <w:rsid w:val="3960148E"/>
    <w:rsid w:val="40962A78"/>
    <w:rsid w:val="497B090D"/>
    <w:rsid w:val="51A54910"/>
    <w:rsid w:val="54300AD6"/>
    <w:rsid w:val="60441F45"/>
    <w:rsid w:val="6E046BEC"/>
    <w:rsid w:val="715C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jc w:val="center"/>
      <w:outlineLvl w:val="0"/>
    </w:pPr>
    <w:rPr>
      <w:sz w:val="42"/>
      <w:szCs w:val="42"/>
    </w:rPr>
  </w:style>
  <w:style w:type="paragraph" w:styleId="4">
    <w:name w:val="heading 3"/>
    <w:basedOn w:val="1"/>
    <w:next w:val="1"/>
    <w:qFormat/>
    <w:uiPriority w:val="0"/>
    <w:pPr>
      <w:widowControl/>
      <w:spacing w:beforeAutospacing="1" w:afterAutospacing="1"/>
      <w:outlineLvl w:val="2"/>
    </w:pPr>
    <w:rPr>
      <w:b/>
      <w:bCs/>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Body Text"/>
    <w:basedOn w:val="1"/>
    <w:qFormat/>
    <w:uiPriority w:val="1"/>
    <w:rPr>
      <w:sz w:val="32"/>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UserStyle_0"/>
    <w:basedOn w:val="1"/>
    <w:qFormat/>
    <w:uiPriority w:val="0"/>
    <w:pPr>
      <w:textAlignment w:val="baseline"/>
    </w:pPr>
  </w:style>
  <w:style w:type="paragraph" w:customStyle="1" w:styleId="10">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2021-12-06T01:55:00Z</dcterms:created>
  <dc:creator>WLQ-DELL</dc:creator>
  <cp:lastModifiedBy>WLQ-DELL</cp:lastModifiedBy>
  <cp:lastPrinted>2022-03-08T02:43:00Z</cp:lastPrinted>
  <dcterms:modified xsi:type="dcterms:W3CDTF">2024-03-06T07:55:08Z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