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政办字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〔20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pacing w:val="-10"/>
          <w:sz w:val="32"/>
          <w:szCs w:val="32"/>
          <w:lang w:eastAsia="zh-CN"/>
        </w:rPr>
      </w:pPr>
    </w:p>
    <w:p>
      <w:pPr>
        <w:pStyle w:val="3"/>
        <w:jc w:val="center"/>
        <w:rPr>
          <w:rFonts w:hint="default" w:ascii="Times New Roman" w:hAnsi="Times New Roman" w:cs="Times New Roman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kern w:val="0"/>
          <w:sz w:val="44"/>
          <w:szCs w:val="44"/>
          <w:lang w:val="en-US" w:eastAsia="zh-CN"/>
        </w:rPr>
        <w:t>沂源县人民政府办公室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kern w:val="0"/>
          <w:sz w:val="44"/>
          <w:szCs w:val="44"/>
          <w:lang w:val="en-US" w:eastAsia="zh-CN"/>
        </w:rPr>
        <w:t>关于印发2026年为全县妇女儿童办实事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kern w:val="0"/>
          <w:sz w:val="44"/>
          <w:szCs w:val="44"/>
          <w:lang w:val="en-US" w:eastAsia="zh-CN"/>
        </w:rPr>
        <w:t>项目清单的通知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rPr>
          <w:rFonts w:hint="default" w:ascii="Times New Roman" w:hAnsi="Times New Roman" w:cs="Times New Roman"/>
          <w:color w:val="auto"/>
          <w:sz w:val="21"/>
        </w:rPr>
      </w:pP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rPr>
          <w:rFonts w:hint="default" w:ascii="Times New Roman" w:hAnsi="Times New Roman" w:cs="Times New Roman"/>
          <w:color w:val="auto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</w:rPr>
        <w:t>各镇人民政府，各街道办事处，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  <w:lang w:val="en-US" w:eastAsia="zh-CN"/>
        </w:rPr>
        <w:t>经济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</w:rPr>
        <w:t>开发区管委会，县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  <w:lang w:eastAsia="zh-CN"/>
        </w:rPr>
        <w:t>人民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shd w:val="clear" w:color="auto" w:fill="FFFFFF"/>
        </w:rPr>
        <w:t>政府各有关部门，各有关单位：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《2026年为全县妇女儿童办实事项目清单》已经县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人民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政府同意，现印发给你们，请认真组织实施。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 xml:space="preserve">                                         沂源县人民政府办公室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 xml:space="preserve">                                                           2026年5月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15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（此件公开发布）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pacing w:val="0"/>
          <w:kern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kern w:val="0"/>
          <w:sz w:val="44"/>
          <w:szCs w:val="44"/>
          <w:lang w:val="en-US" w:eastAsia="zh-CN"/>
        </w:rPr>
        <w:t>2026年为全县妇女儿童办实事项目清单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napToGrid w:val="0"/>
        <w:spacing w:line="560" w:lineRule="exact"/>
        <w:ind w:left="0" w:right="0"/>
        <w:rPr>
          <w:rFonts w:hint="default" w:ascii="Times New Roman" w:hAnsi="Times New Roman" w:cs="Times New Roman"/>
          <w:color w:val="auto"/>
          <w:sz w:val="21"/>
        </w:rPr>
      </w:pP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38"/>
        <w:jc w:val="both"/>
        <w:textAlignment w:val="baseline"/>
        <w:rPr>
          <w:rFonts w:hint="default" w:ascii="Times New Roman" w:hAnsi="Times New Roman" w:eastAsia="楷体_GB2312" w:cs="Times New Roman"/>
          <w:b w:val="0"/>
          <w:bCs w:val="0"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一 、实施妇女就业增收促进行动。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  <w:t>落实各项稳就业政策措施，开展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“春风行动”女性就业专场招聘活动，提供政策咨询、职业指导、岗位供需对接服务，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  <w:t>促进女性稳岗就业、灵活就业。开展家政服务职业技能培训，重点培训母婴护理、养老照护等家政人才200人以上。开展“巾帼新农人”高素质农民培训，培育女致富带头人不少于20名。实施“娘家人暖新行动”，为新兴领域妇女提供技能微课堂等可感可及的服务。</w:t>
      </w:r>
      <w:r>
        <w:rPr>
          <w:rFonts w:hint="default" w:ascii="Times New Roman" w:hAnsi="Times New Roman" w:eastAsia="楷体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  <w:t>（责任单位：县人力资源社会保障局、县妇联、县农业农村局、</w:t>
      </w:r>
      <w:r>
        <w:rPr>
          <w:rFonts w:hint="default" w:ascii="Times New Roman" w:hAnsi="Times New Roman" w:eastAsia="楷体_GB2312" w:cs="Times New Roman"/>
          <w:b w:val="0"/>
          <w:bCs w:val="0"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县委社会工作部）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34"/>
        <w:jc w:val="both"/>
        <w:textAlignment w:val="baseline"/>
        <w:rPr>
          <w:rFonts w:hint="default" w:ascii="Times New Roman" w:hAnsi="Times New Roman" w:eastAsia="楷体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二 、实施妇女健康守护行动。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  <w:t>为全县35—64周岁妇女提供“两癌”（宫颈癌 、乳腺癌）免费检查，参检妇女宫颈癌早诊率达到90%以上、乳腺癌早诊率达到80%以上。实施低收入适龄妇女“两癌 ” 保险救助项目，为符合条件的35—64岁低收入妇女，每人购买保额不低于3万元的“两癌”保险。开展低收入“两癌”患病妇女救助，每名救助对象一次性救助1万元。</w:t>
      </w:r>
      <w:r>
        <w:rPr>
          <w:rFonts w:hint="default" w:ascii="Times New Roman" w:hAnsi="Times New Roman" w:eastAsia="楷体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  <w:t>（责任单位：县卫生健康局、县妇联）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 w:rightChars="0" w:firstLine="640" w:firstLineChars="200"/>
        <w:jc w:val="both"/>
        <w:textAlignment w:val="baseline"/>
        <w:rPr>
          <w:rFonts w:hint="default" w:ascii="Times New Roman" w:hAnsi="Times New Roman" w:eastAsia="楷体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三、实施教育设施优化行动。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  <w:t>推进幼儿园托幼一体化建设，计划新增2—3岁幼儿托位300个以上。实施中小学校园“微运动”场所改造升级工程，增加摸高、仰卧起坐、引体向上等设备设施，丰富校园体育活动形式。</w:t>
      </w:r>
      <w:r>
        <w:rPr>
          <w:rFonts w:hint="default" w:ascii="Times New Roman" w:hAnsi="Times New Roman" w:eastAsia="楷体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  <w:t>（责任单位：县教育和体育局）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 w:rightChars="0" w:firstLine="640" w:firstLineChars="200"/>
        <w:jc w:val="both"/>
        <w:textAlignment w:val="baseline"/>
        <w:rPr>
          <w:rFonts w:hint="default" w:ascii="Times New Roman" w:hAnsi="Times New Roman" w:eastAsia="楷体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四、实施家庭家教家风建设提质行动。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  <w:t>开展“五好家庭”、道德模范、身边好人宣传选树活动，弘扬社会主义家庭文明新风尚。深化“为小”文明实践服务，推进家庭教育指导服务体系建设，依托线上、线下平台阵地开展不少于100场家庭教育宣讲活动。</w:t>
      </w:r>
      <w:r>
        <w:rPr>
          <w:rFonts w:hint="default" w:ascii="Times New Roman" w:hAnsi="Times New Roman" w:eastAsia="楷体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  <w:t>（责任单位：县文明办、县妇联）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 w:rightChars="0" w:firstLine="640" w:firstLineChars="200"/>
        <w:jc w:val="both"/>
        <w:textAlignment w:val="baseline"/>
        <w:rPr>
          <w:rFonts w:hint="default" w:ascii="Times New Roman" w:hAnsi="Times New Roman" w:eastAsia="楷体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五、实施优生优育服务水平提升行动。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  <w:t>开展免费产前筛查、新生儿四种遗传代谢性疾病筛查，产前筛查率和新生儿遗传代谢病筛查率均达到90%以上。实施生育支持政策，对符合法律法规规定生育或收养且取得沂源县户籍的3周岁以下婴幼儿发放育儿补贴。扎实推进“校家社医”协同育人，开展全县中小学生心理测评。</w:t>
      </w:r>
      <w:r>
        <w:rPr>
          <w:rFonts w:hint="default" w:ascii="Times New Roman" w:hAnsi="Times New Roman" w:eastAsia="楷体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  <w:t>（责任单位：县卫生健康局、县教育和体育局）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26"/>
        <w:jc w:val="both"/>
        <w:textAlignment w:val="baseline"/>
        <w:rPr>
          <w:rFonts w:hint="default" w:ascii="Times New Roman" w:hAnsi="Times New Roman" w:eastAsia="楷体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六、实施文体服务惠民行动。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  <w:t>组织开展绘本讲读、朗诵比赛、公益讲座等青少年阅读推广活动不少于15场，为妇女儿童阅读提供资源支持和专业指导。开展科普展览等活动不少于40场，提升儿童科技素养。开展妇女儿童体质监测不少于300人，培训女性社会体育指导员100名。</w:t>
      </w:r>
      <w:r>
        <w:rPr>
          <w:rFonts w:hint="default" w:ascii="Times New Roman" w:hAnsi="Times New Roman" w:eastAsia="楷体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  <w:t>（责任单位：县文化和旅游局、县科协、县教育和体育局）</w:t>
      </w:r>
    </w:p>
    <w:p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default" w:ascii="Times New Roman" w:hAnsi="Times New Roman" w:eastAsia="楷体_GB2312" w:cs="Times New Roman"/>
          <w:b w:val="0"/>
          <w:bCs w:val="0"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七、实施儿童友好城市建设提升行动。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rtl w:val="0"/>
          <w:lang w:val="en-US" w:eastAsia="zh-CN" w:bidi="ar"/>
        </w:rPr>
        <w:t>按照《淄博市“好房子”技术指导细则》，推进住宅小区适儿化公共空间建设改造。优化提升</w:t>
      </w:r>
      <w:bookmarkStart w:id="0" w:name="OLE_LINK1"/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rtl w:val="0"/>
          <w:lang w:val="en-US" w:eastAsia="zh-CN" w:bidi="ar"/>
        </w:rPr>
        <w:t>儿童友好试点建设单元</w:t>
      </w:r>
      <w:bookmarkEnd w:id="0"/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rtl w:val="0"/>
          <w:lang w:val="en-US" w:eastAsia="zh-CN" w:bidi="ar"/>
        </w:rPr>
        <w:t>12处，发布儿童友好研学路线5条。</w:t>
      </w:r>
      <w:r>
        <w:rPr>
          <w:rFonts w:hint="default" w:ascii="Times New Roman" w:hAnsi="Times New Roman" w:eastAsia="楷体_GB2312" w:cs="Times New Roman"/>
          <w:b w:val="0"/>
          <w:bCs w:val="0"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（责任单位：县自然资源局、县住房城乡建设局、</w:t>
      </w:r>
      <w:r>
        <w:rPr>
          <w:rFonts w:hint="default" w:ascii="Times New Roman" w:hAnsi="Times New Roman" w:eastAsia="楷体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  <w:t>县妇联、县文化和旅游局</w:t>
      </w:r>
      <w:r>
        <w:rPr>
          <w:rFonts w:hint="default" w:ascii="Times New Roman" w:hAnsi="Times New Roman" w:eastAsia="楷体_GB2312" w:cs="Times New Roman"/>
          <w:b w:val="0"/>
          <w:bCs w:val="0"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）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24"/>
        <w:jc w:val="both"/>
        <w:textAlignment w:val="baseline"/>
        <w:rPr>
          <w:rFonts w:hint="default" w:ascii="Times New Roman" w:hAnsi="Times New Roman" w:eastAsia="楷体_GB2312" w:cs="Times New Roman"/>
          <w:b w:val="0"/>
          <w:bCs w:val="0"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八、实施青年婚恋新风培育行动。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rtl w:val="0"/>
          <w:lang w:val="en-US" w:eastAsia="zh-CN" w:bidi="ar-SA"/>
        </w:rPr>
        <w:t>深化“幸福沂家”全周期护航行动，提供婚前辅导、婚姻中矛盾调处、离婚前劝和调解、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rtl w:val="0"/>
          <w:lang w:val="en-US" w:eastAsia="zh-CN" w:bidi="ar-SA"/>
        </w:rPr>
        <w:t>婚姻家庭价值观宣传等服务2000人次以上。建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  <w:t>立全县单身青年信息库，扎实推进沂源“爱情地图”建设，重点面向农村青年、军地青年等群体，组织开展青年交友联谊活动10场以上，引导建立健康婚姻家庭观。</w:t>
      </w:r>
      <w:r>
        <w:rPr>
          <w:rFonts w:hint="default" w:ascii="Times New Roman" w:hAnsi="Times New Roman" w:eastAsia="楷体_GB2312" w:cs="Times New Roman"/>
          <w:b w:val="0"/>
          <w:bCs w:val="0"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（责任单位：县妇联、县委县直机关工委、县总工会、团县委、县退役军人局）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40"/>
        <w:jc w:val="both"/>
        <w:textAlignment w:val="baseline"/>
        <w:rPr>
          <w:rFonts w:hint="default" w:ascii="Times New Roman" w:hAnsi="Times New Roman" w:eastAsia="楷体_GB2312" w:cs="Times New Roman"/>
          <w:b w:val="0"/>
          <w:bCs w:val="0"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九、实施妇儿权益保障护航行动。</w:t>
      </w:r>
      <w:r>
        <w:rPr>
          <w:rFonts w:hint="default" w:ascii="Times New Roman" w:hAnsi="Times New Roman" w:cs="Times New Roman"/>
          <w:color w:val="auto"/>
          <w:spacing w:val="-48"/>
          <w:position w:val="1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  <w:t>组织开展中小学生居民身份证“集中办证月”活动。开办职工子女爱心托管班10个班次。实施残疾儿童康复救助，为不少于200名符合条件的残疾儿童提供手术、辅助器具适配、康复训练等康复救助服务。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highlight w:val="none"/>
          <w:lang w:val="en-US" w:eastAsia="zh-CN"/>
        </w:rPr>
        <w:t xml:space="preserve">加强青少 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  <w:t>活动，对遭受犯罪侵害的妇女儿童，视情</w:t>
      </w:r>
      <w:bookmarkStart w:id="1" w:name="OLE_LINK4"/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  <w:t>开展心理干预、司法救助等</w:t>
      </w:r>
      <w:bookmarkEnd w:id="1"/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  <w:t>服务活动。</w:t>
      </w:r>
      <w:r>
        <w:rPr>
          <w:rFonts w:hint="default" w:ascii="Times New Roman" w:hAnsi="Times New Roman" w:eastAsia="楷体_GB2312" w:cs="Times New Roman"/>
          <w:b w:val="0"/>
          <w:bCs w:val="0"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（责任单位：县公安局、县总工会、县残联、</w:t>
      </w:r>
      <w:r>
        <w:rPr>
          <w:rFonts w:hint="default" w:ascii="Times New Roman" w:hAnsi="Times New Roman" w:eastAsia="楷体_GB2312" w:cs="Times New Roman"/>
          <w:color w:val="auto"/>
          <w:spacing w:val="0"/>
          <w:sz w:val="32"/>
          <w:szCs w:val="32"/>
          <w:lang w:val="en-US" w:eastAsia="zh-CN"/>
        </w:rPr>
        <w:t>县委政法委、县法院、县检察院、县司法局</w:t>
      </w:r>
      <w:r>
        <w:rPr>
          <w:rFonts w:hint="default" w:ascii="Times New Roman" w:hAnsi="Times New Roman" w:eastAsia="楷体_GB2312" w:cs="Times New Roman"/>
          <w:b w:val="0"/>
          <w:bCs w:val="0"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）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40"/>
        <w:jc w:val="both"/>
        <w:textAlignment w:val="baseline"/>
        <w:rPr>
          <w:rFonts w:hint="default" w:ascii="Times New Roman" w:hAnsi="Times New Roman" w:eastAsia="楷体_GB2312" w:cs="Times New Roman"/>
          <w:b w:val="0"/>
          <w:bCs w:val="0"/>
          <w:snapToGrid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十 、实施困难儿童关爱帮扶行动。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  <w:t>实施困境儿童助学助康项目，为符合条件的孤困儿童购买重大疾病保险。深化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2"/>
          <w:sz w:val="32"/>
          <w:szCs w:val="32"/>
          <w:lang w:val="en-US" w:eastAsia="zh-CN" w:bidi="ar-SA"/>
        </w:rPr>
        <w:t>寒暑期儿童关爱服务活动，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  <w:t>“爱心妈妈（爸爸）”结对关爱孤困境儿童170名以上，开展“春蕾计划 ”公益助学，资助困境女童150名以上。将孤儿纳入医疗救助范围，参照特困人员落实医疗救助待遇。</w:t>
      </w:r>
      <w:r>
        <w:rPr>
          <w:rFonts w:hint="default" w:ascii="Times New Roman" w:hAnsi="Times New Roman" w:eastAsia="楷体_GB2312" w:cs="Times New Roman"/>
          <w:b w:val="0"/>
          <w:bCs w:val="0"/>
          <w:snapToGrid/>
          <w:color w:val="auto"/>
          <w:spacing w:val="0"/>
          <w:kern w:val="2"/>
          <w:sz w:val="32"/>
          <w:szCs w:val="32"/>
          <w:lang w:val="en-US" w:eastAsia="zh-CN" w:bidi="ar-SA"/>
        </w:rPr>
        <w:t>（责任单位：县民政局、县妇联、市医疗保障局沂源分局）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4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  <w:t>各有关部门要高度重视妇女儿童工作，持续健全完善为妇女儿童办实事工作机制，推动公共政策、公共项目、公共服务向妇女儿童倾斜，不断增强妇女儿童的获得感、幸福感、安全感。各责任单位要落实主体责任，推进实事落实到位，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en-US" w:eastAsia="zh-CN" w:bidi="ar"/>
        </w:rPr>
        <w:t>每季度末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将实事进展情况电子版和加盖单位公章的PDF版报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县妇联（联系电话：234378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lang w:val="en-US" w:eastAsia="zh-CN" w:bidi="ar"/>
        </w:rPr>
        <w:t>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，邮箱：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instrText xml:space="preserve"> HYPERLINK "mailto:yyxfl@zb.shandong.cn）。" </w:instrTex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yyxfl@zb.shandong.cn）。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fldChar w:fldCharType="end"/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4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  <w:t>附件：2026年为全县妇女儿童办实事工作进展情况报表</w:t>
      </w:r>
    </w:p>
    <w:p>
      <w:pP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  <w:br w:type="page"/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rPr>
          <w:rFonts w:hint="default" w:ascii="Times New Roman" w:hAnsi="Times New Roman" w:eastAsia="黑体" w:cs="Times New Roman"/>
          <w:color w:val="auto"/>
          <w:spacing w:val="-1"/>
          <w:position w:val="1"/>
          <w:sz w:val="29"/>
          <w:szCs w:val="29"/>
        </w:rPr>
      </w:pPr>
      <w:r>
        <w:rPr>
          <w:rFonts w:hint="default" w:ascii="Times New Roman" w:hAnsi="Times New Roman" w:eastAsia="黑体" w:cs="Times New Roman"/>
          <w:color w:val="auto"/>
          <w:spacing w:val="-1"/>
          <w:position w:val="1"/>
          <w:sz w:val="29"/>
          <w:szCs w:val="29"/>
        </w:rPr>
        <w:t>附件</w:t>
      </w:r>
    </w:p>
    <w:p>
      <w:pPr>
        <w:pStyle w:val="3"/>
        <w:jc w:val="center"/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="-105" w:leftChars="-50" w:right="-105" w:rightChars="-50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-11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-11"/>
          <w:kern w:val="0"/>
          <w:sz w:val="44"/>
          <w:szCs w:val="44"/>
          <w:highlight w:val="none"/>
          <w:lang w:val="en-US" w:eastAsia="zh-CN" w:bidi="ar"/>
        </w:rPr>
        <w:t>2026年为全县妇女儿童办实事工作进展情况报表</w:t>
      </w:r>
    </w:p>
    <w:p>
      <w:pPr>
        <w:pStyle w:val="3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tbl>
      <w:tblPr>
        <w:tblStyle w:val="10"/>
        <w:tblW w:w="8845" w:type="dxa"/>
        <w:jc w:val="center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081"/>
        <w:gridCol w:w="2600"/>
        <w:gridCol w:w="2379"/>
        <w:gridCol w:w="1158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627" w:type="dxa"/>
            <w:tcBorders>
              <w:top w:val="single" w:color="231F20" w:sz="6" w:space="0"/>
              <w:left w:val="single" w:color="231F2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9"/>
                <w:position w:val="1"/>
                <w:sz w:val="24"/>
                <w:szCs w:val="24"/>
              </w:rPr>
              <w:t>序号</w:t>
            </w:r>
          </w:p>
        </w:tc>
        <w:tc>
          <w:tcPr>
            <w:tcW w:w="2081" w:type="dxa"/>
            <w:tcBorders>
              <w:top w:val="single" w:color="231F2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10"/>
                <w:position w:val="1"/>
                <w:sz w:val="24"/>
                <w:szCs w:val="24"/>
              </w:rPr>
              <w:t>实事名称</w:t>
            </w:r>
          </w:p>
        </w:tc>
        <w:tc>
          <w:tcPr>
            <w:tcW w:w="2600" w:type="dxa"/>
            <w:tcBorders>
              <w:top w:val="single" w:color="231F2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11"/>
                <w:position w:val="1"/>
                <w:sz w:val="24"/>
                <w:szCs w:val="24"/>
              </w:rPr>
              <w:t>责任单位</w:t>
            </w:r>
          </w:p>
        </w:tc>
        <w:tc>
          <w:tcPr>
            <w:tcW w:w="2379" w:type="dxa"/>
            <w:tcBorders>
              <w:top w:val="single" w:color="231F2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spacing w:val="15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15"/>
                <w:sz w:val="24"/>
                <w:szCs w:val="24"/>
              </w:rPr>
              <w:t>本季度具体措施及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15"/>
                <w:sz w:val="24"/>
                <w:szCs w:val="24"/>
              </w:rPr>
              <w:t>任务进度情况</w:t>
            </w:r>
          </w:p>
        </w:tc>
        <w:tc>
          <w:tcPr>
            <w:tcW w:w="1158" w:type="dxa"/>
            <w:tcBorders>
              <w:top w:val="single" w:color="231F20" w:sz="6" w:space="0"/>
              <w:right w:val="single" w:color="231F2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12"/>
                <w:position w:val="1"/>
                <w:sz w:val="24"/>
                <w:szCs w:val="24"/>
              </w:rPr>
              <w:t>完成时限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  <w:jc w:val="center"/>
        </w:trPr>
        <w:tc>
          <w:tcPr>
            <w:tcW w:w="627" w:type="dxa"/>
            <w:tcBorders>
              <w:left w:val="single" w:color="231F2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8"/>
                <w:sz w:val="24"/>
                <w:szCs w:val="24"/>
              </w:rPr>
              <w:t>1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  <w:t>实施妇女就业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  <w:t>增收促进行动</w:t>
            </w:r>
          </w:p>
        </w:tc>
        <w:tc>
          <w:tcPr>
            <w:tcW w:w="26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</w:rPr>
              <w:t>人力资源社会保障局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  <w:lang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</w:rPr>
              <w:t>妇联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13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3"/>
                <w:sz w:val="24"/>
                <w:szCs w:val="24"/>
                <w:lang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3"/>
                <w:sz w:val="24"/>
                <w:szCs w:val="24"/>
              </w:rPr>
              <w:t>农业农村局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3"/>
                <w:sz w:val="24"/>
                <w:szCs w:val="24"/>
                <w:lang w:val="en-US" w:eastAsia="zh-CN"/>
              </w:rPr>
              <w:t>县委社会工作部</w:t>
            </w:r>
          </w:p>
        </w:tc>
        <w:tc>
          <w:tcPr>
            <w:tcW w:w="237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58" w:type="dxa"/>
            <w:tcBorders>
              <w:right w:val="single" w:color="231F20" w:sz="6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627" w:type="dxa"/>
            <w:tcBorders>
              <w:left w:val="single" w:color="231F2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20"/>
                <w:sz w:val="24"/>
                <w:szCs w:val="24"/>
              </w:rPr>
              <w:t>2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  <w:t>实施妇女健康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  <w:t>守护行动</w:t>
            </w:r>
          </w:p>
        </w:tc>
        <w:tc>
          <w:tcPr>
            <w:tcW w:w="26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13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3"/>
                <w:sz w:val="24"/>
                <w:szCs w:val="24"/>
                <w:lang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3"/>
                <w:sz w:val="24"/>
                <w:szCs w:val="24"/>
              </w:rPr>
              <w:t>卫生健康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3"/>
                <w:sz w:val="24"/>
                <w:szCs w:val="24"/>
                <w:lang w:val="en-US" w:eastAsia="zh-CN"/>
              </w:rPr>
              <w:t>局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  <w:lang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</w:rPr>
              <w:t>妇联</w:t>
            </w:r>
          </w:p>
        </w:tc>
        <w:tc>
          <w:tcPr>
            <w:tcW w:w="237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58" w:type="dxa"/>
            <w:tcBorders>
              <w:right w:val="single" w:color="231F20" w:sz="6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27" w:type="dxa"/>
            <w:tcBorders>
              <w:left w:val="single" w:color="231F2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21"/>
                <w:sz w:val="24"/>
                <w:szCs w:val="24"/>
              </w:rPr>
              <w:t>3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  <w:t>实施教育设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  <w:t>施优化行动</w:t>
            </w:r>
          </w:p>
        </w:tc>
        <w:tc>
          <w:tcPr>
            <w:tcW w:w="26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  <w:lang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</w:rPr>
              <w:t>教育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  <w:lang w:val="en-US" w:eastAsia="zh-CN"/>
              </w:rPr>
              <w:t>和体育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</w:rPr>
              <w:t>局</w:t>
            </w:r>
          </w:p>
        </w:tc>
        <w:tc>
          <w:tcPr>
            <w:tcW w:w="237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58" w:type="dxa"/>
            <w:tcBorders>
              <w:right w:val="single" w:color="231F20" w:sz="6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627" w:type="dxa"/>
            <w:tcBorders>
              <w:left w:val="single" w:color="231F2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24"/>
                <w:sz w:val="24"/>
                <w:szCs w:val="24"/>
              </w:rPr>
              <w:t>4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  <w:t>实施家庭家教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  <w:t>家风建设提质行动</w:t>
            </w:r>
          </w:p>
        </w:tc>
        <w:tc>
          <w:tcPr>
            <w:tcW w:w="26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  <w:lang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</w:rPr>
              <w:t>文明办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  <w:lang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</w:rPr>
              <w:t>妇联</w:t>
            </w:r>
          </w:p>
        </w:tc>
        <w:tc>
          <w:tcPr>
            <w:tcW w:w="237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58" w:type="dxa"/>
            <w:tcBorders>
              <w:right w:val="single" w:color="231F20" w:sz="6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627" w:type="dxa"/>
            <w:tcBorders>
              <w:left w:val="single" w:color="231F2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9"/>
                <w:sz w:val="24"/>
                <w:szCs w:val="24"/>
              </w:rPr>
              <w:t>5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  <w:t>实施优生优育服务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  <w:t>水平提升行动</w:t>
            </w:r>
          </w:p>
        </w:tc>
        <w:tc>
          <w:tcPr>
            <w:tcW w:w="26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3"/>
                <w:sz w:val="24"/>
                <w:szCs w:val="24"/>
                <w:lang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3"/>
                <w:sz w:val="24"/>
                <w:szCs w:val="24"/>
              </w:rPr>
              <w:t>卫生健康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3"/>
                <w:sz w:val="24"/>
                <w:szCs w:val="24"/>
                <w:lang w:val="en-US" w:eastAsia="zh-CN"/>
              </w:rPr>
              <w:t>局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  <w:lang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</w:rPr>
              <w:t>教育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  <w:lang w:val="en-US" w:eastAsia="zh-CN"/>
              </w:rPr>
              <w:t>和体育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</w:rPr>
              <w:t>局</w:t>
            </w:r>
          </w:p>
        </w:tc>
        <w:tc>
          <w:tcPr>
            <w:tcW w:w="237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58" w:type="dxa"/>
            <w:tcBorders>
              <w:right w:val="single" w:color="231F20" w:sz="6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  <w:jc w:val="center"/>
        </w:trPr>
        <w:tc>
          <w:tcPr>
            <w:tcW w:w="627" w:type="dxa"/>
            <w:tcBorders>
              <w:left w:val="single" w:color="231F2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20"/>
                <w:sz w:val="24"/>
                <w:szCs w:val="24"/>
              </w:rPr>
              <w:t>6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  <w:t>实施文体服务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  <w:t>惠民行动</w:t>
            </w:r>
          </w:p>
        </w:tc>
        <w:tc>
          <w:tcPr>
            <w:tcW w:w="26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14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4"/>
                <w:sz w:val="24"/>
                <w:szCs w:val="24"/>
                <w:lang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4"/>
                <w:sz w:val="24"/>
                <w:szCs w:val="24"/>
              </w:rPr>
              <w:t>文化和旅游局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  <w:lang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</w:rPr>
              <w:t>科协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  <w:lang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</w:rPr>
              <w:t>教育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  <w:lang w:val="en-US" w:eastAsia="zh-CN"/>
              </w:rPr>
              <w:t>和体育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</w:rPr>
              <w:t>局</w:t>
            </w:r>
          </w:p>
        </w:tc>
        <w:tc>
          <w:tcPr>
            <w:tcW w:w="237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58" w:type="dxa"/>
            <w:tcBorders>
              <w:right w:val="single" w:color="231F20" w:sz="6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  <w:jc w:val="center"/>
        </w:trPr>
        <w:tc>
          <w:tcPr>
            <w:tcW w:w="627" w:type="dxa"/>
            <w:tcBorders>
              <w:left w:val="single" w:color="231F2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21"/>
                <w:sz w:val="24"/>
                <w:szCs w:val="24"/>
              </w:rPr>
              <w:t>7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  <w:t>实施儿童友好城市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  <w:t>建设提升行动</w:t>
            </w:r>
          </w:p>
        </w:tc>
        <w:tc>
          <w:tcPr>
            <w:tcW w:w="26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县自然资源局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县住房城乡建设局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  <w:lang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</w:rPr>
              <w:t>妇联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县文化和旅游局</w:t>
            </w:r>
          </w:p>
        </w:tc>
        <w:tc>
          <w:tcPr>
            <w:tcW w:w="237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58" w:type="dxa"/>
            <w:tcBorders>
              <w:right w:val="single" w:color="231F20" w:sz="6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  <w:jc w:val="center"/>
        </w:trPr>
        <w:tc>
          <w:tcPr>
            <w:tcW w:w="627" w:type="dxa"/>
            <w:tcBorders>
              <w:left w:val="single" w:color="231F2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23"/>
                <w:sz w:val="24"/>
                <w:szCs w:val="24"/>
              </w:rPr>
              <w:t>8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  <w:t>实施青年婚恋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  <w:t>新风培育行动</w:t>
            </w:r>
          </w:p>
        </w:tc>
        <w:tc>
          <w:tcPr>
            <w:tcW w:w="26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  <w:lang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</w:rPr>
              <w:t>妇联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hanging="12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  <w:lang w:val="en-US" w:eastAsia="zh-CN"/>
              </w:rPr>
              <w:t>县委县直机关工委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hanging="12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  <w:lang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</w:rPr>
              <w:t>总工会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hanging="12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4"/>
                <w:sz w:val="24"/>
                <w:szCs w:val="24"/>
              </w:rPr>
              <w:t>团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4"/>
                <w:sz w:val="24"/>
                <w:szCs w:val="24"/>
                <w:lang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4"/>
                <w:sz w:val="24"/>
                <w:szCs w:val="24"/>
              </w:rPr>
              <w:t>委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3"/>
                <w:sz w:val="24"/>
                <w:szCs w:val="24"/>
                <w:lang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3"/>
                <w:sz w:val="24"/>
                <w:szCs w:val="24"/>
              </w:rPr>
              <w:t>退役军人局</w:t>
            </w:r>
          </w:p>
        </w:tc>
        <w:tc>
          <w:tcPr>
            <w:tcW w:w="237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58" w:type="dxa"/>
            <w:tcBorders>
              <w:right w:val="single" w:color="231F20" w:sz="6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  <w:jc w:val="center"/>
        </w:trPr>
        <w:tc>
          <w:tcPr>
            <w:tcW w:w="627" w:type="dxa"/>
            <w:tcBorders>
              <w:left w:val="single" w:color="231F2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20"/>
                <w:sz w:val="24"/>
                <w:szCs w:val="24"/>
              </w:rPr>
              <w:t>9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  <w:t>实施妇儿权益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  <w:t>保障护航行动</w:t>
            </w:r>
          </w:p>
        </w:tc>
        <w:tc>
          <w:tcPr>
            <w:tcW w:w="26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  <w:lang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</w:rPr>
              <w:t>公安局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  <w:lang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</w:rPr>
              <w:t>总工会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  <w:lang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</w:rPr>
              <w:t>残联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  <w:lang w:val="en-US" w:eastAsia="zh-CN"/>
              </w:rPr>
              <w:t>县委政法委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  <w:lang w:val="en-US" w:eastAsia="zh-CN"/>
              </w:rPr>
              <w:t>县法院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  <w:lang w:val="en-US" w:eastAsia="zh-CN"/>
              </w:rPr>
              <w:t>县检察院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  <w:lang w:val="en-US" w:eastAsia="zh-CN"/>
              </w:rPr>
              <w:t>县司法局</w:t>
            </w:r>
          </w:p>
        </w:tc>
        <w:tc>
          <w:tcPr>
            <w:tcW w:w="237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58" w:type="dxa"/>
            <w:tcBorders>
              <w:right w:val="single" w:color="231F20" w:sz="6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627" w:type="dxa"/>
            <w:tcBorders>
              <w:left w:val="single" w:color="231F20" w:sz="6" w:space="0"/>
              <w:bottom w:val="single" w:color="231F2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</w:rPr>
              <w:t>10</w:t>
            </w:r>
          </w:p>
        </w:tc>
        <w:tc>
          <w:tcPr>
            <w:tcW w:w="2081" w:type="dxa"/>
            <w:tcBorders>
              <w:bottom w:val="single" w:color="231F2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  <w:t>实施困难儿童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lang w:val="en-US" w:eastAsia="zh-CN"/>
              </w:rPr>
              <w:t>关爱帮扶行动</w:t>
            </w:r>
          </w:p>
        </w:tc>
        <w:tc>
          <w:tcPr>
            <w:tcW w:w="2600" w:type="dxa"/>
            <w:tcBorders>
              <w:bottom w:val="single" w:color="231F2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  <w:lang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</w:rPr>
              <w:t>民政局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  <w:lang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</w:rPr>
              <w:t>妇联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  <w:lang w:eastAsia="zh-CN"/>
              </w:rPr>
              <w:t>医疗保障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</w:rPr>
              <w:t>局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  <w:lang w:val="en-US" w:eastAsia="zh-CN"/>
              </w:rPr>
              <w:t>沂源分局</w:t>
            </w:r>
          </w:p>
        </w:tc>
        <w:tc>
          <w:tcPr>
            <w:tcW w:w="2379" w:type="dxa"/>
            <w:tcBorders>
              <w:bottom w:val="single" w:color="231F20" w:sz="6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58" w:type="dxa"/>
            <w:tcBorders>
              <w:bottom w:val="single" w:color="231F20" w:sz="6" w:space="0"/>
              <w:right w:val="single" w:color="231F20" w:sz="6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</w:tbl>
    <w:p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jc w:val="center"/>
        <w:rPr>
          <w:rFonts w:hint="default" w:ascii="Times New Roman" w:hAnsi="Times New Roman" w:eastAsia="方正小标宋简体" w:cs="Times New Roman"/>
          <w:color w:val="auto"/>
          <w:spacing w:val="11"/>
          <w:position w:val="-4"/>
          <w:sz w:val="36"/>
          <w:szCs w:val="36"/>
        </w:rPr>
      </w:pPr>
    </w:p>
    <w:p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jc w:val="center"/>
        <w:rPr>
          <w:rFonts w:hint="default" w:ascii="Times New Roman" w:hAnsi="Times New Roman" w:eastAsia="方正小标宋简体" w:cs="Times New Roman"/>
          <w:color w:val="auto"/>
          <w:spacing w:val="11"/>
          <w:position w:val="-4"/>
          <w:sz w:val="36"/>
          <w:szCs w:val="36"/>
        </w:rPr>
      </w:pPr>
    </w:p>
    <w:p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jc w:val="center"/>
        <w:rPr>
          <w:rFonts w:hint="default" w:ascii="Times New Roman" w:hAnsi="Times New Roman" w:eastAsia="方正小标宋简体" w:cs="Times New Roman"/>
          <w:color w:val="auto"/>
          <w:spacing w:val="11"/>
          <w:position w:val="-4"/>
          <w:sz w:val="36"/>
          <w:szCs w:val="36"/>
        </w:rPr>
      </w:pPr>
    </w:p>
    <w:p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jc w:val="center"/>
        <w:rPr>
          <w:rFonts w:hint="default" w:ascii="Times New Roman" w:hAnsi="Times New Roman" w:eastAsia="方正小标宋简体" w:cs="Times New Roman"/>
          <w:color w:val="auto"/>
          <w:spacing w:val="11"/>
          <w:position w:val="-4"/>
          <w:sz w:val="36"/>
          <w:szCs w:val="36"/>
        </w:rPr>
      </w:pPr>
    </w:p>
    <w:p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jc w:val="center"/>
        <w:rPr>
          <w:rFonts w:hint="default" w:ascii="Times New Roman" w:hAnsi="Times New Roman" w:eastAsia="方正小标宋简体" w:cs="Times New Roman"/>
          <w:color w:val="auto"/>
          <w:spacing w:val="11"/>
          <w:position w:val="-4"/>
          <w:sz w:val="36"/>
          <w:szCs w:val="36"/>
        </w:rPr>
      </w:pPr>
    </w:p>
    <w:p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jc w:val="center"/>
        <w:rPr>
          <w:rFonts w:hint="default" w:ascii="Times New Roman" w:hAnsi="Times New Roman" w:eastAsia="方正小标宋简体" w:cs="Times New Roman"/>
          <w:color w:val="auto"/>
          <w:spacing w:val="11"/>
          <w:position w:val="-4"/>
          <w:sz w:val="36"/>
          <w:szCs w:val="36"/>
        </w:rPr>
      </w:pPr>
    </w:p>
    <w:p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jc w:val="center"/>
        <w:rPr>
          <w:rFonts w:hint="default" w:ascii="Times New Roman" w:hAnsi="Times New Roman" w:eastAsia="方正小标宋简体" w:cs="Times New Roman"/>
          <w:color w:val="auto"/>
          <w:spacing w:val="11"/>
          <w:position w:val="-4"/>
          <w:sz w:val="36"/>
          <w:szCs w:val="36"/>
        </w:rPr>
      </w:pPr>
    </w:p>
    <w:p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jc w:val="center"/>
        <w:rPr>
          <w:rFonts w:hint="default" w:ascii="Times New Roman" w:hAnsi="Times New Roman" w:eastAsia="方正小标宋简体" w:cs="Times New Roman"/>
          <w:color w:val="auto"/>
          <w:spacing w:val="11"/>
          <w:position w:val="-4"/>
          <w:sz w:val="36"/>
          <w:szCs w:val="36"/>
        </w:rPr>
      </w:pPr>
    </w:p>
    <w:p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jc w:val="center"/>
        <w:rPr>
          <w:rFonts w:hint="default" w:ascii="Times New Roman" w:hAnsi="Times New Roman" w:eastAsia="方正小标宋简体" w:cs="Times New Roman"/>
          <w:color w:val="auto"/>
          <w:spacing w:val="11"/>
          <w:position w:val="-4"/>
          <w:sz w:val="36"/>
          <w:szCs w:val="36"/>
        </w:rPr>
      </w:pPr>
    </w:p>
    <w:p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jc w:val="center"/>
        <w:rPr>
          <w:rFonts w:hint="default" w:ascii="Times New Roman" w:hAnsi="Times New Roman" w:eastAsia="方正小标宋简体" w:cs="Times New Roman"/>
          <w:color w:val="auto"/>
          <w:spacing w:val="11"/>
          <w:position w:val="-4"/>
          <w:sz w:val="36"/>
          <w:szCs w:val="36"/>
        </w:rPr>
      </w:pPr>
    </w:p>
    <w:p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jc w:val="center"/>
        <w:rPr>
          <w:rFonts w:hint="default" w:ascii="Times New Roman" w:hAnsi="Times New Roman" w:eastAsia="方正小标宋简体" w:cs="Times New Roman"/>
          <w:color w:val="auto"/>
          <w:spacing w:val="11"/>
          <w:position w:val="-4"/>
          <w:sz w:val="36"/>
          <w:szCs w:val="36"/>
        </w:rPr>
      </w:pPr>
    </w:p>
    <w:p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jc w:val="center"/>
        <w:rPr>
          <w:rFonts w:hint="default" w:ascii="Times New Roman" w:hAnsi="Times New Roman" w:eastAsia="方正小标宋简体" w:cs="Times New Roman"/>
          <w:color w:val="auto"/>
          <w:spacing w:val="11"/>
          <w:position w:val="-4"/>
          <w:sz w:val="36"/>
          <w:szCs w:val="36"/>
        </w:rPr>
      </w:pPr>
      <w:bookmarkStart w:id="2" w:name="_GoBack"/>
      <w:bookmarkEnd w:id="2"/>
    </w:p>
    <w:p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jc w:val="center"/>
        <w:rPr>
          <w:rFonts w:hint="default" w:ascii="Times New Roman" w:hAnsi="Times New Roman" w:eastAsia="方正小标宋简体" w:cs="Times New Roman"/>
          <w:color w:val="auto"/>
          <w:spacing w:val="11"/>
          <w:position w:val="-4"/>
          <w:sz w:val="36"/>
          <w:szCs w:val="36"/>
        </w:rPr>
      </w:pPr>
    </w:p>
    <w:p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jc w:val="center"/>
        <w:rPr>
          <w:rFonts w:hint="default" w:ascii="Times New Roman" w:hAnsi="Times New Roman" w:eastAsia="方正小标宋简体" w:cs="Times New Roman"/>
          <w:color w:val="auto"/>
          <w:spacing w:val="11"/>
          <w:position w:val="-4"/>
          <w:sz w:val="36"/>
          <w:szCs w:val="36"/>
        </w:rPr>
      </w:pPr>
    </w:p>
    <w:p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jc w:val="center"/>
        <w:rPr>
          <w:rFonts w:hint="default" w:ascii="Times New Roman" w:hAnsi="Times New Roman" w:eastAsia="方正小标宋简体" w:cs="Times New Roman"/>
          <w:color w:val="auto"/>
          <w:spacing w:val="11"/>
          <w:position w:val="-4"/>
          <w:sz w:val="36"/>
          <w:szCs w:val="36"/>
        </w:rPr>
      </w:pPr>
    </w:p>
    <w:p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jc w:val="center"/>
        <w:rPr>
          <w:rFonts w:hint="default" w:ascii="Times New Roman" w:hAnsi="Times New Roman" w:eastAsia="方正小标宋简体" w:cs="Times New Roman"/>
          <w:color w:val="auto"/>
          <w:spacing w:val="11"/>
          <w:position w:val="-4"/>
          <w:sz w:val="36"/>
          <w:szCs w:val="36"/>
        </w:rPr>
      </w:pPr>
    </w:p>
    <w:p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jc w:val="both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jc w:val="center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抄送：县委各部门，县人大常委会办公室，县政协办公室，县监委，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县法院、县检察院。</w:t>
      </w: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县工商联。</w:t>
      </w:r>
    </w:p>
    <w:p>
      <w:pPr>
        <w:keepNext w:val="0"/>
        <w:keepLines w:val="0"/>
        <w:pageBreakBefore w:val="0"/>
        <w:widowControl w:val="0"/>
        <w:pBdr>
          <w:top w:val="single" w:color="auto" w:sz="4" w:space="0"/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沂源县人民政府办公室          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日印发</w:t>
      </w:r>
    </w:p>
    <w:sectPr>
      <w:footerReference r:id="rId5" w:type="default"/>
      <w:pgSz w:w="11905" w:h="16836"/>
      <w:pgMar w:top="1984" w:right="1531" w:bottom="1701" w:left="1531" w:header="0" w:footer="1417" w:gutter="0"/>
      <w:pgNumType w:fmt="decimal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/>
                            <w:kinsoku w:val="0"/>
                            <w:wordWrap/>
                            <w:overflowPunct/>
                            <w:topLinePunct w:val="0"/>
                            <w:bidi w:val="0"/>
                            <w:adjustRightInd w:val="0"/>
                            <w:snapToGrid w:val="0"/>
                            <w:ind w:left="210" w:leftChars="100" w:right="210" w:rightChars="100"/>
                            <w:textAlignment w:val="baseline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keepNext w:val="0"/>
                      <w:keepLines w:val="0"/>
                      <w:pageBreakBefore w:val="0"/>
                      <w:widowControl/>
                      <w:kinsoku w:val="0"/>
                      <w:wordWrap/>
                      <w:overflowPunct/>
                      <w:topLinePunct w:val="0"/>
                      <w:bidi w:val="0"/>
                      <w:adjustRightInd w:val="0"/>
                      <w:snapToGrid w:val="0"/>
                      <w:ind w:left="210" w:leftChars="100" w:right="210" w:rightChars="100"/>
                      <w:textAlignment w:val="baseline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MGZkMjA3YWYwMGFkNjY5MzM0ZGMzYjZmOGQ0YWY5YzAifQ=="/>
  </w:docVars>
  <w:rsids>
    <w:rsidRoot w:val="00000000"/>
    <w:rsid w:val="0087303A"/>
    <w:rsid w:val="01D572BD"/>
    <w:rsid w:val="024D663C"/>
    <w:rsid w:val="052C033D"/>
    <w:rsid w:val="05A05423"/>
    <w:rsid w:val="063E7182"/>
    <w:rsid w:val="091B5B68"/>
    <w:rsid w:val="095342DA"/>
    <w:rsid w:val="0BAC424D"/>
    <w:rsid w:val="0D4E75B4"/>
    <w:rsid w:val="0DB41EA3"/>
    <w:rsid w:val="10FF2DCB"/>
    <w:rsid w:val="119D3A99"/>
    <w:rsid w:val="12211934"/>
    <w:rsid w:val="134E19D7"/>
    <w:rsid w:val="142F3AA1"/>
    <w:rsid w:val="16380948"/>
    <w:rsid w:val="16B95855"/>
    <w:rsid w:val="190854FB"/>
    <w:rsid w:val="19D11FB2"/>
    <w:rsid w:val="1A6A1731"/>
    <w:rsid w:val="1CA804AA"/>
    <w:rsid w:val="1CE44154"/>
    <w:rsid w:val="1D09623F"/>
    <w:rsid w:val="21355D53"/>
    <w:rsid w:val="27082C6B"/>
    <w:rsid w:val="27316807"/>
    <w:rsid w:val="2A3D4AE8"/>
    <w:rsid w:val="2BB13AE1"/>
    <w:rsid w:val="2CE20256"/>
    <w:rsid w:val="2D165702"/>
    <w:rsid w:val="2E572E35"/>
    <w:rsid w:val="31117444"/>
    <w:rsid w:val="319618DC"/>
    <w:rsid w:val="31D86E5C"/>
    <w:rsid w:val="32CB2066"/>
    <w:rsid w:val="3351060B"/>
    <w:rsid w:val="33F37929"/>
    <w:rsid w:val="389E198D"/>
    <w:rsid w:val="39E746F1"/>
    <w:rsid w:val="3B476F2C"/>
    <w:rsid w:val="3BF0714A"/>
    <w:rsid w:val="3DCA57AA"/>
    <w:rsid w:val="3FB638F2"/>
    <w:rsid w:val="41301ECD"/>
    <w:rsid w:val="41444D3A"/>
    <w:rsid w:val="4177481D"/>
    <w:rsid w:val="438A31C1"/>
    <w:rsid w:val="4506024A"/>
    <w:rsid w:val="45B930F0"/>
    <w:rsid w:val="486434AD"/>
    <w:rsid w:val="49E631FD"/>
    <w:rsid w:val="4A3635D8"/>
    <w:rsid w:val="4ACB47DC"/>
    <w:rsid w:val="4AFD082A"/>
    <w:rsid w:val="4C671F94"/>
    <w:rsid w:val="4D072EF9"/>
    <w:rsid w:val="4D7367E0"/>
    <w:rsid w:val="4DAF4AFF"/>
    <w:rsid w:val="4E6F0D56"/>
    <w:rsid w:val="52E1502E"/>
    <w:rsid w:val="53E00B00"/>
    <w:rsid w:val="56EC0A4C"/>
    <w:rsid w:val="57B248A4"/>
    <w:rsid w:val="58C35ACF"/>
    <w:rsid w:val="5AC62645"/>
    <w:rsid w:val="5E1E59A9"/>
    <w:rsid w:val="5E674E00"/>
    <w:rsid w:val="5F8B41B6"/>
    <w:rsid w:val="5FB825AD"/>
    <w:rsid w:val="5FD41D01"/>
    <w:rsid w:val="611B37F4"/>
    <w:rsid w:val="62AE54FF"/>
    <w:rsid w:val="633908EF"/>
    <w:rsid w:val="65961181"/>
    <w:rsid w:val="68B40662"/>
    <w:rsid w:val="68B6092E"/>
    <w:rsid w:val="68E934F8"/>
    <w:rsid w:val="6C6B4202"/>
    <w:rsid w:val="6CF7043C"/>
    <w:rsid w:val="70303E48"/>
    <w:rsid w:val="704760C2"/>
    <w:rsid w:val="70AD3B45"/>
    <w:rsid w:val="70FA04FB"/>
    <w:rsid w:val="737E5413"/>
    <w:rsid w:val="79D464D6"/>
    <w:rsid w:val="7EE2716B"/>
    <w:rsid w:val="7F1208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00" w:lineRule="exact"/>
      <w:outlineLvl w:val="0"/>
    </w:pPr>
    <w:rPr>
      <w:rFonts w:ascii="仿宋_GB2312" w:hAnsi="仿宋_GB2312" w:eastAsia="仿宋_GB2312" w:cs="仿宋_GB2312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2">
    <w:name w:val="_Style 5"/>
    <w:basedOn w:val="1"/>
    <w:qFormat/>
    <w:uiPriority w:val="0"/>
    <w:pPr>
      <w:ind w:firstLine="200" w:firstLineChars="200"/>
    </w:pPr>
    <w:rPr>
      <w:rFonts w:ascii="Calibri" w:hAnsi="Calibri" w:cs="黑体"/>
      <w:sz w:val="24"/>
      <w:szCs w:val="24"/>
    </w:rPr>
  </w:style>
  <w:style w:type="character" w:customStyle="1" w:styleId="13">
    <w:name w:val="font15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2313</Words>
  <Characters>2409</Characters>
  <TotalTime>61</TotalTime>
  <ScaleCrop>false</ScaleCrop>
  <LinksUpToDate>false</LinksUpToDate>
  <CharactersWithSpaces>2591</CharactersWithSpaces>
  <Application>WPS Office_12.1.0.15358_F1E327BC-269C-435d-A152-05C5408002CA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2026-04-09T03:05:00Z</dcterms:created>
  <dc:creator>user</dc:creator>
  <cp:lastModifiedBy>无所畏惧</cp:lastModifiedBy>
  <cp:lastPrinted>2026-05-14T01:16:00Z</cp:lastPrinted>
  <dcterms:modified xsi:type="dcterms:W3CDTF">2026-06-02T02:16:50Z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2026-04-02T08:39:42Z</vt:filetime>
  </property>
  <property fmtid="{D5CDD505-2E9C-101B-9397-08002B2CF9AE}" pid="4" name="KSOTemplateDocerSaveRecord">
    <vt:lpwstr>eyJoZGlkIjoiMmFlM2ZlMjgwZTY3ZDRkNzQ1ZDZjZmMyYTU2ZmZmNzIiLCJ1c2VySWQiOiIxNTc0NjUwOTc1In0=</vt:lpwstr>
  </property>
  <property fmtid="{D5CDD505-2E9C-101B-9397-08002B2CF9AE}" pid="5" name="KSOProductBuildVer">
    <vt:lpwstr>2052-12.1.0.15358</vt:lpwstr>
  </property>
  <property fmtid="{D5CDD505-2E9C-101B-9397-08002B2CF9AE}" pid="6" name="ICV">
    <vt:lpwstr>705EA70CFF1849BEB85A1751F72A9EE4_13</vt:lpwstr>
  </property>
</Properties>
</file>