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0A6F2">
      <w:pPr>
        <w:keepNext w:val="0"/>
        <w:keepLines w:val="0"/>
        <w:pageBreakBefore w:val="0"/>
        <w:widowControl w:val="0"/>
        <w:tabs>
          <w:tab w:val="left" w:pos="2205"/>
        </w:tabs>
        <w:kinsoku/>
        <w:wordWrap/>
        <w:overflowPunct/>
        <w:topLinePunct w:val="0"/>
        <w:autoSpaceDE/>
        <w:autoSpaceDN/>
        <w:bidi w:val="0"/>
        <w:adjustRightInd/>
        <w:snapToGrid/>
        <w:spacing w:line="580" w:lineRule="exact"/>
        <w:ind w:left="1516" w:leftChars="200" w:right="640" w:rightChars="200" w:hanging="876" w:hangingChars="100"/>
        <w:jc w:val="distribute"/>
        <w:textAlignment w:val="auto"/>
        <w:rPr>
          <w:rFonts w:hint="eastAsia" w:ascii="方正小标宋简体" w:hAnsi="Arial" w:eastAsia="方正小标宋简体" w:cs="文星简小标宋"/>
          <w:b w:val="0"/>
          <w:bCs w:val="0"/>
          <w:color w:val="FFFFFF" w:themeColor="background1"/>
          <w:spacing w:val="6"/>
          <w:w w:val="60"/>
          <w:kern w:val="0"/>
          <w:sz w:val="144"/>
          <w:szCs w:val="144"/>
          <w14:textFill>
            <w14:solidFill>
              <w14:schemeClr w14:val="bg1"/>
            </w14:solidFill>
          </w14:textFill>
        </w:rPr>
      </w:pPr>
      <w:bookmarkStart w:id="0" w:name="_Toc32059"/>
    </w:p>
    <w:p w14:paraId="131ED097">
      <w:pPr>
        <w:keepNext w:val="0"/>
        <w:keepLines w:val="0"/>
        <w:pageBreakBefore w:val="0"/>
        <w:widowControl w:val="0"/>
        <w:tabs>
          <w:tab w:val="left" w:pos="2205"/>
        </w:tabs>
        <w:kinsoku/>
        <w:wordWrap/>
        <w:overflowPunct/>
        <w:topLinePunct w:val="0"/>
        <w:autoSpaceDE/>
        <w:autoSpaceDN/>
        <w:bidi w:val="0"/>
        <w:adjustRightInd/>
        <w:snapToGrid/>
        <w:spacing w:line="580" w:lineRule="exact"/>
        <w:ind w:left="1516" w:leftChars="200" w:right="640" w:rightChars="200" w:hanging="876" w:hangingChars="100"/>
        <w:jc w:val="distribute"/>
        <w:textAlignment w:val="auto"/>
        <w:rPr>
          <w:rFonts w:hint="eastAsia" w:ascii="方正小标宋简体" w:hAnsi="Arial" w:eastAsia="方正小标宋简体" w:cs="文星简小标宋"/>
          <w:b w:val="0"/>
          <w:bCs w:val="0"/>
          <w:color w:val="FFFFFF" w:themeColor="background1"/>
          <w:spacing w:val="6"/>
          <w:w w:val="60"/>
          <w:kern w:val="0"/>
          <w:sz w:val="144"/>
          <w:szCs w:val="144"/>
          <w14:textFill>
            <w14:solidFill>
              <w14:schemeClr w14:val="bg1"/>
            </w14:solidFill>
          </w14:textFill>
        </w:rPr>
      </w:pPr>
    </w:p>
    <w:p w14:paraId="7A15518D">
      <w:pPr>
        <w:keepNext w:val="0"/>
        <w:keepLines w:val="0"/>
        <w:pageBreakBefore w:val="0"/>
        <w:widowControl w:val="0"/>
        <w:kinsoku/>
        <w:wordWrap/>
        <w:overflowPunct/>
        <w:topLinePunct w:val="0"/>
        <w:autoSpaceDE/>
        <w:autoSpaceDN/>
        <w:bidi w:val="0"/>
        <w:adjustRightInd w:val="0"/>
        <w:snapToGrid w:val="0"/>
        <w:spacing w:before="313" w:beforeLines="100" w:line="560" w:lineRule="exact"/>
        <w:ind w:left="0" w:right="0" w:firstLine="0" w:firstLineChars="0"/>
        <w:jc w:val="center"/>
        <w:textAlignment w:val="auto"/>
        <w:rPr>
          <w:rFonts w:hint="default" w:ascii="Times New Roman" w:hAnsi="Times New Roman" w:eastAsia="仿宋_GB2312" w:cs="Times New Roman"/>
          <w:spacing w:val="0"/>
          <w:w w:val="100"/>
          <w:sz w:val="32"/>
          <w:szCs w:val="32"/>
        </w:rPr>
      </w:pPr>
      <w:bookmarkStart w:id="305" w:name="_GoBack"/>
      <w:bookmarkEnd w:id="305"/>
      <w:r>
        <w:rPr>
          <w:rFonts w:hint="default" w:ascii="Times New Roman" w:hAnsi="Times New Roman" w:eastAsia="仿宋_GB2312" w:cs="Times New Roman"/>
          <w:spacing w:val="0"/>
          <w:w w:val="100"/>
          <w:sz w:val="32"/>
          <w:szCs w:val="32"/>
        </w:rPr>
        <w:t>源政</w:t>
      </w:r>
      <w:r>
        <w:rPr>
          <w:rFonts w:hint="eastAsia" w:ascii="Times New Roman" w:hAnsi="Times New Roman" w:cs="Times New Roman"/>
          <w:spacing w:val="0"/>
          <w:w w:val="100"/>
          <w:sz w:val="32"/>
          <w:szCs w:val="32"/>
          <w:lang w:val="en-US" w:eastAsia="zh-CN"/>
        </w:rPr>
        <w:t>发</w:t>
      </w:r>
      <w:r>
        <w:rPr>
          <w:rFonts w:hint="default" w:ascii="Times New Roman" w:hAnsi="Times New Roman" w:eastAsia="仿宋_GB2312" w:cs="Times New Roman"/>
          <w:spacing w:val="0"/>
          <w:w w:val="100"/>
          <w:sz w:val="32"/>
          <w:szCs w:val="32"/>
        </w:rPr>
        <w:t>〔202</w:t>
      </w:r>
      <w:r>
        <w:rPr>
          <w:rFonts w:hint="eastAsia" w:ascii="Times New Roman" w:hAnsi="Times New Roman" w:cs="Times New Roman"/>
          <w:spacing w:val="0"/>
          <w:w w:val="100"/>
          <w:sz w:val="32"/>
          <w:szCs w:val="32"/>
          <w:lang w:val="en-US" w:eastAsia="zh-CN"/>
        </w:rPr>
        <w:t>6</w:t>
      </w:r>
      <w:r>
        <w:rPr>
          <w:rFonts w:hint="default" w:ascii="Times New Roman" w:hAnsi="Times New Roman" w:eastAsia="仿宋_GB2312" w:cs="Times New Roman"/>
          <w:spacing w:val="0"/>
          <w:w w:val="100"/>
          <w:sz w:val="32"/>
          <w:szCs w:val="32"/>
        </w:rPr>
        <w:t>〕</w:t>
      </w:r>
      <w:r>
        <w:rPr>
          <w:rFonts w:hint="eastAsia" w:ascii="Times New Roman" w:hAnsi="Times New Roman" w:cs="Times New Roman"/>
          <w:spacing w:val="0"/>
          <w:w w:val="100"/>
          <w:sz w:val="32"/>
          <w:szCs w:val="32"/>
          <w:lang w:val="en-US" w:eastAsia="zh-CN"/>
        </w:rPr>
        <w:t>1</w:t>
      </w:r>
      <w:r>
        <w:rPr>
          <w:rFonts w:hint="default" w:ascii="Times New Roman" w:hAnsi="Times New Roman" w:eastAsia="仿宋_GB2312" w:cs="Times New Roman"/>
          <w:spacing w:val="0"/>
          <w:w w:val="100"/>
          <w:sz w:val="32"/>
          <w:szCs w:val="32"/>
        </w:rPr>
        <w:t>号</w:t>
      </w:r>
    </w:p>
    <w:p w14:paraId="4010F17D">
      <w:pPr>
        <w:keepNext w:val="0"/>
        <w:keepLines w:val="0"/>
        <w:pageBreakBefore w:val="0"/>
        <w:kinsoku/>
        <w:overflowPunct/>
        <w:topLinePunct w:val="0"/>
        <w:autoSpaceDE/>
        <w:autoSpaceDN/>
        <w:bidi w:val="0"/>
        <w:adjustRightInd w:val="0"/>
        <w:snapToGrid w:val="0"/>
        <w:spacing w:line="560" w:lineRule="exact"/>
        <w:ind w:left="0" w:right="0"/>
        <w:jc w:val="center"/>
        <w:textAlignment w:val="auto"/>
        <w:rPr>
          <w:rFonts w:ascii="宋体" w:hAnsi="宋体" w:cs="宋体"/>
          <w:spacing w:val="0"/>
          <w:w w:val="100"/>
          <w:sz w:val="44"/>
          <w:szCs w:val="44"/>
        </w:rPr>
      </w:pPr>
    </w:p>
    <w:p w14:paraId="4C3139EF">
      <w:pPr>
        <w:keepNext w:val="0"/>
        <w:keepLines w:val="0"/>
        <w:pageBreakBefore w:val="0"/>
        <w:kinsoku/>
        <w:overflowPunct/>
        <w:topLinePunct w:val="0"/>
        <w:autoSpaceDE/>
        <w:autoSpaceDN/>
        <w:bidi w:val="0"/>
        <w:adjustRightInd w:val="0"/>
        <w:snapToGrid w:val="0"/>
        <w:spacing w:line="560" w:lineRule="exact"/>
        <w:ind w:left="0" w:right="0"/>
        <w:jc w:val="center"/>
        <w:textAlignment w:val="auto"/>
        <w:rPr>
          <w:rFonts w:ascii="宋体" w:hAnsi="宋体" w:cs="宋体"/>
          <w:spacing w:val="0"/>
          <w:w w:val="100"/>
          <w:sz w:val="44"/>
          <w:szCs w:val="44"/>
        </w:rPr>
      </w:pPr>
    </w:p>
    <w:p w14:paraId="1F8817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0" w:afterLines="0" w:afterAutospacing="0" w:line="560" w:lineRule="exact"/>
        <w:ind w:right="0" w:firstLine="0" w:firstLineChars="0"/>
        <w:jc w:val="center"/>
        <w:textAlignment w:val="auto"/>
        <w:rPr>
          <w:rFonts w:hint="default" w:ascii="Times New Roman" w:hAnsi="Times New Roman" w:eastAsia="方正小标宋简体" w:cs="Times New Roman"/>
          <w:b w:val="0"/>
          <w:bCs w:val="0"/>
          <w:color w:val="1F2329"/>
          <w:sz w:val="44"/>
          <w:szCs w:val="44"/>
          <w:highlight w:val="none"/>
        </w:rPr>
      </w:pPr>
      <w:r>
        <w:rPr>
          <w:rFonts w:hint="default" w:ascii="Times New Roman" w:hAnsi="Times New Roman" w:eastAsia="方正小标宋简体" w:cs="Times New Roman"/>
          <w:b w:val="0"/>
          <w:bCs w:val="0"/>
          <w:color w:val="1F2329"/>
          <w:sz w:val="44"/>
          <w:szCs w:val="44"/>
          <w:highlight w:val="none"/>
          <w:lang w:val="en-US" w:eastAsia="zh-CN"/>
        </w:rPr>
        <w:t>沂源县</w:t>
      </w:r>
      <w:r>
        <w:rPr>
          <w:rFonts w:hint="default" w:ascii="Times New Roman" w:hAnsi="Times New Roman" w:eastAsia="方正小标宋简体" w:cs="Times New Roman"/>
          <w:b w:val="0"/>
          <w:bCs w:val="0"/>
          <w:color w:val="1F2329"/>
          <w:sz w:val="44"/>
          <w:szCs w:val="44"/>
          <w:highlight w:val="none"/>
        </w:rPr>
        <w:t>人民政府</w:t>
      </w:r>
      <w:bookmarkEnd w:id="0"/>
    </w:p>
    <w:p w14:paraId="70F142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0" w:afterLines="0" w:afterAutospacing="0" w:line="560" w:lineRule="exact"/>
        <w:ind w:right="0" w:firstLine="0" w:firstLineChars="0"/>
        <w:jc w:val="center"/>
        <w:textAlignment w:val="auto"/>
        <w:rPr>
          <w:rFonts w:hint="default" w:ascii="Times New Roman" w:hAnsi="Times New Roman" w:eastAsia="方正小标宋简体" w:cs="Times New Roman"/>
          <w:b w:val="0"/>
          <w:bCs w:val="0"/>
          <w:spacing w:val="11"/>
          <w:sz w:val="44"/>
          <w:szCs w:val="44"/>
          <w:highlight w:val="none"/>
          <w:lang w:val="en-US" w:eastAsia="zh-CN"/>
        </w:rPr>
      </w:pPr>
      <w:bookmarkStart w:id="1" w:name="_Toc26451"/>
      <w:r>
        <w:rPr>
          <w:rFonts w:hint="default" w:ascii="Times New Roman" w:hAnsi="Times New Roman" w:eastAsia="方正小标宋简体" w:cs="Times New Roman"/>
          <w:b w:val="0"/>
          <w:bCs w:val="0"/>
          <w:color w:val="1F2329"/>
          <w:sz w:val="44"/>
          <w:szCs w:val="44"/>
          <w:highlight w:val="none"/>
        </w:rPr>
        <w:t>关于</w:t>
      </w:r>
      <w:r>
        <w:rPr>
          <w:rFonts w:hint="default" w:ascii="Times New Roman" w:hAnsi="Times New Roman" w:eastAsia="方正小标宋简体" w:cs="Times New Roman"/>
          <w:b w:val="0"/>
          <w:bCs w:val="0"/>
          <w:color w:val="1F2329"/>
          <w:sz w:val="44"/>
          <w:szCs w:val="44"/>
          <w:highlight w:val="none"/>
          <w:lang w:val="en-US" w:eastAsia="zh-CN"/>
        </w:rPr>
        <w:t>印发《沂源县国民经济和社会发展</w:t>
      </w:r>
      <w:bookmarkEnd w:id="1"/>
    </w:p>
    <w:p w14:paraId="57CDF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center"/>
        <w:textAlignment w:val="auto"/>
        <w:rPr>
          <w:rFonts w:hint="default" w:ascii="Times New Roman" w:hAnsi="Times New Roman" w:eastAsia="仿宋_GB2312" w:cs="Times New Roman"/>
          <w:color w:val="1F2329"/>
          <w:kern w:val="0"/>
          <w:sz w:val="32"/>
          <w:szCs w:val="32"/>
          <w:highlight w:val="none"/>
          <w:lang w:val="en-US" w:eastAsia="zh-CN" w:bidi="ar"/>
        </w:rPr>
      </w:pPr>
      <w:r>
        <w:rPr>
          <w:rFonts w:hint="default" w:ascii="Times New Roman" w:hAnsi="Times New Roman" w:eastAsia="方正小标宋简体" w:cs="Times New Roman"/>
          <w:b w:val="0"/>
          <w:bCs w:val="0"/>
          <w:color w:val="1F2329"/>
          <w:sz w:val="44"/>
          <w:szCs w:val="44"/>
          <w:highlight w:val="none"/>
        </w:rPr>
        <w:t>第十五个五年规划纲要》的通知</w:t>
      </w:r>
    </w:p>
    <w:p w14:paraId="79EDA797">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default" w:ascii="Times New Roman" w:hAnsi="Times New Roman" w:eastAsia="仿宋_GB2312" w:cs="Times New Roman"/>
          <w:color w:val="auto"/>
          <w:spacing w:val="0"/>
          <w:kern w:val="0"/>
          <w:sz w:val="32"/>
          <w:szCs w:val="32"/>
          <w:highlight w:val="none"/>
          <w:lang w:val="en-US" w:eastAsia="zh-CN"/>
        </w:rPr>
      </w:pPr>
    </w:p>
    <w:p w14:paraId="30B113B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default" w:ascii="Times New Roman" w:hAnsi="Times New Roman" w:eastAsia="仿宋_GB2312" w:cs="Times New Roman"/>
          <w:color w:val="auto"/>
          <w:spacing w:val="0"/>
          <w:kern w:val="0"/>
          <w:sz w:val="32"/>
          <w:szCs w:val="32"/>
          <w:highlight w:val="none"/>
          <w:lang w:val="en-US" w:eastAsia="zh-CN"/>
        </w:rPr>
      </w:pPr>
      <w:r>
        <w:rPr>
          <w:rFonts w:hint="default" w:ascii="Times New Roman" w:hAnsi="Times New Roman" w:eastAsia="仿宋_GB2312" w:cs="Times New Roman"/>
          <w:color w:val="auto"/>
          <w:spacing w:val="0"/>
          <w:kern w:val="0"/>
          <w:sz w:val="32"/>
          <w:szCs w:val="32"/>
          <w:highlight w:val="none"/>
          <w:lang w:val="en-US" w:eastAsia="zh-CN"/>
        </w:rPr>
        <w:t>各镇人民政府，各街道办事处，经济开发区管委会，县</w:t>
      </w:r>
      <w:r>
        <w:rPr>
          <w:rFonts w:hint="eastAsia" w:ascii="Times New Roman" w:hAnsi="Times New Roman" w:cs="Times New Roman"/>
          <w:color w:val="auto"/>
          <w:spacing w:val="0"/>
          <w:kern w:val="0"/>
          <w:sz w:val="32"/>
          <w:szCs w:val="32"/>
          <w:highlight w:val="none"/>
          <w:lang w:val="en-US" w:eastAsia="zh-CN"/>
        </w:rPr>
        <w:t>人民</w:t>
      </w:r>
      <w:r>
        <w:rPr>
          <w:rFonts w:hint="default" w:ascii="Times New Roman" w:hAnsi="Times New Roman" w:eastAsia="仿宋_GB2312" w:cs="Times New Roman"/>
          <w:color w:val="auto"/>
          <w:spacing w:val="0"/>
          <w:kern w:val="0"/>
          <w:sz w:val="32"/>
          <w:szCs w:val="32"/>
          <w:highlight w:val="none"/>
          <w:lang w:val="en-US" w:eastAsia="zh-CN"/>
        </w:rPr>
        <w:t>政府各部门，各有关单位：</w:t>
      </w:r>
    </w:p>
    <w:p w14:paraId="70D630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0" w:afterLines="0" w:afterAutospacing="0" w:line="520" w:lineRule="exact"/>
        <w:ind w:right="0" w:firstLine="640" w:firstLineChars="200"/>
        <w:jc w:val="both"/>
        <w:textAlignment w:val="auto"/>
        <w:rPr>
          <w:rFonts w:hint="default" w:ascii="Times New Roman" w:hAnsi="Times New Roman" w:eastAsia="仿宋_GB2312" w:cs="Times New Roman"/>
          <w:color w:val="auto"/>
          <w:sz w:val="32"/>
          <w:szCs w:val="32"/>
          <w:highlight w:val="none"/>
          <w:lang w:eastAsia="zh-CN"/>
        </w:rPr>
      </w:pPr>
      <w:bookmarkStart w:id="2" w:name="_Toc21458"/>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沂源县国民经济和社会发展</w:t>
      </w:r>
      <w:r>
        <w:rPr>
          <w:rFonts w:hint="default" w:ascii="Times New Roman" w:hAnsi="Times New Roman" w:eastAsia="仿宋_GB2312" w:cs="Times New Roman"/>
          <w:color w:val="auto"/>
          <w:sz w:val="32"/>
          <w:szCs w:val="32"/>
          <w:highlight w:val="none"/>
        </w:rPr>
        <w:t>第十五个五年规划纲要》</w:t>
      </w:r>
      <w:r>
        <w:rPr>
          <w:rFonts w:hint="default" w:ascii="Times New Roman" w:hAnsi="Times New Roman" w:eastAsia="仿宋_GB2312" w:cs="Times New Roman"/>
          <w:color w:val="auto"/>
          <w:sz w:val="32"/>
          <w:szCs w:val="32"/>
          <w:highlight w:val="none"/>
          <w:lang w:eastAsia="zh-CN"/>
        </w:rPr>
        <w:t>已经县第十九届人民代表大会第六次会议审查批准，现</w:t>
      </w:r>
      <w:r>
        <w:rPr>
          <w:rFonts w:hint="default" w:ascii="Times New Roman" w:hAnsi="Times New Roman" w:eastAsia="仿宋_GB2312" w:cs="Times New Roman"/>
          <w:color w:val="auto"/>
          <w:sz w:val="32"/>
          <w:szCs w:val="32"/>
          <w:highlight w:val="none"/>
        </w:rPr>
        <w:t>印发给你们，</w:t>
      </w:r>
      <w:r>
        <w:rPr>
          <w:rFonts w:hint="default" w:ascii="Times New Roman" w:hAnsi="Times New Roman" w:eastAsia="仿宋_GB2312" w:cs="Times New Roman"/>
          <w:color w:val="auto"/>
          <w:sz w:val="32"/>
          <w:szCs w:val="32"/>
          <w:highlight w:val="none"/>
          <w:lang w:eastAsia="zh-CN"/>
        </w:rPr>
        <w:t>请</w:t>
      </w:r>
      <w:r>
        <w:rPr>
          <w:rFonts w:hint="default" w:ascii="Times New Roman" w:hAnsi="Times New Roman" w:eastAsia="仿宋_GB2312" w:cs="Times New Roman"/>
          <w:color w:val="auto"/>
          <w:sz w:val="32"/>
          <w:szCs w:val="32"/>
          <w:highlight w:val="none"/>
        </w:rPr>
        <w:t>认真</w:t>
      </w:r>
      <w:r>
        <w:rPr>
          <w:rFonts w:hint="default" w:ascii="Times New Roman" w:hAnsi="Times New Roman" w:eastAsia="仿宋_GB2312" w:cs="Times New Roman"/>
          <w:color w:val="auto"/>
          <w:sz w:val="32"/>
          <w:szCs w:val="32"/>
          <w:highlight w:val="none"/>
          <w:lang w:eastAsia="zh-CN"/>
        </w:rPr>
        <w:t>贯彻</w:t>
      </w:r>
      <w:r>
        <w:rPr>
          <w:rFonts w:hint="default" w:ascii="Times New Roman" w:hAnsi="Times New Roman" w:eastAsia="仿宋_GB2312" w:cs="Times New Roman"/>
          <w:color w:val="auto"/>
          <w:sz w:val="32"/>
          <w:szCs w:val="32"/>
          <w:highlight w:val="none"/>
          <w:lang w:val="en-US" w:eastAsia="zh-CN"/>
        </w:rPr>
        <w:t>执行</w:t>
      </w:r>
      <w:r>
        <w:rPr>
          <w:rFonts w:hint="default" w:ascii="Times New Roman" w:hAnsi="Times New Roman" w:eastAsia="仿宋_GB2312" w:cs="Times New Roman"/>
          <w:color w:val="auto"/>
          <w:sz w:val="32"/>
          <w:szCs w:val="32"/>
          <w:highlight w:val="none"/>
        </w:rPr>
        <w:t>。</w:t>
      </w:r>
      <w:bookmarkEnd w:id="2"/>
    </w:p>
    <w:p w14:paraId="64BB82C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p>
    <w:p w14:paraId="1DC1AEC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p>
    <w:p w14:paraId="19C0B44B">
      <w:pPr>
        <w:keepNext w:val="0"/>
        <w:keepLines w:val="0"/>
        <w:pageBreakBefore w:val="0"/>
        <w:widowControl w:val="0"/>
        <w:kinsoku/>
        <w:wordWrap/>
        <w:overflowPunct/>
        <w:topLinePunct w:val="0"/>
        <w:autoSpaceDE/>
        <w:autoSpaceDN/>
        <w:bidi w:val="0"/>
        <w:adjustRightInd/>
        <w:snapToGrid/>
        <w:spacing w:line="520" w:lineRule="exact"/>
        <w:ind w:left="0" w:leftChars="0" w:firstLine="5760" w:firstLineChars="1800"/>
        <w:jc w:val="both"/>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eastAsia="zh-CN"/>
        </w:rPr>
        <w:t>沂源县人民政府</w:t>
      </w:r>
      <w:r>
        <w:rPr>
          <w:rFonts w:hint="default" w:ascii="Times New Roman" w:hAnsi="Times New Roman" w:eastAsia="仿宋_GB2312" w:cs="Times New Roman"/>
          <w:b w:val="0"/>
          <w:bCs w:val="0"/>
          <w:color w:val="auto"/>
          <w:kern w:val="0"/>
          <w:sz w:val="32"/>
          <w:szCs w:val="32"/>
          <w:highlight w:val="none"/>
          <w:lang w:val="en-US" w:eastAsia="zh-CN"/>
        </w:rPr>
        <w:t xml:space="preserve">  </w:t>
      </w:r>
      <w:r>
        <w:rPr>
          <w:rFonts w:hint="eastAsia" w:ascii="Times New Roman" w:hAnsi="Times New Roman" w:cs="Times New Roman"/>
          <w:b w:val="0"/>
          <w:bCs w:val="0"/>
          <w:color w:val="auto"/>
          <w:kern w:val="0"/>
          <w:sz w:val="32"/>
          <w:szCs w:val="32"/>
          <w:highlight w:val="none"/>
          <w:lang w:val="en-US" w:eastAsia="zh-CN"/>
        </w:rPr>
        <w:t xml:space="preserve"> </w:t>
      </w:r>
      <w:r>
        <w:rPr>
          <w:rFonts w:hint="default" w:ascii="Times New Roman" w:hAnsi="Times New Roman" w:eastAsia="仿宋_GB2312" w:cs="Times New Roman"/>
          <w:b w:val="0"/>
          <w:bCs w:val="0"/>
          <w:color w:val="auto"/>
          <w:kern w:val="0"/>
          <w:sz w:val="32"/>
          <w:szCs w:val="32"/>
          <w:highlight w:val="none"/>
          <w:lang w:val="en-US" w:eastAsia="zh-CN"/>
        </w:rPr>
        <w:t xml:space="preserve">     </w:t>
      </w:r>
    </w:p>
    <w:p w14:paraId="3E8D00D5">
      <w:pPr>
        <w:keepNext w:val="0"/>
        <w:keepLines w:val="0"/>
        <w:pageBreakBefore w:val="0"/>
        <w:widowControl w:val="0"/>
        <w:kinsoku/>
        <w:wordWrap/>
        <w:overflowPunct/>
        <w:topLinePunct w:val="0"/>
        <w:autoSpaceDE/>
        <w:autoSpaceDN/>
        <w:bidi w:val="0"/>
        <w:adjustRightInd/>
        <w:snapToGrid/>
        <w:spacing w:line="520" w:lineRule="exact"/>
        <w:ind w:right="0" w:rightChars="0" w:firstLine="5692" w:firstLineChars="1779"/>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2026年</w:t>
      </w:r>
      <w:r>
        <w:rPr>
          <w:rFonts w:hint="eastAsia" w:ascii="Times New Roman" w:hAnsi="Times New Roman" w:cs="Times New Roman"/>
          <w:b w:val="0"/>
          <w:bCs w:val="0"/>
          <w:color w:val="auto"/>
          <w:kern w:val="0"/>
          <w:sz w:val="32"/>
          <w:szCs w:val="32"/>
          <w:highlight w:val="none"/>
          <w:lang w:val="en-US" w:eastAsia="zh-CN"/>
        </w:rPr>
        <w:t>7</w:t>
      </w:r>
      <w:r>
        <w:rPr>
          <w:rFonts w:hint="default" w:ascii="Times New Roman" w:hAnsi="Times New Roman" w:eastAsia="仿宋_GB2312" w:cs="Times New Roman"/>
          <w:b w:val="0"/>
          <w:bCs w:val="0"/>
          <w:color w:val="auto"/>
          <w:kern w:val="0"/>
          <w:sz w:val="32"/>
          <w:szCs w:val="32"/>
          <w:highlight w:val="none"/>
          <w:lang w:val="en-US" w:eastAsia="zh-CN"/>
        </w:rPr>
        <w:t>月</w:t>
      </w:r>
      <w:r>
        <w:rPr>
          <w:rFonts w:hint="eastAsia" w:ascii="Times New Roman" w:hAnsi="Times New Roman" w:cs="Times New Roman"/>
          <w:b w:val="0"/>
          <w:bCs w:val="0"/>
          <w:color w:val="auto"/>
          <w:kern w:val="0"/>
          <w:sz w:val="32"/>
          <w:szCs w:val="32"/>
          <w:highlight w:val="none"/>
          <w:lang w:val="en-US" w:eastAsia="zh-CN"/>
        </w:rPr>
        <w:t>18</w:t>
      </w:r>
      <w:r>
        <w:rPr>
          <w:rFonts w:hint="default" w:ascii="Times New Roman" w:hAnsi="Times New Roman" w:eastAsia="仿宋_GB2312" w:cs="Times New Roman"/>
          <w:b w:val="0"/>
          <w:bCs w:val="0"/>
          <w:color w:val="auto"/>
          <w:kern w:val="0"/>
          <w:sz w:val="32"/>
          <w:szCs w:val="32"/>
          <w:highlight w:val="none"/>
          <w:lang w:val="en-US" w:eastAsia="zh-CN"/>
        </w:rPr>
        <w:t>日</w:t>
      </w:r>
    </w:p>
    <w:p w14:paraId="07ED78C5">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default" w:ascii="Times New Roman" w:hAnsi="Times New Roman" w:cs="Times New Roman"/>
          <w:highlight w:val="none"/>
          <w:lang w:val="en-US" w:eastAsia="zh-CN"/>
        </w:rPr>
      </w:pPr>
      <w:r>
        <w:rPr>
          <w:rFonts w:hint="default" w:ascii="Times New Roman" w:hAnsi="Times New Roman" w:cs="Times New Roman"/>
          <w:b w:val="0"/>
          <w:bCs w:val="0"/>
          <w:color w:val="auto"/>
          <w:kern w:val="0"/>
          <w:sz w:val="32"/>
          <w:szCs w:val="32"/>
          <w:highlight w:val="none"/>
          <w:lang w:val="en-US" w:eastAsia="zh-CN"/>
        </w:rPr>
        <w:t>（此件公开发布）</w:t>
      </w:r>
    </w:p>
    <w:p w14:paraId="7B2DB5C6">
      <w:pPr>
        <w:rPr>
          <w:rFonts w:hint="default" w:ascii="Times New Roman" w:hAnsi="Times New Roman" w:cs="Times New Roman"/>
          <w:b w:val="0"/>
          <w:bCs w:val="0"/>
          <w:sz w:val="44"/>
          <w:szCs w:val="44"/>
          <w:highlight w:val="none"/>
        </w:rPr>
        <w:sectPr>
          <w:footerReference r:id="rId5" w:type="default"/>
          <w:footnotePr>
            <w:numFmt w:val="decimal"/>
          </w:footnotePr>
          <w:type w:val="continuous"/>
          <w:pgSz w:w="11906" w:h="16838"/>
          <w:pgMar w:top="1984" w:right="1531" w:bottom="1701" w:left="1531" w:header="851" w:footer="1389"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853E3C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方正小标宋简体" w:cs="Times New Roman"/>
          <w:b w:val="0"/>
          <w:bCs w:val="0"/>
          <w:color w:val="auto"/>
          <w:sz w:val="44"/>
          <w:szCs w:val="44"/>
          <w:highlight w:val="none"/>
        </w:rPr>
        <w:t>沂源县国民经济和社会发展</w:t>
      </w:r>
      <w:r>
        <w:rPr>
          <w:rFonts w:hint="default" w:ascii="Times New Roman" w:hAnsi="Times New Roman" w:eastAsia="方正小标宋简体" w:cs="Times New Roman"/>
          <w:b w:val="0"/>
          <w:bCs w:val="0"/>
          <w:color w:val="auto"/>
          <w:sz w:val="44"/>
          <w:szCs w:val="44"/>
          <w:highlight w:val="none"/>
        </w:rPr>
        <w:br w:type="textWrapping"/>
      </w:r>
      <w:r>
        <w:rPr>
          <w:rFonts w:hint="default" w:ascii="Times New Roman" w:hAnsi="Times New Roman" w:eastAsia="方正小标宋简体" w:cs="Times New Roman"/>
          <w:b w:val="0"/>
          <w:bCs w:val="0"/>
          <w:color w:val="auto"/>
          <w:sz w:val="44"/>
          <w:szCs w:val="44"/>
          <w:highlight w:val="none"/>
        </w:rPr>
        <w:t>第十五个五年规划纲要</w:t>
      </w:r>
    </w:p>
    <w:p w14:paraId="40868EA5">
      <w:pPr>
        <w:pStyle w:val="2"/>
        <w:keepNext/>
        <w:keepLines/>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方正小标宋简体" w:cs="Times New Roman"/>
          <w:b w:val="0"/>
          <w:bCs w:val="0"/>
          <w:color w:val="auto"/>
          <w:sz w:val="44"/>
          <w:szCs w:val="44"/>
          <w:highlight w:val="none"/>
        </w:rPr>
      </w:pPr>
    </w:p>
    <w:p w14:paraId="4BCC6BBD">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目</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录</w:t>
      </w:r>
    </w:p>
    <w:sdt>
      <w:sdtPr>
        <w:rPr>
          <w:rFonts w:hint="default" w:ascii="Times New Roman" w:hAnsi="Times New Roman" w:eastAsia="宋体" w:cs="Times New Roman"/>
          <w:kern w:val="2"/>
          <w:sz w:val="21"/>
          <w:szCs w:val="24"/>
          <w:highlight w:val="none"/>
          <w:lang w:val="en-US" w:eastAsia="zh-CN" w:bidi="ar-SA"/>
        </w:rPr>
        <w:id w:val="147462934"/>
        <w15:color w:val="DBDBDB"/>
        <w:docPartObj>
          <w:docPartGallery w:val="Table of Contents"/>
          <w:docPartUnique/>
        </w:docPartObj>
      </w:sdtPr>
      <w:sdtEndPr>
        <w:rPr>
          <w:rFonts w:hint="default" w:ascii="Times New Roman" w:hAnsi="Times New Roman" w:eastAsia="仿宋_GB2312" w:cs="Times New Roman"/>
          <w:bCs w:val="0"/>
          <w:kern w:val="2"/>
          <w:sz w:val="36"/>
          <w:szCs w:val="28"/>
          <w:highlight w:val="none"/>
          <w:lang w:val="en-US" w:eastAsia="zh-CN" w:bidi="ar-SA"/>
        </w:rPr>
      </w:sdtEndPr>
      <w:sdtContent>
        <w:p w14:paraId="74EFAAE1">
          <w:pPr>
            <w:keepNext w:val="0"/>
            <w:keepLines w:val="0"/>
            <w:pageBreakBefore w:val="0"/>
            <w:widowControl w:val="0"/>
            <w:kinsoku/>
            <w:wordWrap/>
            <w:overflowPunct/>
            <w:topLinePunct w:val="0"/>
            <w:autoSpaceDE/>
            <w:autoSpaceDN/>
            <w:bidi w:val="0"/>
            <w:adjustRightInd/>
            <w:snapToGrid/>
            <w:spacing w:line="200" w:lineRule="exact"/>
            <w:ind w:right="6400" w:rightChars="2000" w:firstLine="0" w:firstLineChars="0"/>
            <w:jc w:val="distribute"/>
            <w:textAlignment w:val="auto"/>
            <w:rPr>
              <w:rFonts w:hint="default" w:ascii="Times New Roman" w:hAnsi="Times New Roman" w:eastAsia="方正小标宋简体" w:cs="Times New Roman"/>
              <w:sz w:val="48"/>
              <w:szCs w:val="48"/>
              <w:highlight w:val="none"/>
            </w:rPr>
          </w:pPr>
        </w:p>
        <w:p w14:paraId="304CFB71">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highlight w:val="none"/>
            </w:rPr>
          </w:pPr>
          <w:r>
            <w:rPr>
              <w:rFonts w:hint="default" w:ascii="Times New Roman" w:hAnsi="Times New Roman" w:eastAsia="仿宋_GB2312" w:cs="Times New Roman"/>
              <w:b w:val="0"/>
              <w:bCs w:val="0"/>
              <w:sz w:val="32"/>
              <w:szCs w:val="32"/>
              <w:highlight w:val="none"/>
            </w:rPr>
            <w:fldChar w:fldCharType="begin"/>
          </w:r>
          <w:r>
            <w:rPr>
              <w:rFonts w:hint="default" w:ascii="Times New Roman" w:hAnsi="Times New Roman" w:eastAsia="仿宋_GB2312" w:cs="Times New Roman"/>
              <w:b w:val="0"/>
              <w:bCs w:val="0"/>
              <w:sz w:val="32"/>
              <w:szCs w:val="32"/>
              <w:highlight w:val="none"/>
            </w:rPr>
            <w:instrText xml:space="preserve">TOC \o "1-2" \h \u </w:instrText>
          </w:r>
          <w:r>
            <w:rPr>
              <w:rFonts w:hint="default" w:ascii="Times New Roman" w:hAnsi="Times New Roman" w:eastAsia="仿宋_GB2312" w:cs="Times New Roman"/>
              <w:b w:val="0"/>
              <w:bCs w:val="0"/>
              <w:sz w:val="32"/>
              <w:szCs w:val="32"/>
              <w:highlight w:val="none"/>
            </w:rPr>
            <w:fldChar w:fldCharType="separate"/>
          </w: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_Toc6387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highlight w:val="none"/>
              <w:lang w:val="en-US" w:eastAsia="zh-CN"/>
            </w:rPr>
            <w:t>第一章  “十五五”时期是推进现代化强县建设的关键时期</w:t>
          </w:r>
          <w:r>
            <w:rPr>
              <w:rFonts w:hint="default" w:ascii="Times New Roman" w:hAnsi="Times New Roman" w:eastAsia="黑体" w:cs="Times New Roman"/>
              <w:bCs w:val="0"/>
              <w:szCs w:val="32"/>
              <w:highlight w:val="none"/>
            </w:rPr>
            <w:fldChar w:fldCharType="end"/>
          </w:r>
        </w:p>
        <w:p w14:paraId="7546CD7C">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_Toc18662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发展基础</w:t>
          </w:r>
          <w:r>
            <w:rPr>
              <w:rFonts w:hint="default" w:ascii="Times New Roman" w:hAnsi="Times New Roman" w:eastAsia="仿宋_GB2312" w:cs="Times New Roman"/>
              <w:bCs w:val="0"/>
              <w:szCs w:val="32"/>
              <w:highlight w:val="none"/>
            </w:rPr>
            <w:fldChar w:fldCharType="end"/>
          </w:r>
        </w:p>
        <w:p w14:paraId="377AC391">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_Toc7546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发展环境</w:t>
          </w:r>
          <w:r>
            <w:rPr>
              <w:rFonts w:hint="default" w:ascii="Times New Roman" w:hAnsi="Times New Roman" w:eastAsia="仿宋_GB2312" w:cs="Times New Roman"/>
              <w:bCs w:val="0"/>
              <w:szCs w:val="32"/>
              <w:highlight w:val="none"/>
            </w:rPr>
            <w:fldChar w:fldCharType="end"/>
          </w:r>
        </w:p>
        <w:p w14:paraId="07909F22">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_Toc2852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指导思想</w:t>
          </w:r>
          <w:r>
            <w:rPr>
              <w:rFonts w:hint="default" w:ascii="Times New Roman" w:hAnsi="Times New Roman" w:eastAsia="仿宋_GB2312" w:cs="Times New Roman"/>
              <w:bCs w:val="0"/>
              <w:szCs w:val="32"/>
              <w:highlight w:val="none"/>
            </w:rPr>
            <w:fldChar w:fldCharType="end"/>
          </w:r>
        </w:p>
        <w:p w14:paraId="02F62C4D">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_Toc30185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第四节  基本原则</w:t>
          </w:r>
          <w:r>
            <w:rPr>
              <w:rFonts w:hint="default" w:ascii="Times New Roman" w:hAnsi="Times New Roman" w:eastAsia="仿宋_GB2312" w:cs="Times New Roman"/>
              <w:bCs w:val="0"/>
              <w:szCs w:val="32"/>
              <w:highlight w:val="none"/>
            </w:rPr>
            <w:fldChar w:fldCharType="end"/>
          </w:r>
        </w:p>
        <w:p w14:paraId="2C7BFD7C">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_Toc30852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第五节  主要目标</w:t>
          </w:r>
          <w:r>
            <w:rPr>
              <w:rFonts w:hint="default" w:ascii="Times New Roman" w:hAnsi="Times New Roman" w:eastAsia="仿宋_GB2312" w:cs="Times New Roman"/>
              <w:bCs w:val="0"/>
              <w:szCs w:val="32"/>
              <w:highlight w:val="none"/>
            </w:rPr>
            <w:fldChar w:fldCharType="end"/>
          </w:r>
        </w:p>
        <w:p w14:paraId="50C85922">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_Toc19810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highlight w:val="none"/>
              <w:lang w:val="en-US" w:eastAsia="zh-CN"/>
            </w:rPr>
            <w:t xml:space="preserve">第二章  </w:t>
          </w:r>
          <w:r>
            <w:rPr>
              <w:rFonts w:hint="default" w:ascii="Times New Roman" w:hAnsi="Times New Roman" w:eastAsia="黑体" w:cs="Times New Roman"/>
              <w:highlight w:val="none"/>
            </w:rPr>
            <w:t>聚焦壮大实体经济根基</w:t>
          </w:r>
          <w:r>
            <w:rPr>
              <w:rFonts w:hint="default" w:ascii="Times New Roman" w:hAnsi="Times New Roman" w:eastAsia="黑体" w:cs="Times New Roman"/>
              <w:highlight w:val="none"/>
              <w:lang w:eastAsia="zh-CN"/>
            </w:rPr>
            <w:t>，</w:t>
          </w:r>
          <w:r>
            <w:rPr>
              <w:rFonts w:hint="default" w:ascii="Times New Roman" w:hAnsi="Times New Roman" w:eastAsia="黑体" w:cs="Times New Roman"/>
              <w:highlight w:val="none"/>
            </w:rPr>
            <w:t>构建现代化产业体系</w:t>
          </w:r>
          <w:r>
            <w:rPr>
              <w:rFonts w:hint="default" w:ascii="Times New Roman" w:hAnsi="Times New Roman" w:eastAsia="黑体" w:cs="Times New Roman"/>
              <w:bCs w:val="0"/>
              <w:szCs w:val="32"/>
              <w:highlight w:val="none"/>
            </w:rPr>
            <w:fldChar w:fldCharType="end"/>
          </w:r>
        </w:p>
        <w:p w14:paraId="2DBD1C10">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_Toc2150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第一节</w:t>
          </w:r>
          <w:r>
            <w:rPr>
              <w:rFonts w:hint="default" w:ascii="Times New Roman" w:hAnsi="Times New Roman" w:eastAsia="仿宋_GB2312" w:cs="Times New Roman"/>
              <w:highlight w:val="none"/>
              <w:lang w:val="en-US" w:eastAsia="zh-CN"/>
            </w:rPr>
            <w:t xml:space="preserve">  聚力打造制造业优势产业集群</w:t>
          </w:r>
          <w:r>
            <w:rPr>
              <w:rFonts w:hint="default" w:ascii="Times New Roman" w:hAnsi="Times New Roman" w:eastAsia="仿宋_GB2312" w:cs="Times New Roman"/>
              <w:bCs w:val="0"/>
              <w:szCs w:val="32"/>
              <w:highlight w:val="none"/>
            </w:rPr>
            <w:fldChar w:fldCharType="end"/>
          </w:r>
        </w:p>
        <w:p w14:paraId="43DF6BB7">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_Toc31596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第二节  进一步壮大现代服务业产业规模</w:t>
          </w:r>
          <w:r>
            <w:rPr>
              <w:rFonts w:hint="default" w:ascii="Times New Roman" w:hAnsi="Times New Roman" w:eastAsia="仿宋_GB2312" w:cs="Times New Roman"/>
              <w:bCs w:val="0"/>
              <w:szCs w:val="32"/>
              <w:highlight w:val="none"/>
            </w:rPr>
            <w:fldChar w:fldCharType="end"/>
          </w:r>
        </w:p>
        <w:p w14:paraId="4BD83E39">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_Toc854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超前谋划一批新兴未来产业</w:t>
          </w:r>
          <w:r>
            <w:rPr>
              <w:rFonts w:hint="default" w:ascii="Times New Roman" w:hAnsi="Times New Roman" w:eastAsia="仿宋_GB2312" w:cs="Times New Roman"/>
              <w:bCs w:val="0"/>
              <w:szCs w:val="32"/>
              <w:highlight w:val="none"/>
            </w:rPr>
            <w:fldChar w:fldCharType="end"/>
          </w:r>
        </w:p>
        <w:p w14:paraId="7A4DDF5C">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_Toc8471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w:t>
          </w:r>
          <w:r>
            <w:rPr>
              <w:rFonts w:hint="default" w:ascii="Times New Roman" w:hAnsi="Times New Roman" w:eastAsia="仿宋_GB2312" w:cs="Times New Roman"/>
              <w:highlight w:val="none"/>
              <w:lang w:val="en-US" w:eastAsia="zh-CN"/>
            </w:rPr>
            <w:t>四</w:t>
          </w:r>
          <w:r>
            <w:rPr>
              <w:rFonts w:hint="default" w:ascii="Times New Roman" w:hAnsi="Times New Roman" w:eastAsia="仿宋_GB2312" w:cs="Times New Roman"/>
              <w:highlight w:val="none"/>
            </w:rPr>
            <w:t>节</w:t>
          </w:r>
          <w:r>
            <w:rPr>
              <w:rFonts w:hint="default"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rPr>
            <w:t xml:space="preserve"> 做优做强园区平台矩阵</w:t>
          </w:r>
          <w:r>
            <w:rPr>
              <w:rFonts w:hint="default" w:ascii="Times New Roman" w:hAnsi="Times New Roman" w:eastAsia="仿宋_GB2312" w:cs="Times New Roman"/>
              <w:bCs w:val="0"/>
              <w:szCs w:val="32"/>
              <w:highlight w:val="none"/>
            </w:rPr>
            <w:fldChar w:fldCharType="end"/>
          </w:r>
        </w:p>
        <w:p w14:paraId="12E2ED82">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_Toc24073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highlight w:val="none"/>
              <w:lang w:val="en-US" w:eastAsia="zh-CN"/>
            </w:rPr>
            <w:t>第三章  聚焦深化创新驱动发展战略，打造科技创新新高地</w:t>
          </w:r>
          <w:r>
            <w:rPr>
              <w:rFonts w:hint="default" w:ascii="Times New Roman" w:hAnsi="Times New Roman" w:eastAsia="黑体" w:cs="Times New Roman"/>
              <w:bCs w:val="0"/>
              <w:szCs w:val="32"/>
              <w:highlight w:val="none"/>
            </w:rPr>
            <w:fldChar w:fldCharType="end"/>
          </w:r>
        </w:p>
        <w:p w14:paraId="4D6BFAF6">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_Toc127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推动科技创新与产业创新深度融合</w:t>
          </w:r>
          <w:r>
            <w:rPr>
              <w:rFonts w:hint="default" w:ascii="Times New Roman" w:hAnsi="Times New Roman" w:eastAsia="仿宋_GB2312" w:cs="Times New Roman"/>
              <w:bCs w:val="0"/>
              <w:szCs w:val="32"/>
              <w:highlight w:val="none"/>
            </w:rPr>
            <w:fldChar w:fldCharType="end"/>
          </w:r>
        </w:p>
        <w:p w14:paraId="1B498656">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_Toc31078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一体推进教育科技人才发展</w:t>
          </w:r>
          <w:r>
            <w:rPr>
              <w:rFonts w:hint="default" w:ascii="Times New Roman" w:hAnsi="Times New Roman" w:eastAsia="仿宋_GB2312" w:cs="Times New Roman"/>
              <w:bCs w:val="0"/>
              <w:szCs w:val="32"/>
              <w:highlight w:val="none"/>
            </w:rPr>
            <w:fldChar w:fldCharType="end"/>
          </w:r>
        </w:p>
        <w:p w14:paraId="05CC7BB7">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_Toc26954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深入推进数字沂源建设</w:t>
          </w:r>
          <w:r>
            <w:rPr>
              <w:rFonts w:hint="default" w:ascii="Times New Roman" w:hAnsi="Times New Roman" w:eastAsia="仿宋_GB2312" w:cs="Times New Roman"/>
              <w:bCs w:val="0"/>
              <w:szCs w:val="32"/>
              <w:highlight w:val="none"/>
            </w:rPr>
            <w:fldChar w:fldCharType="end"/>
          </w:r>
        </w:p>
        <w:p w14:paraId="4208E45A">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_Toc22407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rPr>
            <w:t>第</w:t>
          </w:r>
          <w:r>
            <w:rPr>
              <w:rFonts w:hint="default" w:ascii="Times New Roman" w:hAnsi="Times New Roman" w:eastAsia="黑体" w:cs="Times New Roman"/>
              <w:bCs w:val="0"/>
              <w:szCs w:val="32"/>
              <w:highlight w:val="none"/>
              <w:lang w:val="en-US" w:eastAsia="zh-CN"/>
            </w:rPr>
            <w:t>四</w:t>
          </w:r>
          <w:r>
            <w:rPr>
              <w:rFonts w:hint="default" w:ascii="Times New Roman" w:hAnsi="Times New Roman" w:eastAsia="黑体" w:cs="Times New Roman"/>
              <w:bCs w:val="0"/>
              <w:szCs w:val="32"/>
              <w:highlight w:val="none"/>
            </w:rPr>
            <w:t>章  聚焦持续扩大内需</w:t>
          </w:r>
          <w:r>
            <w:rPr>
              <w:rFonts w:hint="default" w:ascii="Times New Roman" w:hAnsi="Times New Roman" w:eastAsia="黑体" w:cs="Times New Roman"/>
              <w:bCs w:val="0"/>
              <w:szCs w:val="32"/>
              <w:highlight w:val="none"/>
              <w:lang w:eastAsia="zh-CN"/>
            </w:rPr>
            <w:t>，</w:t>
          </w:r>
          <w:r>
            <w:rPr>
              <w:rFonts w:hint="default" w:ascii="Times New Roman" w:hAnsi="Times New Roman" w:eastAsia="黑体" w:cs="Times New Roman"/>
              <w:bCs w:val="0"/>
              <w:szCs w:val="32"/>
              <w:highlight w:val="none"/>
            </w:rPr>
            <w:t>更好服务和融入新发展格局</w:t>
          </w:r>
          <w:r>
            <w:rPr>
              <w:rFonts w:hint="default" w:ascii="Times New Roman" w:hAnsi="Times New Roman" w:eastAsia="黑体" w:cs="Times New Roman"/>
              <w:bCs w:val="0"/>
              <w:szCs w:val="32"/>
              <w:highlight w:val="none"/>
            </w:rPr>
            <w:fldChar w:fldCharType="end"/>
          </w:r>
        </w:p>
        <w:p w14:paraId="0C105C06">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_Toc10757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第一节  促进消费提质扩容</w:t>
          </w:r>
          <w:r>
            <w:rPr>
              <w:rFonts w:hint="default" w:ascii="Times New Roman" w:hAnsi="Times New Roman" w:eastAsia="仿宋_GB2312" w:cs="Times New Roman"/>
              <w:bCs w:val="0"/>
              <w:szCs w:val="32"/>
              <w:highlight w:val="none"/>
            </w:rPr>
            <w:fldChar w:fldCharType="end"/>
          </w:r>
        </w:p>
        <w:p w14:paraId="18B5150E">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_Toc5658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第二节  积极扩大有效投资</w:t>
          </w:r>
          <w:r>
            <w:rPr>
              <w:rFonts w:hint="default" w:ascii="Times New Roman" w:hAnsi="Times New Roman" w:eastAsia="仿宋_GB2312" w:cs="Times New Roman"/>
              <w:bCs w:val="0"/>
              <w:szCs w:val="32"/>
              <w:highlight w:val="none"/>
            </w:rPr>
            <w:fldChar w:fldCharType="end"/>
          </w:r>
        </w:p>
        <w:p w14:paraId="7FC2F114">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_Toc13721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第三节  主动融入和服务全国统一大市场建设</w:t>
          </w:r>
          <w:r>
            <w:rPr>
              <w:rFonts w:hint="default" w:ascii="Times New Roman" w:hAnsi="Times New Roman" w:eastAsia="仿宋_GB2312" w:cs="Times New Roman"/>
              <w:bCs w:val="0"/>
              <w:szCs w:val="32"/>
              <w:highlight w:val="none"/>
            </w:rPr>
            <w:fldChar w:fldCharType="end"/>
          </w:r>
        </w:p>
        <w:p w14:paraId="35770648">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_Toc16534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第五章  聚焦深化改革开放，不断增强市场活力和发展动力</w:t>
          </w:r>
          <w:r>
            <w:rPr>
              <w:rFonts w:hint="default" w:ascii="Times New Roman" w:hAnsi="Times New Roman" w:eastAsia="黑体" w:cs="Times New Roman"/>
              <w:bCs w:val="0"/>
              <w:szCs w:val="32"/>
              <w:highlight w:val="none"/>
            </w:rPr>
            <w:fldChar w:fldCharType="end"/>
          </w:r>
        </w:p>
        <w:p w14:paraId="73B32926">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_Toc25895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充分激发各类经营主体活力</w:t>
          </w:r>
          <w:r>
            <w:rPr>
              <w:rFonts w:hint="default" w:ascii="Times New Roman" w:hAnsi="Times New Roman" w:eastAsia="仿宋_GB2312" w:cs="Times New Roman"/>
              <w:bCs w:val="0"/>
              <w:szCs w:val="32"/>
              <w:highlight w:val="none"/>
            </w:rPr>
            <w:fldChar w:fldCharType="end"/>
          </w:r>
        </w:p>
        <w:p w14:paraId="66DCD94D">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_Toc24842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加快推进重点领域和关键环节改革</w:t>
          </w:r>
          <w:r>
            <w:rPr>
              <w:rFonts w:hint="default" w:ascii="Times New Roman" w:hAnsi="Times New Roman" w:eastAsia="仿宋_GB2312" w:cs="Times New Roman"/>
              <w:bCs w:val="0"/>
              <w:szCs w:val="32"/>
              <w:highlight w:val="none"/>
            </w:rPr>
            <w:fldChar w:fldCharType="end"/>
          </w:r>
        </w:p>
        <w:p w14:paraId="53043C0E">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_Toc16912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持续提升对外开放水平</w:t>
          </w:r>
          <w:r>
            <w:rPr>
              <w:rFonts w:hint="default" w:ascii="Times New Roman" w:hAnsi="Times New Roman" w:eastAsia="仿宋_GB2312" w:cs="Times New Roman"/>
              <w:bCs w:val="0"/>
              <w:szCs w:val="32"/>
              <w:highlight w:val="none"/>
            </w:rPr>
            <w:fldChar w:fldCharType="end"/>
          </w:r>
        </w:p>
        <w:p w14:paraId="46828518">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_Toc11425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第六章  聚焦加快农业农村现代化，扎实推进乡村全面振兴</w:t>
          </w:r>
          <w:r>
            <w:rPr>
              <w:rFonts w:hint="default" w:ascii="Times New Roman" w:hAnsi="Times New Roman" w:eastAsia="黑体" w:cs="Times New Roman"/>
              <w:bCs w:val="0"/>
              <w:szCs w:val="32"/>
              <w:highlight w:val="none"/>
            </w:rPr>
            <w:fldChar w:fldCharType="end"/>
          </w:r>
        </w:p>
        <w:p w14:paraId="2E107714">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_Toc24821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着力推动乡村产业高质量发展</w:t>
          </w:r>
          <w:r>
            <w:rPr>
              <w:rFonts w:hint="default" w:ascii="Times New Roman" w:hAnsi="Times New Roman" w:eastAsia="仿宋_GB2312" w:cs="Times New Roman"/>
              <w:bCs w:val="0"/>
              <w:szCs w:val="32"/>
              <w:highlight w:val="none"/>
            </w:rPr>
            <w:fldChar w:fldCharType="end"/>
          </w:r>
        </w:p>
        <w:p w14:paraId="6749C444">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_Toc24047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着力建设宜居宜业和美乡村</w:t>
          </w:r>
          <w:r>
            <w:rPr>
              <w:rFonts w:hint="default" w:ascii="Times New Roman" w:hAnsi="Times New Roman" w:eastAsia="仿宋_GB2312" w:cs="Times New Roman"/>
              <w:bCs w:val="0"/>
              <w:szCs w:val="32"/>
              <w:highlight w:val="none"/>
            </w:rPr>
            <w:fldChar w:fldCharType="end"/>
          </w:r>
        </w:p>
        <w:p w14:paraId="254F44B3">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_Toc21112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着力提升乡村治理水平</w:t>
          </w:r>
          <w:r>
            <w:rPr>
              <w:rFonts w:hint="default" w:ascii="Times New Roman" w:hAnsi="Times New Roman" w:eastAsia="仿宋_GB2312" w:cs="Times New Roman"/>
              <w:bCs w:val="0"/>
              <w:szCs w:val="32"/>
              <w:highlight w:val="none"/>
            </w:rPr>
            <w:fldChar w:fldCharType="end"/>
          </w:r>
        </w:p>
        <w:p w14:paraId="0785A5F8">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_Toc19280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第四节  着力提升要素保障能力</w:t>
          </w:r>
          <w:r>
            <w:rPr>
              <w:rFonts w:hint="default" w:ascii="Times New Roman" w:hAnsi="Times New Roman" w:eastAsia="仿宋_GB2312" w:cs="Times New Roman"/>
              <w:bCs w:val="0"/>
              <w:szCs w:val="32"/>
              <w:highlight w:val="none"/>
            </w:rPr>
            <w:fldChar w:fldCharType="end"/>
          </w:r>
        </w:p>
        <w:p w14:paraId="436948E9">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_Toc9628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rPr>
            <w:t>第</w:t>
          </w:r>
          <w:r>
            <w:rPr>
              <w:rFonts w:hint="default" w:ascii="Times New Roman" w:hAnsi="Times New Roman" w:eastAsia="黑体" w:cs="Times New Roman"/>
              <w:bCs w:val="0"/>
              <w:szCs w:val="32"/>
              <w:highlight w:val="none"/>
              <w:lang w:val="en-US" w:eastAsia="zh-CN"/>
            </w:rPr>
            <w:t>七</w:t>
          </w:r>
          <w:r>
            <w:rPr>
              <w:rFonts w:hint="default" w:ascii="Times New Roman" w:hAnsi="Times New Roman" w:eastAsia="黑体" w:cs="Times New Roman"/>
              <w:bCs w:val="0"/>
              <w:szCs w:val="32"/>
              <w:highlight w:val="none"/>
            </w:rPr>
            <w:t xml:space="preserve">章  </w:t>
          </w:r>
          <w:r>
            <w:rPr>
              <w:rFonts w:hint="default" w:ascii="Times New Roman" w:hAnsi="Times New Roman" w:eastAsia="黑体" w:cs="Times New Roman"/>
              <w:bCs w:val="0"/>
              <w:szCs w:val="32"/>
              <w:highlight w:val="none"/>
              <w:lang w:val="en-US" w:eastAsia="zh-CN"/>
            </w:rPr>
            <w:t>聚焦</w:t>
          </w:r>
          <w:r>
            <w:rPr>
              <w:rFonts w:hint="default" w:ascii="Times New Roman" w:hAnsi="Times New Roman" w:eastAsia="黑体" w:cs="Times New Roman"/>
              <w:bCs w:val="0"/>
              <w:szCs w:val="32"/>
              <w:highlight w:val="none"/>
            </w:rPr>
            <w:t>强化</w:t>
          </w:r>
          <w:r>
            <w:rPr>
              <w:rFonts w:hint="default" w:ascii="Times New Roman" w:hAnsi="Times New Roman" w:eastAsia="黑体" w:cs="Times New Roman"/>
              <w:bCs w:val="0"/>
              <w:szCs w:val="32"/>
              <w:highlight w:val="none"/>
              <w:lang w:val="en-US" w:eastAsia="zh-CN"/>
            </w:rPr>
            <w:t>内涵式发展，</w:t>
          </w:r>
          <w:r>
            <w:rPr>
              <w:rFonts w:hint="default" w:ascii="Times New Roman" w:hAnsi="Times New Roman" w:eastAsia="黑体" w:cs="Times New Roman"/>
              <w:bCs w:val="0"/>
              <w:szCs w:val="32"/>
              <w:highlight w:val="none"/>
            </w:rPr>
            <w:t>全面提升城市功能品质</w:t>
          </w:r>
          <w:r>
            <w:rPr>
              <w:rFonts w:hint="default" w:ascii="Times New Roman" w:hAnsi="Times New Roman" w:eastAsia="黑体" w:cs="Times New Roman"/>
              <w:bCs w:val="0"/>
              <w:szCs w:val="32"/>
              <w:highlight w:val="none"/>
            </w:rPr>
            <w:fldChar w:fldCharType="end"/>
          </w:r>
        </w:p>
        <w:p w14:paraId="77D376BE">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_Toc12205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稳步推进城市更新行动</w:t>
          </w:r>
          <w:r>
            <w:rPr>
              <w:rFonts w:hint="default" w:ascii="Times New Roman" w:hAnsi="Times New Roman" w:eastAsia="仿宋_GB2312" w:cs="Times New Roman"/>
              <w:bCs w:val="0"/>
              <w:szCs w:val="32"/>
              <w:highlight w:val="none"/>
            </w:rPr>
            <w:fldChar w:fldCharType="end"/>
          </w:r>
        </w:p>
        <w:p w14:paraId="729A6042">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_Toc20551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提升基础设施服务水平</w:t>
          </w:r>
          <w:r>
            <w:rPr>
              <w:rFonts w:hint="default" w:ascii="Times New Roman" w:hAnsi="Times New Roman" w:eastAsia="仿宋_GB2312" w:cs="Times New Roman"/>
              <w:bCs w:val="0"/>
              <w:szCs w:val="32"/>
              <w:highlight w:val="none"/>
            </w:rPr>
            <w:fldChar w:fldCharType="end"/>
          </w:r>
        </w:p>
        <w:p w14:paraId="3590F319">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_Toc21767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提升城市精细化管理水平</w:t>
          </w:r>
          <w:r>
            <w:rPr>
              <w:rFonts w:hint="default" w:ascii="Times New Roman" w:hAnsi="Times New Roman" w:eastAsia="仿宋_GB2312" w:cs="Times New Roman"/>
              <w:bCs w:val="0"/>
              <w:szCs w:val="32"/>
              <w:highlight w:val="none"/>
            </w:rPr>
            <w:fldChar w:fldCharType="end"/>
          </w:r>
        </w:p>
        <w:p w14:paraId="7299D13D">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_Toc27218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第四节  加快推进农业转移人口市民化</w:t>
          </w:r>
          <w:r>
            <w:rPr>
              <w:rFonts w:hint="default" w:ascii="Times New Roman" w:hAnsi="Times New Roman" w:eastAsia="仿宋_GB2312" w:cs="Times New Roman"/>
              <w:bCs w:val="0"/>
              <w:szCs w:val="32"/>
              <w:highlight w:val="none"/>
            </w:rPr>
            <w:fldChar w:fldCharType="end"/>
          </w:r>
        </w:p>
        <w:p w14:paraId="647D2A05">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_Toc31294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rPr>
            <w:t>第</w:t>
          </w:r>
          <w:r>
            <w:rPr>
              <w:rFonts w:hint="default" w:ascii="Times New Roman" w:hAnsi="Times New Roman" w:eastAsia="黑体" w:cs="Times New Roman"/>
              <w:bCs w:val="0"/>
              <w:szCs w:val="32"/>
              <w:highlight w:val="none"/>
              <w:lang w:val="en-US" w:eastAsia="zh-CN"/>
            </w:rPr>
            <w:t>八</w:t>
          </w:r>
          <w:r>
            <w:rPr>
              <w:rFonts w:hint="default" w:ascii="Times New Roman" w:hAnsi="Times New Roman" w:eastAsia="黑体" w:cs="Times New Roman"/>
              <w:bCs w:val="0"/>
              <w:szCs w:val="32"/>
              <w:highlight w:val="none"/>
            </w:rPr>
            <w:t xml:space="preserve">章  </w:t>
          </w:r>
          <w:r>
            <w:rPr>
              <w:rFonts w:hint="default" w:ascii="Times New Roman" w:hAnsi="Times New Roman" w:eastAsia="黑体" w:cs="Times New Roman"/>
              <w:bCs w:val="0"/>
              <w:szCs w:val="32"/>
              <w:highlight w:val="none"/>
              <w:lang w:val="en-US" w:eastAsia="zh-CN"/>
            </w:rPr>
            <w:t>聚焦</w:t>
          </w:r>
          <w:r>
            <w:rPr>
              <w:rFonts w:hint="default" w:ascii="Times New Roman" w:hAnsi="Times New Roman" w:eastAsia="黑体" w:cs="Times New Roman"/>
              <w:bCs w:val="0"/>
              <w:szCs w:val="32"/>
              <w:highlight w:val="none"/>
            </w:rPr>
            <w:t>彰显文化魅力</w:t>
          </w:r>
          <w:r>
            <w:rPr>
              <w:rFonts w:hint="default" w:ascii="Times New Roman" w:hAnsi="Times New Roman" w:eastAsia="黑体" w:cs="Times New Roman"/>
              <w:bCs w:val="0"/>
              <w:szCs w:val="32"/>
              <w:highlight w:val="none"/>
              <w:lang w:eastAsia="zh-CN"/>
            </w:rPr>
            <w:t>，</w:t>
          </w:r>
          <w:r>
            <w:rPr>
              <w:rFonts w:hint="default" w:ascii="Times New Roman" w:hAnsi="Times New Roman" w:eastAsia="黑体" w:cs="Times New Roman"/>
              <w:bCs w:val="0"/>
              <w:szCs w:val="32"/>
              <w:highlight w:val="none"/>
            </w:rPr>
            <w:t>推动旅游产业高质量发展</w:t>
          </w:r>
          <w:r>
            <w:rPr>
              <w:rFonts w:hint="default" w:ascii="Times New Roman" w:hAnsi="Times New Roman" w:eastAsia="黑体" w:cs="Times New Roman"/>
              <w:bCs w:val="0"/>
              <w:szCs w:val="32"/>
              <w:highlight w:val="none"/>
            </w:rPr>
            <w:fldChar w:fldCharType="end"/>
          </w:r>
        </w:p>
        <w:p w14:paraId="1141B838">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_Toc27589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筑牢沂源文旅融合文化根基</w:t>
          </w:r>
          <w:r>
            <w:rPr>
              <w:rFonts w:hint="default" w:ascii="Times New Roman" w:hAnsi="Times New Roman" w:eastAsia="仿宋_GB2312" w:cs="Times New Roman"/>
              <w:bCs w:val="0"/>
              <w:szCs w:val="32"/>
              <w:highlight w:val="none"/>
            </w:rPr>
            <w:fldChar w:fldCharType="end"/>
          </w:r>
        </w:p>
        <w:p w14:paraId="703ADBEF">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_Toc16704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构建全域旅游发展新格局</w:t>
          </w:r>
          <w:r>
            <w:rPr>
              <w:rFonts w:hint="default" w:ascii="Times New Roman" w:hAnsi="Times New Roman" w:eastAsia="仿宋_GB2312" w:cs="Times New Roman"/>
              <w:bCs w:val="0"/>
              <w:szCs w:val="32"/>
              <w:highlight w:val="none"/>
            </w:rPr>
            <w:fldChar w:fldCharType="end"/>
          </w:r>
        </w:p>
        <w:p w14:paraId="17CC4436">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_Toc22734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 xml:space="preserve">第三节  </w:t>
          </w:r>
          <w:r>
            <w:rPr>
              <w:rFonts w:hint="eastAsia" w:ascii="Times New Roman" w:hAnsi="Times New Roman" w:cs="Times New Roman"/>
              <w:highlight w:val="none"/>
              <w:lang w:val="en-US" w:eastAsia="zh-CN"/>
            </w:rPr>
            <w:t>培育</w:t>
          </w:r>
          <w:r>
            <w:rPr>
              <w:rFonts w:hint="default" w:ascii="Times New Roman" w:hAnsi="Times New Roman" w:eastAsia="仿宋_GB2312" w:cs="Times New Roman"/>
              <w:highlight w:val="none"/>
              <w:lang w:val="en-US" w:eastAsia="zh-CN"/>
            </w:rPr>
            <w:t>文旅农商融合新型业态</w:t>
          </w:r>
          <w:r>
            <w:rPr>
              <w:rFonts w:hint="default" w:ascii="Times New Roman" w:hAnsi="Times New Roman" w:eastAsia="仿宋_GB2312" w:cs="Times New Roman"/>
              <w:bCs w:val="0"/>
              <w:szCs w:val="32"/>
              <w:highlight w:val="none"/>
            </w:rPr>
            <w:fldChar w:fldCharType="end"/>
          </w:r>
        </w:p>
        <w:p w14:paraId="3FD7AD62">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_Toc18322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 xml:space="preserve">第四节  </w:t>
          </w:r>
          <w:r>
            <w:rPr>
              <w:rFonts w:hint="eastAsia" w:ascii="Times New Roman" w:hAnsi="Times New Roman" w:cs="Times New Roman"/>
              <w:highlight w:val="none"/>
              <w:lang w:val="en-US" w:eastAsia="zh-CN"/>
            </w:rPr>
            <w:t>完善</w:t>
          </w:r>
          <w:r>
            <w:rPr>
              <w:rFonts w:hint="default" w:ascii="Times New Roman" w:hAnsi="Times New Roman" w:eastAsia="仿宋_GB2312" w:cs="Times New Roman"/>
              <w:highlight w:val="none"/>
              <w:lang w:val="en-US" w:eastAsia="zh-CN"/>
            </w:rPr>
            <w:t>全域旅游发展服务体系</w:t>
          </w:r>
          <w:r>
            <w:rPr>
              <w:rFonts w:hint="default" w:ascii="Times New Roman" w:hAnsi="Times New Roman" w:eastAsia="仿宋_GB2312" w:cs="Times New Roman"/>
              <w:bCs w:val="0"/>
              <w:szCs w:val="32"/>
              <w:highlight w:val="none"/>
            </w:rPr>
            <w:fldChar w:fldCharType="end"/>
          </w:r>
        </w:p>
        <w:p w14:paraId="52451CB3">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_Toc8877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第九章  聚焦增进民生福祉，建设更有温度的幸福沂源</w:t>
          </w:r>
          <w:r>
            <w:rPr>
              <w:rFonts w:hint="default" w:ascii="Times New Roman" w:hAnsi="Times New Roman" w:eastAsia="黑体" w:cs="Times New Roman"/>
              <w:bCs w:val="0"/>
              <w:szCs w:val="32"/>
              <w:highlight w:val="none"/>
            </w:rPr>
            <w:fldChar w:fldCharType="end"/>
          </w:r>
        </w:p>
        <w:p w14:paraId="36BEBC27">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_Toc1050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第一节  大力推进稳就业增收入</w:t>
          </w:r>
          <w:r>
            <w:rPr>
              <w:rFonts w:hint="default" w:ascii="Times New Roman" w:hAnsi="Times New Roman" w:eastAsia="仿宋_GB2312" w:cs="Times New Roman"/>
              <w:bCs w:val="0"/>
              <w:szCs w:val="32"/>
              <w:highlight w:val="none"/>
            </w:rPr>
            <w:fldChar w:fldCharType="end"/>
          </w:r>
        </w:p>
        <w:p w14:paraId="363996AA">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_Toc3270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第二节  构建高质量教育体系</w:t>
          </w:r>
          <w:r>
            <w:rPr>
              <w:rFonts w:hint="default" w:ascii="Times New Roman" w:hAnsi="Times New Roman" w:eastAsia="仿宋_GB2312" w:cs="Times New Roman"/>
              <w:bCs w:val="0"/>
              <w:szCs w:val="32"/>
              <w:highlight w:val="none"/>
            </w:rPr>
            <w:fldChar w:fldCharType="end"/>
          </w:r>
        </w:p>
        <w:p w14:paraId="50D8D2E1">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_Toc7262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第三节  扎实推进</w:t>
          </w:r>
          <w:r>
            <w:rPr>
              <w:rFonts w:hint="default" w:ascii="Times New Roman" w:hAnsi="Times New Roman" w:eastAsia="仿宋_GB2312" w:cs="Times New Roman"/>
              <w:highlight w:val="none"/>
              <w:lang w:val="en-US" w:eastAsia="zh-CN"/>
            </w:rPr>
            <w:t>健康沂源建设</w:t>
          </w:r>
          <w:r>
            <w:rPr>
              <w:rFonts w:hint="default" w:ascii="Times New Roman" w:hAnsi="Times New Roman" w:eastAsia="仿宋_GB2312" w:cs="Times New Roman"/>
              <w:bCs w:val="0"/>
              <w:szCs w:val="32"/>
              <w:highlight w:val="none"/>
            </w:rPr>
            <w:fldChar w:fldCharType="end"/>
          </w:r>
        </w:p>
        <w:p w14:paraId="02D4505D">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_Toc8050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第四节  织密扎牢社会保障体系</w:t>
          </w:r>
          <w:r>
            <w:rPr>
              <w:rFonts w:hint="default" w:ascii="Times New Roman" w:hAnsi="Times New Roman" w:eastAsia="仿宋_GB2312" w:cs="Times New Roman"/>
              <w:bCs w:val="0"/>
              <w:szCs w:val="32"/>
              <w:highlight w:val="none"/>
            </w:rPr>
            <w:fldChar w:fldCharType="end"/>
          </w:r>
        </w:p>
        <w:p w14:paraId="473E78DE">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_Toc13456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第五节  全面推动人口高质量发展</w:t>
          </w:r>
          <w:r>
            <w:rPr>
              <w:rFonts w:hint="default" w:ascii="Times New Roman" w:hAnsi="Times New Roman" w:eastAsia="仿宋_GB2312" w:cs="Times New Roman"/>
              <w:bCs w:val="0"/>
              <w:szCs w:val="32"/>
              <w:highlight w:val="none"/>
            </w:rPr>
            <w:fldChar w:fldCharType="end"/>
          </w:r>
        </w:p>
        <w:p w14:paraId="2A99EC0C">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_Toc15956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第十章  聚焦加快绿色发展，着力打造齐鲁生态高地</w:t>
          </w:r>
          <w:r>
            <w:rPr>
              <w:rFonts w:hint="default" w:ascii="Times New Roman" w:hAnsi="Times New Roman" w:eastAsia="黑体" w:cs="Times New Roman"/>
              <w:bCs w:val="0"/>
              <w:szCs w:val="32"/>
              <w:highlight w:val="none"/>
            </w:rPr>
            <w:fldChar w:fldCharType="end"/>
          </w:r>
        </w:p>
        <w:p w14:paraId="0053E5B1">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_Toc6430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筑牢鲁中生态安全屏障</w:t>
          </w:r>
          <w:r>
            <w:rPr>
              <w:rFonts w:hint="default" w:ascii="Times New Roman" w:hAnsi="Times New Roman" w:eastAsia="仿宋_GB2312" w:cs="Times New Roman"/>
              <w:bCs w:val="0"/>
              <w:szCs w:val="32"/>
              <w:highlight w:val="none"/>
            </w:rPr>
            <w:fldChar w:fldCharType="end"/>
          </w:r>
        </w:p>
        <w:p w14:paraId="7D0EF62E">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_Toc26159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坚决打好打赢污染防治攻坚战</w:t>
          </w:r>
          <w:r>
            <w:rPr>
              <w:rFonts w:hint="default" w:ascii="Times New Roman" w:hAnsi="Times New Roman" w:eastAsia="仿宋_GB2312" w:cs="Times New Roman"/>
              <w:bCs w:val="0"/>
              <w:szCs w:val="32"/>
              <w:highlight w:val="none"/>
            </w:rPr>
            <w:fldChar w:fldCharType="end"/>
          </w:r>
        </w:p>
        <w:p w14:paraId="17C9C24C">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_Toc21921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全力推进绿色低碳循环发展</w:t>
          </w:r>
          <w:r>
            <w:rPr>
              <w:rFonts w:hint="default" w:ascii="Times New Roman" w:hAnsi="Times New Roman" w:eastAsia="仿宋_GB2312" w:cs="Times New Roman"/>
              <w:bCs w:val="0"/>
              <w:szCs w:val="32"/>
              <w:highlight w:val="none"/>
            </w:rPr>
            <w:fldChar w:fldCharType="end"/>
          </w:r>
        </w:p>
        <w:p w14:paraId="49EC6C71">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_Toc30353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第四节  健全生态环境治理体制机制</w:t>
          </w:r>
          <w:r>
            <w:rPr>
              <w:rFonts w:hint="default" w:ascii="Times New Roman" w:hAnsi="Times New Roman" w:eastAsia="仿宋_GB2312" w:cs="Times New Roman"/>
              <w:bCs w:val="0"/>
              <w:szCs w:val="32"/>
              <w:highlight w:val="none"/>
            </w:rPr>
            <w:fldChar w:fldCharType="end"/>
          </w:r>
        </w:p>
        <w:p w14:paraId="0FB9C62E">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_Toc11355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第十一章  聚焦筑牢安全之基，保障社会大局和谐稳定</w:t>
          </w:r>
          <w:r>
            <w:rPr>
              <w:rFonts w:hint="default" w:ascii="Times New Roman" w:hAnsi="Times New Roman" w:eastAsia="黑体" w:cs="Times New Roman"/>
              <w:bCs w:val="0"/>
              <w:szCs w:val="32"/>
              <w:highlight w:val="none"/>
            </w:rPr>
            <w:fldChar w:fldCharType="end"/>
          </w:r>
        </w:p>
        <w:p w14:paraId="7FFEAB7B">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_Toc19932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第一节  防范化解重大风险</w:t>
          </w:r>
          <w:r>
            <w:rPr>
              <w:rFonts w:hint="default" w:ascii="Times New Roman" w:hAnsi="Times New Roman" w:eastAsia="仿宋_GB2312" w:cs="Times New Roman"/>
              <w:bCs w:val="0"/>
              <w:szCs w:val="32"/>
              <w:highlight w:val="none"/>
            </w:rPr>
            <w:fldChar w:fldCharType="end"/>
          </w:r>
        </w:p>
        <w:p w14:paraId="74F150B7">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_Toc15021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第二节  加强和创新社会治理</w:t>
          </w:r>
          <w:r>
            <w:rPr>
              <w:rFonts w:hint="default" w:ascii="Times New Roman" w:hAnsi="Times New Roman" w:eastAsia="仿宋_GB2312" w:cs="Times New Roman"/>
              <w:bCs w:val="0"/>
              <w:szCs w:val="32"/>
              <w:highlight w:val="none"/>
            </w:rPr>
            <w:fldChar w:fldCharType="end"/>
          </w:r>
        </w:p>
        <w:p w14:paraId="465248C9">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_Toc29286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lang w:val="en-US" w:eastAsia="zh-CN"/>
            </w:rPr>
            <w:t>第三节  推进法治政府和法治社会建设</w:t>
          </w:r>
          <w:r>
            <w:rPr>
              <w:rFonts w:hint="default" w:ascii="Times New Roman" w:hAnsi="Times New Roman" w:eastAsia="仿宋_GB2312" w:cs="Times New Roman"/>
              <w:bCs w:val="0"/>
              <w:szCs w:val="32"/>
              <w:highlight w:val="none"/>
            </w:rPr>
            <w:fldChar w:fldCharType="end"/>
          </w:r>
        </w:p>
        <w:p w14:paraId="2C9E66CA">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bCs w:val="0"/>
              <w:szCs w:val="32"/>
              <w:highlight w:val="none"/>
            </w:rPr>
          </w:pPr>
          <w:r>
            <w:rPr>
              <w:rFonts w:hint="default" w:ascii="Times New Roman" w:hAnsi="Times New Roman" w:eastAsia="黑体" w:cs="Times New Roman"/>
              <w:bCs w:val="0"/>
              <w:szCs w:val="32"/>
              <w:highlight w:val="none"/>
            </w:rPr>
            <w:fldChar w:fldCharType="begin"/>
          </w:r>
          <w:r>
            <w:rPr>
              <w:rFonts w:hint="default" w:ascii="Times New Roman" w:hAnsi="Times New Roman" w:eastAsia="黑体" w:cs="Times New Roman"/>
              <w:bCs w:val="0"/>
              <w:szCs w:val="32"/>
              <w:highlight w:val="none"/>
            </w:rPr>
            <w:instrText xml:space="preserve"> HYPERLINK \l _Toc14889 </w:instrText>
          </w:r>
          <w:r>
            <w:rPr>
              <w:rFonts w:hint="default" w:ascii="Times New Roman" w:hAnsi="Times New Roman" w:eastAsia="黑体" w:cs="Times New Roman"/>
              <w:bCs w:val="0"/>
              <w:szCs w:val="32"/>
              <w:highlight w:val="none"/>
            </w:rPr>
            <w:fldChar w:fldCharType="separate"/>
          </w:r>
          <w:r>
            <w:rPr>
              <w:rFonts w:hint="default" w:ascii="Times New Roman" w:hAnsi="Times New Roman" w:eastAsia="黑体" w:cs="Times New Roman"/>
              <w:bCs w:val="0"/>
              <w:szCs w:val="32"/>
              <w:highlight w:val="none"/>
              <w:lang w:val="en-US" w:eastAsia="zh-CN"/>
            </w:rPr>
            <w:t>第十二章  坚持奋发有为，确保规划目标顺利实现</w:t>
          </w:r>
          <w:r>
            <w:rPr>
              <w:rFonts w:hint="default" w:ascii="Times New Roman" w:hAnsi="Times New Roman" w:eastAsia="黑体" w:cs="Times New Roman"/>
              <w:bCs w:val="0"/>
              <w:szCs w:val="32"/>
              <w:highlight w:val="none"/>
            </w:rPr>
            <w:fldChar w:fldCharType="end"/>
          </w:r>
        </w:p>
        <w:p w14:paraId="6094D51C">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_Toc6600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 xml:space="preserve">第一节 </w:t>
          </w:r>
          <w:r>
            <w:rPr>
              <w:rFonts w:hint="default"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rPr>
            <w:t>加强党的领导</w:t>
          </w:r>
          <w:r>
            <w:rPr>
              <w:rFonts w:hint="default" w:ascii="Times New Roman" w:hAnsi="Times New Roman" w:eastAsia="仿宋_GB2312" w:cs="Times New Roman"/>
              <w:bCs w:val="0"/>
              <w:szCs w:val="32"/>
              <w:highlight w:val="none"/>
            </w:rPr>
            <w:fldChar w:fldCharType="end"/>
          </w:r>
        </w:p>
        <w:p w14:paraId="143F54D7">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_Toc2851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 xml:space="preserve">第二节 </w:t>
          </w:r>
          <w:r>
            <w:rPr>
              <w:rFonts w:hint="default" w:ascii="Times New Roman" w:hAnsi="Times New Roman" w:eastAsia="仿宋_GB2312" w:cs="Times New Roman"/>
              <w:highlight w:val="none"/>
              <w:lang w:val="en-US" w:eastAsia="zh-CN"/>
            </w:rPr>
            <w:t xml:space="preserve"> </w:t>
          </w:r>
          <w:r>
            <w:rPr>
              <w:rFonts w:hint="default" w:ascii="Times New Roman" w:hAnsi="Times New Roman" w:cs="Times New Roman"/>
              <w:sz w:val="32"/>
              <w:szCs w:val="22"/>
              <w:highlight w:val="none"/>
            </w:rPr>
            <w:t>健全规划衔接协调机制</w:t>
          </w:r>
          <w:r>
            <w:rPr>
              <w:rFonts w:hint="default" w:ascii="Times New Roman" w:hAnsi="Times New Roman" w:eastAsia="仿宋_GB2312" w:cs="Times New Roman"/>
              <w:bCs w:val="0"/>
              <w:szCs w:val="32"/>
              <w:highlight w:val="none"/>
            </w:rPr>
            <w:fldChar w:fldCharType="end"/>
          </w:r>
        </w:p>
        <w:p w14:paraId="32D569AA">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_Toc10143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 xml:space="preserve">第三节 </w:t>
          </w:r>
          <w:r>
            <w:rPr>
              <w:rFonts w:hint="default" w:ascii="Times New Roman" w:hAnsi="Times New Roman" w:eastAsia="仿宋_GB2312" w:cs="Times New Roman"/>
              <w:highlight w:val="none"/>
              <w:lang w:val="en-US" w:eastAsia="zh-CN"/>
            </w:rPr>
            <w:t xml:space="preserve"> 夯实项目支撑和要素保障</w:t>
          </w:r>
          <w:r>
            <w:rPr>
              <w:rFonts w:hint="default" w:ascii="Times New Roman" w:hAnsi="Times New Roman" w:eastAsia="仿宋_GB2312" w:cs="Times New Roman"/>
              <w:bCs w:val="0"/>
              <w:szCs w:val="32"/>
              <w:highlight w:val="none"/>
            </w:rPr>
            <w:fldChar w:fldCharType="end"/>
          </w:r>
        </w:p>
        <w:p w14:paraId="5B1220CD">
          <w:pPr>
            <w:pStyle w:val="12"/>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bCs w:val="0"/>
              <w:szCs w:val="32"/>
              <w:highlight w:val="none"/>
            </w:rPr>
            <w:fldChar w:fldCharType="begin"/>
          </w:r>
          <w:r>
            <w:rPr>
              <w:rFonts w:hint="default" w:ascii="Times New Roman" w:hAnsi="Times New Roman" w:eastAsia="仿宋_GB2312" w:cs="Times New Roman"/>
              <w:bCs w:val="0"/>
              <w:szCs w:val="32"/>
              <w:highlight w:val="none"/>
            </w:rPr>
            <w:instrText xml:space="preserve"> HYPERLINK \l _Toc23797 </w:instrText>
          </w:r>
          <w:r>
            <w:rPr>
              <w:rFonts w:hint="default" w:ascii="Times New Roman" w:hAnsi="Times New Roman" w:eastAsia="仿宋_GB2312" w:cs="Times New Roman"/>
              <w:bCs w:val="0"/>
              <w:szCs w:val="32"/>
              <w:highlight w:val="none"/>
            </w:rPr>
            <w:fldChar w:fldCharType="separate"/>
          </w:r>
          <w:r>
            <w:rPr>
              <w:rFonts w:hint="default" w:ascii="Times New Roman" w:hAnsi="Times New Roman" w:eastAsia="仿宋_GB2312" w:cs="Times New Roman"/>
              <w:highlight w:val="none"/>
            </w:rPr>
            <w:t xml:space="preserve">第四节 </w:t>
          </w:r>
          <w:r>
            <w:rPr>
              <w:rFonts w:hint="default"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lang w:eastAsia="zh-CN"/>
            </w:rPr>
            <w:t>汇聚规划实施合力</w:t>
          </w:r>
          <w:r>
            <w:rPr>
              <w:rFonts w:hint="default" w:ascii="Times New Roman" w:hAnsi="Times New Roman" w:eastAsia="仿宋_GB2312" w:cs="Times New Roman"/>
              <w:bCs w:val="0"/>
              <w:szCs w:val="32"/>
              <w:highlight w:val="none"/>
            </w:rPr>
            <w:fldChar w:fldCharType="end"/>
          </w:r>
        </w:p>
        <w:p w14:paraId="488F5C0D">
          <w:pPr>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Cs w:val="0"/>
              <w:kern w:val="2"/>
              <w:sz w:val="36"/>
              <w:szCs w:val="28"/>
              <w:highlight w:val="none"/>
              <w:lang w:val="en-US" w:eastAsia="zh-CN" w:bidi="ar-SA"/>
            </w:rPr>
          </w:pPr>
          <w:r>
            <w:rPr>
              <w:rFonts w:hint="default" w:ascii="Times New Roman" w:hAnsi="Times New Roman" w:eastAsia="仿宋_GB2312" w:cs="Times New Roman"/>
              <w:bCs w:val="0"/>
              <w:szCs w:val="32"/>
              <w:highlight w:val="none"/>
            </w:rPr>
            <w:fldChar w:fldCharType="end"/>
          </w:r>
        </w:p>
      </w:sdtContent>
    </w:sdt>
    <w:p w14:paraId="519D5715">
      <w:pPr>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Cs w:val="0"/>
          <w:kern w:val="2"/>
          <w:sz w:val="32"/>
          <w:szCs w:val="24"/>
          <w:highlight w:val="none"/>
          <w:lang w:val="en-US" w:eastAsia="zh-CN" w:bidi="ar-SA"/>
        </w:rPr>
      </w:pPr>
    </w:p>
    <w:p w14:paraId="536B3141">
      <w:pPr>
        <w:rPr>
          <w:rFonts w:hint="default" w:ascii="Times New Roman" w:hAnsi="Times New Roman" w:cs="Times New Roman"/>
          <w:highlight w:val="none"/>
          <w:lang w:val="en-US" w:eastAsia="zh-CN"/>
        </w:rPr>
      </w:pPr>
    </w:p>
    <w:p w14:paraId="314747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b w:val="0"/>
          <w:bCs w:val="0"/>
          <w:highlight w:val="none"/>
          <w:lang w:val="en-US" w:eastAsia="zh-CN"/>
        </w:rPr>
      </w:pPr>
    </w:p>
    <w:p w14:paraId="13DA3C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b w:val="0"/>
          <w:bCs w:val="0"/>
          <w:highlight w:val="none"/>
          <w:lang w:val="en-US" w:eastAsia="zh-CN"/>
        </w:rPr>
      </w:pPr>
    </w:p>
    <w:p w14:paraId="267AA5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b w:val="0"/>
          <w:bCs w:val="0"/>
          <w:highlight w:val="none"/>
          <w:lang w:val="en-US" w:eastAsia="zh-CN"/>
        </w:rPr>
      </w:pPr>
    </w:p>
    <w:p w14:paraId="724B7D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沂源县国民经济和社会发展第十五个五年规划纲要，根据《中共沂源县委关于制定沂源县国民经济和社会发展第十五个五年规划的建议》编制，</w:t>
      </w:r>
      <w:bookmarkStart w:id="3" w:name="_Toc6833"/>
      <w:r>
        <w:rPr>
          <w:rFonts w:hint="default" w:ascii="Times New Roman" w:hAnsi="Times New Roman" w:cs="Times New Roman"/>
          <w:b w:val="0"/>
          <w:bCs w:val="0"/>
          <w:highlight w:val="none"/>
          <w:lang w:val="en-US" w:eastAsia="zh-CN"/>
        </w:rPr>
        <w:t>是未来五年沂源县经济社会发展的行动纲领，是制定和实施区域规划、专项规划和年度计划的基本依据，对于新时代社会主义现代化强县建设具有重要意义。</w:t>
      </w:r>
    </w:p>
    <w:p w14:paraId="7E74DD9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cs="Times New Roman"/>
          <w:b w:val="0"/>
          <w:bCs w:val="0"/>
          <w:highlight w:val="none"/>
          <w:lang w:val="en-US" w:eastAsia="zh-CN"/>
        </w:rPr>
      </w:pPr>
    </w:p>
    <w:p w14:paraId="3AAA11C5">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1"/>
          <w:highlight w:val="none"/>
          <w:lang w:val="en-US" w:eastAsia="zh-CN"/>
        </w:rPr>
      </w:pPr>
      <w:bookmarkStart w:id="4" w:name="_Toc6905_WPSOffice_Level1"/>
      <w:bookmarkStart w:id="5" w:name="_Toc6387"/>
      <w:r>
        <w:rPr>
          <w:rFonts w:hint="default" w:ascii="Times New Roman" w:hAnsi="Times New Roman" w:cs="Times New Roman"/>
          <w:sz w:val="32"/>
          <w:szCs w:val="21"/>
          <w:highlight w:val="none"/>
          <w:lang w:val="en-US" w:eastAsia="zh-CN"/>
        </w:rPr>
        <w:t xml:space="preserve">第一章  </w:t>
      </w:r>
      <w:bookmarkEnd w:id="3"/>
      <w:bookmarkEnd w:id="4"/>
      <w:r>
        <w:rPr>
          <w:rFonts w:hint="default" w:ascii="Times New Roman" w:hAnsi="Times New Roman" w:cs="Times New Roman"/>
          <w:sz w:val="32"/>
          <w:szCs w:val="21"/>
          <w:highlight w:val="none"/>
          <w:lang w:val="en-US" w:eastAsia="zh-CN"/>
        </w:rPr>
        <w:t>“十五五”时期是推进</w:t>
      </w:r>
      <w:r>
        <w:rPr>
          <w:rFonts w:hint="default" w:ascii="Times New Roman" w:hAnsi="Times New Roman" w:cs="Times New Roman"/>
          <w:sz w:val="32"/>
          <w:szCs w:val="21"/>
          <w:highlight w:val="none"/>
          <w:lang w:val="en-US" w:eastAsia="zh-CN"/>
        </w:rPr>
        <w:br w:type="textWrapping"/>
      </w:r>
      <w:r>
        <w:rPr>
          <w:rFonts w:hint="default" w:ascii="Times New Roman" w:hAnsi="Times New Roman" w:cs="Times New Roman"/>
          <w:sz w:val="32"/>
          <w:szCs w:val="21"/>
          <w:highlight w:val="none"/>
          <w:lang w:val="en-US" w:eastAsia="zh-CN"/>
        </w:rPr>
        <w:t>现代化强县建设的关键时期</w:t>
      </w:r>
      <w:bookmarkEnd w:id="5"/>
    </w:p>
    <w:p w14:paraId="6D69B91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十五五”时期（2026—2030年）是我国基本实现社会主义现代化夯实基础、全面发力的关键时期，是沂源县在全面开启中国式现代化建设新征程上砥砺奋进的关键时期。必须全面贯彻落实习近平新时代中国特色社会主义思想和习近平总书记视察山东重要讲话精神和重要指示要求，以高质量发展的实际成效体现沂源担当、展现沂源作为。</w:t>
      </w:r>
      <w:bookmarkStart w:id="6" w:name="_Toc12649"/>
    </w:p>
    <w:p w14:paraId="69E72093">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7" w:name="_Toc30173_WPSOffice_Level2"/>
      <w:bookmarkStart w:id="8" w:name="_Toc18662"/>
      <w:r>
        <w:rPr>
          <w:rFonts w:hint="default" w:ascii="Times New Roman" w:hAnsi="Times New Roman" w:cs="Times New Roman"/>
          <w:sz w:val="32"/>
          <w:szCs w:val="22"/>
          <w:highlight w:val="none"/>
          <w:lang w:val="en-US" w:eastAsia="zh-CN"/>
        </w:rPr>
        <w:t xml:space="preserve">第一节  </w:t>
      </w:r>
      <w:bookmarkEnd w:id="6"/>
      <w:bookmarkEnd w:id="7"/>
      <w:r>
        <w:rPr>
          <w:rFonts w:hint="default" w:ascii="Times New Roman" w:hAnsi="Times New Roman" w:cs="Times New Roman"/>
          <w:sz w:val="32"/>
          <w:szCs w:val="22"/>
          <w:highlight w:val="none"/>
          <w:lang w:val="en-US" w:eastAsia="zh-CN"/>
        </w:rPr>
        <w:t>发展基础</w:t>
      </w:r>
      <w:bookmarkEnd w:id="8"/>
    </w:p>
    <w:p w14:paraId="61FEC7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十四五”时期是沂源县发展极不平凡、极不寻常的五年，面对复杂严峻的外部形势和艰巨繁重的发展改革任务，全县上下坚持以习近平新时代中国特色社会主义思想为指导，坚定不移贯彻落实党中央决策部署和省市委工作要求，锚定“走在前、挑大梁”，聚焦“强富美优”城市愿景，聚力打好工业强县、农业富民、城市更新“三大战役”，苦干实干、拼抢争先，“十四五”各项工作顺利推进，全县经济社会发展实现新突破、新提升。</w:t>
      </w:r>
    </w:p>
    <w:p w14:paraId="00BE38F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发展能级大幅跃升</w:t>
      </w:r>
      <w:r>
        <w:rPr>
          <w:rFonts w:hint="default" w:ascii="Times New Roman" w:hAnsi="Times New Roman" w:eastAsia="仿宋_GB2312" w:cs="Times New Roman"/>
          <w:b w:val="0"/>
          <w:bCs w:val="0"/>
          <w:highlight w:val="none"/>
          <w:lang w:val="en-US" w:eastAsia="zh-CN"/>
        </w:rPr>
        <w:t>。全力推动高质量发展，主要经济指标承压奋进、稳健向好，经济结构实现优化升级，</w:t>
      </w:r>
      <w:r>
        <w:rPr>
          <w:rFonts w:hint="default" w:ascii="Times New Roman" w:hAnsi="Times New Roman" w:cs="Times New Roman"/>
          <w:b w:val="0"/>
          <w:bCs w:val="0"/>
          <w:highlight w:val="none"/>
          <w:lang w:val="en-US" w:eastAsia="zh-CN"/>
        </w:rPr>
        <w:t>两</w:t>
      </w:r>
      <w:r>
        <w:rPr>
          <w:rFonts w:hint="default" w:ascii="Times New Roman" w:hAnsi="Times New Roman" w:eastAsia="仿宋_GB2312" w:cs="Times New Roman"/>
          <w:b w:val="0"/>
          <w:bCs w:val="0"/>
          <w:highlight w:val="none"/>
          <w:lang w:val="en-US" w:eastAsia="zh-CN"/>
        </w:rPr>
        <w:t>次获评省高质量发展先进县，入选全省高质量发展成效显著县。</w:t>
      </w:r>
      <w:r>
        <w:rPr>
          <w:rFonts w:hint="default" w:ascii="Times New Roman" w:hAnsi="Times New Roman" w:eastAsia="仿宋_GB2312" w:cs="Times New Roman"/>
          <w:b w:val="0"/>
          <w:bCs w:val="0"/>
          <w:color w:val="auto"/>
          <w:kern w:val="2"/>
          <w:sz w:val="32"/>
          <w:szCs w:val="32"/>
          <w:highlight w:val="none"/>
          <w:lang w:val="en-US" w:eastAsia="zh-CN" w:bidi="ar-SA"/>
        </w:rPr>
        <w:t>经济实力稳步攀升</w:t>
      </w:r>
      <w:r>
        <w:rPr>
          <w:rFonts w:hint="default" w:ascii="Times New Roman" w:hAnsi="Times New Roman" w:eastAsia="仿宋_GB2312" w:cs="Times New Roman"/>
          <w:b w:val="0"/>
          <w:bCs w:val="0"/>
          <w:highlight w:val="none"/>
          <w:lang w:val="en-US" w:eastAsia="zh-CN"/>
        </w:rPr>
        <w:t>。2025年</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全县地区生产总值</w:t>
      </w:r>
      <w:r>
        <w:rPr>
          <w:rFonts w:hint="default" w:ascii="Times New Roman" w:hAnsi="Times New Roman" w:cs="Times New Roman"/>
          <w:b w:val="0"/>
          <w:bCs w:val="0"/>
          <w:highlight w:val="none"/>
          <w:lang w:val="en-US" w:eastAsia="zh-CN"/>
        </w:rPr>
        <w:t>迈上</w:t>
      </w:r>
      <w:r>
        <w:rPr>
          <w:rFonts w:hint="default" w:ascii="Times New Roman" w:hAnsi="Times New Roman" w:eastAsia="仿宋_GB2312" w:cs="Times New Roman"/>
          <w:b w:val="0"/>
          <w:bCs w:val="0"/>
          <w:highlight w:val="none"/>
          <w:lang w:val="en-US" w:eastAsia="zh-CN"/>
        </w:rPr>
        <w:t>400亿元新台阶，年均增长7.8%</w:t>
      </w:r>
      <w:r>
        <w:rPr>
          <w:rFonts w:hint="default" w:ascii="Times New Roman" w:hAnsi="Times New Roman" w:cs="Times New Roman"/>
          <w:b w:val="0"/>
          <w:bCs w:val="0"/>
          <w:highlight w:val="none"/>
          <w:lang w:val="en-US" w:eastAsia="zh-CN"/>
        </w:rPr>
        <w:t>，人均GDP较“十三五”末增长56.3%</w:t>
      </w:r>
      <w:r>
        <w:rPr>
          <w:rFonts w:hint="default" w:ascii="Times New Roman" w:hAnsi="Times New Roman" w:eastAsia="仿宋_GB2312" w:cs="Times New Roman"/>
          <w:b w:val="0"/>
          <w:bCs w:val="0"/>
          <w:highlight w:val="none"/>
          <w:lang w:val="en-US" w:eastAsia="zh-CN"/>
        </w:rPr>
        <w:t>；实现一般公共预算收入25.</w:t>
      </w:r>
      <w:r>
        <w:rPr>
          <w:rFonts w:hint="default" w:ascii="Times New Roman" w:hAnsi="Times New Roman" w:cs="Times New Roman"/>
          <w:b w:val="0"/>
          <w:bCs w:val="0"/>
          <w:highlight w:val="none"/>
          <w:lang w:val="en-US" w:eastAsia="zh-CN"/>
        </w:rPr>
        <w:t>6</w:t>
      </w:r>
      <w:r>
        <w:rPr>
          <w:rFonts w:hint="default" w:ascii="Times New Roman" w:hAnsi="Times New Roman" w:eastAsia="仿宋_GB2312" w:cs="Times New Roman"/>
          <w:b w:val="0"/>
          <w:bCs w:val="0"/>
          <w:highlight w:val="none"/>
          <w:lang w:val="en-US" w:eastAsia="zh-CN"/>
        </w:rPr>
        <w:t>亿元，</w:t>
      </w:r>
      <w:r>
        <w:rPr>
          <w:rFonts w:hint="default" w:ascii="Times New Roman" w:hAnsi="Times New Roman" w:cs="Times New Roman"/>
          <w:b w:val="0"/>
          <w:bCs w:val="0"/>
          <w:highlight w:val="none"/>
          <w:lang w:val="en-US" w:eastAsia="zh-CN"/>
        </w:rPr>
        <w:t>较</w:t>
      </w:r>
      <w:r>
        <w:rPr>
          <w:rFonts w:hint="default" w:ascii="Times New Roman" w:hAnsi="Times New Roman" w:eastAsia="仿宋_GB2312" w:cs="Times New Roman"/>
          <w:b w:val="0"/>
          <w:bCs w:val="0"/>
          <w:highlight w:val="none"/>
          <w:lang w:val="en-US" w:eastAsia="zh-CN"/>
        </w:rPr>
        <w:t>“十三五”末增长30.</w:t>
      </w:r>
      <w:r>
        <w:rPr>
          <w:rFonts w:hint="default" w:ascii="Times New Roman" w:hAnsi="Times New Roman" w:cs="Times New Roman"/>
          <w:b w:val="0"/>
          <w:bCs w:val="0"/>
          <w:highlight w:val="none"/>
          <w:lang w:val="en-US" w:eastAsia="zh-CN"/>
        </w:rPr>
        <w:t>5</w:t>
      </w: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内需规模持续扩大</w:t>
      </w:r>
      <w:r>
        <w:rPr>
          <w:rFonts w:hint="default" w:ascii="Times New Roman" w:hAnsi="Times New Roman" w:eastAsia="仿宋_GB2312" w:cs="Times New Roman"/>
          <w:b w:val="0"/>
          <w:bCs w:val="0"/>
          <w:highlight w:val="none"/>
          <w:lang w:val="en-US" w:eastAsia="zh-CN"/>
        </w:rPr>
        <w:t>。消费水平稳步提升，社会消费品零售总额</w:t>
      </w:r>
      <w:r>
        <w:rPr>
          <w:rFonts w:hint="default" w:ascii="Times New Roman" w:hAnsi="Times New Roman" w:cs="Times New Roman"/>
          <w:b w:val="0"/>
          <w:bCs w:val="0"/>
          <w:highlight w:val="none"/>
          <w:lang w:val="en-US" w:eastAsia="zh-CN"/>
        </w:rPr>
        <w:t>152.3</w:t>
      </w:r>
      <w:r>
        <w:rPr>
          <w:rFonts w:hint="default" w:ascii="Times New Roman" w:hAnsi="Times New Roman" w:eastAsia="仿宋_GB2312" w:cs="Times New Roman"/>
          <w:b w:val="0"/>
          <w:bCs w:val="0"/>
          <w:highlight w:val="none"/>
          <w:lang w:val="en-US" w:eastAsia="zh-CN"/>
        </w:rPr>
        <w:t>亿元，</w:t>
      </w:r>
      <w:r>
        <w:rPr>
          <w:rFonts w:hint="default" w:ascii="Times New Roman" w:hAnsi="Times New Roman" w:cs="Times New Roman"/>
          <w:b w:val="0"/>
          <w:bCs w:val="0"/>
          <w:highlight w:val="none"/>
          <w:lang w:val="en-US" w:eastAsia="zh-CN"/>
        </w:rPr>
        <w:t>较“十三五”末增长37.3%</w:t>
      </w:r>
      <w:r>
        <w:rPr>
          <w:rFonts w:hint="default" w:ascii="Times New Roman" w:hAnsi="Times New Roman" w:eastAsia="仿宋_GB2312" w:cs="Times New Roman"/>
          <w:b w:val="0"/>
          <w:bCs w:val="0"/>
          <w:highlight w:val="none"/>
          <w:lang w:val="en-US" w:eastAsia="zh-CN"/>
        </w:rPr>
        <w:t>；投资支撑作用持续增强，累计</w:t>
      </w:r>
      <w:r>
        <w:rPr>
          <w:rFonts w:hint="default" w:ascii="Times New Roman" w:hAnsi="Times New Roman" w:cs="Times New Roman"/>
          <w:b w:val="0"/>
          <w:bCs w:val="0"/>
          <w:highlight w:val="none"/>
          <w:lang w:val="en-US" w:eastAsia="zh-CN"/>
        </w:rPr>
        <w:t>完成固定资产投资603.4亿元，</w:t>
      </w:r>
      <w:r>
        <w:rPr>
          <w:rFonts w:hint="default" w:ascii="Times New Roman" w:hAnsi="Times New Roman" w:eastAsia="仿宋_GB2312" w:cs="Times New Roman"/>
          <w:b w:val="0"/>
          <w:bCs w:val="0"/>
          <w:highlight w:val="none"/>
          <w:lang w:val="en-US" w:eastAsia="zh-CN"/>
        </w:rPr>
        <w:t>年均增长</w:t>
      </w:r>
      <w:r>
        <w:rPr>
          <w:rFonts w:hint="default" w:ascii="Times New Roman" w:hAnsi="Times New Roman" w:cs="Times New Roman"/>
          <w:b w:val="0"/>
          <w:bCs w:val="0"/>
          <w:highlight w:val="none"/>
          <w:lang w:val="en-US" w:eastAsia="zh-CN"/>
        </w:rPr>
        <w:t>5.3</w:t>
      </w:r>
      <w:r>
        <w:rPr>
          <w:rFonts w:hint="default" w:ascii="Times New Roman" w:hAnsi="Times New Roman" w:eastAsia="仿宋_GB2312" w:cs="Times New Roman"/>
          <w:b w:val="0"/>
          <w:bCs w:val="0"/>
          <w:highlight w:val="none"/>
          <w:lang w:val="en-US" w:eastAsia="zh-CN"/>
        </w:rPr>
        <w:t>%</w:t>
      </w:r>
      <w:r>
        <w:rPr>
          <w:rFonts w:hint="default" w:ascii="Times New Roman" w:hAnsi="Times New Roman" w:cs="Times New Roman"/>
          <w:b w:val="0"/>
          <w:bCs w:val="0"/>
          <w:highlight w:val="none"/>
          <w:lang w:val="en-US" w:eastAsia="zh-CN"/>
        </w:rPr>
        <w:t>；实现进出口总额245.3亿元，是“十三五”时期的1.6倍</w:t>
      </w:r>
      <w:r>
        <w:rPr>
          <w:rFonts w:hint="default" w:ascii="Times New Roman" w:hAnsi="Times New Roman" w:eastAsia="仿宋_GB2312" w:cs="Times New Roman"/>
          <w:b w:val="0"/>
          <w:bCs w:val="0"/>
          <w:highlight w:val="none"/>
          <w:lang w:val="en-US" w:eastAsia="zh-CN"/>
        </w:rPr>
        <w:t>。</w:t>
      </w:r>
    </w:p>
    <w:p w14:paraId="407BA0D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工业强县厚积成势</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以新质生产力为引领、以实体经济为支撑，加快产业转型升级，持续优化三次产业比重</w:t>
      </w:r>
      <w:r>
        <w:rPr>
          <w:rFonts w:hint="default" w:ascii="Times New Roman" w:hAnsi="Times New Roman" w:cs="Times New Roman"/>
          <w:b w:val="0"/>
          <w:bCs w:val="0"/>
          <w:highlight w:val="none"/>
          <w:lang w:val="en-US" w:eastAsia="zh-CN"/>
        </w:rPr>
        <w:t>，加快</w:t>
      </w:r>
      <w:r>
        <w:rPr>
          <w:rFonts w:hint="default" w:ascii="Times New Roman" w:hAnsi="Times New Roman" w:eastAsia="仿宋_GB2312" w:cs="Times New Roman"/>
          <w:b w:val="0"/>
          <w:bCs w:val="0"/>
          <w:highlight w:val="none"/>
          <w:lang w:val="en-US" w:eastAsia="zh-CN"/>
        </w:rPr>
        <w:t>构建现代化产业体系，成功牵手京东、国药、华电等央</w:t>
      </w:r>
      <w:r>
        <w:rPr>
          <w:rFonts w:hint="default" w:ascii="Times New Roman" w:hAnsi="Times New Roman" w:cs="Times New Roman"/>
          <w:b w:val="0"/>
          <w:bCs w:val="0"/>
          <w:highlight w:val="none"/>
          <w:lang w:val="en-US" w:eastAsia="zh-CN"/>
        </w:rPr>
        <w:t>企、国</w:t>
      </w:r>
      <w:r>
        <w:rPr>
          <w:rFonts w:hint="default" w:ascii="Times New Roman" w:hAnsi="Times New Roman" w:eastAsia="仿宋_GB2312" w:cs="Times New Roman"/>
          <w:b w:val="0"/>
          <w:bCs w:val="0"/>
          <w:highlight w:val="none"/>
          <w:lang w:val="en-US" w:eastAsia="zh-CN"/>
        </w:rPr>
        <w:t>企和世界500强</w:t>
      </w:r>
      <w:r>
        <w:rPr>
          <w:rFonts w:hint="default" w:ascii="Times New Roman" w:hAnsi="Times New Roman" w:cs="Times New Roman"/>
          <w:b w:val="0"/>
          <w:bCs w:val="0"/>
          <w:highlight w:val="none"/>
          <w:lang w:val="en-US" w:eastAsia="zh-CN"/>
        </w:rPr>
        <w:t>企业</w:t>
      </w:r>
      <w:r>
        <w:rPr>
          <w:rFonts w:hint="default" w:ascii="Times New Roman" w:hAnsi="Times New Roman" w:eastAsia="仿宋_GB2312" w:cs="Times New Roman"/>
          <w:b w:val="0"/>
          <w:bCs w:val="0"/>
          <w:highlight w:val="none"/>
          <w:lang w:val="en-US" w:eastAsia="zh-CN"/>
        </w:rPr>
        <w:t>，新引进过亿元项目183个，总投资</w:t>
      </w:r>
      <w:r>
        <w:rPr>
          <w:rFonts w:hint="default" w:ascii="Times New Roman" w:hAnsi="Times New Roman" w:cs="Times New Roman"/>
          <w:b w:val="0"/>
          <w:bCs w:val="0"/>
          <w:highlight w:val="none"/>
          <w:lang w:val="en-US" w:eastAsia="zh-CN"/>
        </w:rPr>
        <w:t>125.2</w:t>
      </w:r>
      <w:r>
        <w:rPr>
          <w:rFonts w:hint="default" w:ascii="Times New Roman" w:hAnsi="Times New Roman" w:eastAsia="仿宋_GB2312" w:cs="Times New Roman"/>
          <w:b w:val="0"/>
          <w:bCs w:val="0"/>
          <w:highlight w:val="none"/>
          <w:lang w:val="en-US" w:eastAsia="zh-CN"/>
        </w:rPr>
        <w:t>亿元的华电</w:t>
      </w:r>
      <w:r>
        <w:rPr>
          <w:rFonts w:hint="default" w:ascii="Times New Roman" w:hAnsi="Times New Roman" w:cs="Times New Roman"/>
          <w:b w:val="0"/>
          <w:bCs w:val="0"/>
          <w:highlight w:val="none"/>
          <w:lang w:val="en-US" w:eastAsia="zh-CN"/>
        </w:rPr>
        <w:t>石桥</w:t>
      </w:r>
      <w:r>
        <w:rPr>
          <w:rFonts w:hint="default" w:ascii="Times New Roman" w:hAnsi="Times New Roman" w:eastAsia="仿宋_GB2312" w:cs="Times New Roman"/>
          <w:b w:val="0"/>
          <w:bCs w:val="0"/>
          <w:highlight w:val="none"/>
          <w:lang w:val="en-US" w:eastAsia="zh-CN"/>
        </w:rPr>
        <w:t>抽水蓄能电站项目获省发改委核准批复。制造业发展质量显著提升。聚力做大做强经济开发区、西部宜居新城、</w:t>
      </w:r>
      <w:r>
        <w:rPr>
          <w:rFonts w:hint="default" w:ascii="Times New Roman" w:hAnsi="Times New Roman" w:cs="Times New Roman"/>
          <w:b w:val="0"/>
          <w:bCs w:val="0"/>
          <w:highlight w:val="none"/>
          <w:lang w:val="en-US" w:eastAsia="zh-CN"/>
        </w:rPr>
        <w:t>南部物流园</w:t>
      </w:r>
      <w:r>
        <w:rPr>
          <w:rFonts w:hint="default" w:ascii="Times New Roman" w:hAnsi="Times New Roman" w:eastAsia="仿宋_GB2312" w:cs="Times New Roman"/>
          <w:b w:val="0"/>
          <w:bCs w:val="0"/>
          <w:highlight w:val="none"/>
          <w:lang w:val="en-US" w:eastAsia="zh-CN"/>
        </w:rPr>
        <w:t>、东里绿动力产业园等重点园区</w:t>
      </w:r>
      <w:r>
        <w:rPr>
          <w:rFonts w:hint="default" w:ascii="Times New Roman" w:hAnsi="Times New Roman" w:cs="Times New Roman"/>
          <w:b w:val="0"/>
          <w:bCs w:val="0"/>
          <w:highlight w:val="none"/>
          <w:lang w:val="en-US" w:eastAsia="zh-CN"/>
        </w:rPr>
        <w:t>，化工产业园扩区获省政府批复，经济开发区创成国家级绿色工业园区。</w:t>
      </w:r>
      <w:r>
        <w:rPr>
          <w:rFonts w:hint="default" w:ascii="Times New Roman" w:hAnsi="Times New Roman" w:eastAsia="仿宋_GB2312" w:cs="Times New Roman"/>
          <w:b w:val="0"/>
          <w:bCs w:val="0"/>
          <w:highlight w:val="none"/>
          <w:lang w:val="en-US" w:eastAsia="zh-CN"/>
        </w:rPr>
        <w:t>深入实施产业攀登计划</w:t>
      </w:r>
      <w:r>
        <w:rPr>
          <w:rFonts w:hint="default" w:ascii="Times New Roman" w:hAnsi="Times New Roman" w:eastAsia="仿宋_GB2312" w:cs="Times New Roman"/>
          <w:b w:val="0"/>
          <w:bCs w:val="0"/>
          <w:spacing w:val="-6"/>
          <w:sz w:val="32"/>
          <w:highlight w:val="none"/>
          <w:lang w:val="en-US" w:eastAsia="zh-CN"/>
        </w:rPr>
        <w:t>，</w:t>
      </w:r>
      <w:r>
        <w:rPr>
          <w:rFonts w:hint="default" w:ascii="Times New Roman" w:hAnsi="Times New Roman" w:cs="Times New Roman"/>
          <w:b w:val="0"/>
          <w:bCs w:val="0"/>
          <w:spacing w:val="-6"/>
          <w:sz w:val="32"/>
          <w:highlight w:val="none"/>
          <w:lang w:val="en-US" w:eastAsia="zh-CN"/>
        </w:rPr>
        <w:t>6</w:t>
      </w:r>
      <w:r>
        <w:rPr>
          <w:rFonts w:hint="default" w:ascii="Times New Roman" w:hAnsi="Times New Roman" w:eastAsia="仿宋_GB2312" w:cs="Times New Roman"/>
          <w:b w:val="0"/>
          <w:bCs w:val="0"/>
          <w:spacing w:val="-6"/>
          <w:sz w:val="32"/>
          <w:highlight w:val="none"/>
          <w:lang w:val="en-US" w:eastAsia="zh-CN"/>
        </w:rPr>
        <w:t>家企业获评国家级专精特新“小巨人”企业，新医药、新材料产业集群不断发展壮大，规上工业总产值突破400亿元，“四强”产业增加值占比86</w:t>
      </w:r>
      <w:r>
        <w:rPr>
          <w:rFonts w:hint="default" w:ascii="Times New Roman" w:hAnsi="Times New Roman" w:cs="Times New Roman"/>
          <w:b w:val="0"/>
          <w:bCs w:val="0"/>
          <w:spacing w:val="-6"/>
          <w:sz w:val="32"/>
          <w:highlight w:val="none"/>
          <w:lang w:val="en-US" w:eastAsia="zh-CN"/>
        </w:rPr>
        <w:t>.5</w:t>
      </w:r>
      <w:r>
        <w:rPr>
          <w:rFonts w:hint="default" w:ascii="Times New Roman" w:hAnsi="Times New Roman" w:eastAsia="仿宋_GB2312" w:cs="Times New Roman"/>
          <w:b w:val="0"/>
          <w:bCs w:val="0"/>
          <w:spacing w:val="-6"/>
          <w:sz w:val="32"/>
          <w:highlight w:val="none"/>
          <w:lang w:val="en-US" w:eastAsia="zh-CN"/>
        </w:rPr>
        <w:t>%。生产性服务业有力支撑实体经济发展。</w:t>
      </w:r>
      <w:r>
        <w:rPr>
          <w:rFonts w:hint="default" w:ascii="Times New Roman" w:hAnsi="Times New Roman" w:cs="Times New Roman"/>
          <w:b w:val="0"/>
          <w:bCs w:val="0"/>
          <w:spacing w:val="-6"/>
          <w:sz w:val="32"/>
          <w:highlight w:val="none"/>
          <w:lang w:val="en-US" w:eastAsia="zh-CN"/>
        </w:rPr>
        <w:t>推动</w:t>
      </w:r>
      <w:r>
        <w:rPr>
          <w:rFonts w:hint="default" w:ascii="Times New Roman" w:hAnsi="Times New Roman" w:eastAsia="仿宋_GB2312" w:cs="Times New Roman"/>
          <w:b w:val="0"/>
          <w:bCs w:val="0"/>
          <w:spacing w:val="-6"/>
          <w:sz w:val="32"/>
          <w:highlight w:val="none"/>
          <w:lang w:val="en-US" w:eastAsia="zh-CN"/>
        </w:rPr>
        <w:t>服务业高质量发展，平台经济、多式联运和运输代理等新业态破题起势，</w:t>
      </w:r>
      <w:r>
        <w:rPr>
          <w:rFonts w:hint="default" w:ascii="Times New Roman" w:hAnsi="Times New Roman" w:eastAsia="仿宋_GB2312" w:cs="Times New Roman"/>
          <w:b w:val="0"/>
          <w:bCs w:val="0"/>
          <w:highlight w:val="none"/>
          <w:lang w:val="en-US" w:eastAsia="zh-CN"/>
        </w:rPr>
        <w:t>新增规上服务业企业16家。</w:t>
      </w:r>
    </w:p>
    <w:p w14:paraId="037F6F3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农业富民提质增效</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以高质量发展与农业农村现代化协同推进为总要求，以实施乡村振兴战略为总抓手，努力打造乡村振兴齐鲁样板沂源特色板块。特色农业快速发展。新建高标准农田4.9万亩、现代农业示范园区64处</w:t>
      </w:r>
      <w:r>
        <w:rPr>
          <w:rFonts w:hint="default" w:ascii="Times New Roman" w:hAnsi="Times New Roman" w:cs="Times New Roman"/>
          <w:b w:val="0"/>
          <w:bCs w:val="0"/>
          <w:highlight w:val="none"/>
          <w:lang w:val="en-US" w:eastAsia="zh-CN"/>
        </w:rPr>
        <w:t>，入选全省首批数字农业发展县创建名单</w:t>
      </w:r>
      <w:r>
        <w:rPr>
          <w:rFonts w:hint="default" w:ascii="Times New Roman" w:hAnsi="Times New Roman" w:eastAsia="仿宋_GB2312" w:cs="Times New Roman"/>
          <w:b w:val="0"/>
          <w:bCs w:val="0"/>
          <w:highlight w:val="none"/>
          <w:lang w:val="en-US" w:eastAsia="zh-CN"/>
        </w:rPr>
        <w:t>；</w:t>
      </w:r>
      <w:r>
        <w:rPr>
          <w:rFonts w:hint="eastAsia" w:ascii="Times New Roman" w:hAnsi="Times New Roman" w:cs="Times New Roman"/>
          <w:b w:val="0"/>
          <w:bCs w:val="0"/>
          <w:highlight w:val="none"/>
          <w:lang w:val="en-US" w:eastAsia="zh-CN"/>
        </w:rPr>
        <w:t>果业</w:t>
      </w:r>
      <w:r>
        <w:rPr>
          <w:rFonts w:hint="default" w:ascii="Times New Roman" w:hAnsi="Times New Roman" w:eastAsia="仿宋_GB2312" w:cs="Times New Roman"/>
          <w:b w:val="0"/>
          <w:bCs w:val="0"/>
          <w:highlight w:val="none"/>
          <w:lang w:val="en-US" w:eastAsia="zh-CN"/>
        </w:rPr>
        <w:t>主导产业稳步发展，果品优果率和综合效益均提高30%以上，“沂源红”富锶苹果在全国苹果主产区营养品质评价中排名第一，鲁中山区桃产业集群入选全国优势特色产业集群；实施“一村一业”项目1308个，全县行政村集体经济经营性收入均超过10万元。乡村面貌持续改善。改造提升农村公路</w:t>
      </w:r>
      <w:r>
        <w:rPr>
          <w:rFonts w:hint="default" w:ascii="Times New Roman" w:hAnsi="Times New Roman" w:cs="Times New Roman"/>
          <w:b w:val="0"/>
          <w:bCs w:val="0"/>
          <w:highlight w:val="none"/>
          <w:lang w:val="en-US" w:eastAsia="zh-CN"/>
        </w:rPr>
        <w:t>192</w:t>
      </w:r>
      <w:r>
        <w:rPr>
          <w:rFonts w:hint="default" w:ascii="Times New Roman" w:hAnsi="Times New Roman" w:eastAsia="仿宋_GB2312" w:cs="Times New Roman"/>
          <w:b w:val="0"/>
          <w:bCs w:val="0"/>
          <w:highlight w:val="none"/>
          <w:lang w:val="en-US" w:eastAsia="zh-CN"/>
        </w:rPr>
        <w:t>公里，实施村道安防工程</w:t>
      </w:r>
      <w:r>
        <w:rPr>
          <w:rFonts w:hint="default" w:ascii="Times New Roman" w:hAnsi="Times New Roman" w:cs="Times New Roman"/>
          <w:b w:val="0"/>
          <w:bCs w:val="0"/>
          <w:highlight w:val="none"/>
          <w:lang w:val="en-US" w:eastAsia="zh-CN"/>
        </w:rPr>
        <w:t>965</w:t>
      </w:r>
      <w:r>
        <w:rPr>
          <w:rFonts w:hint="default" w:ascii="Times New Roman" w:hAnsi="Times New Roman" w:eastAsia="仿宋_GB2312" w:cs="Times New Roman"/>
          <w:b w:val="0"/>
          <w:bCs w:val="0"/>
          <w:highlight w:val="none"/>
          <w:lang w:val="en-US" w:eastAsia="zh-CN"/>
        </w:rPr>
        <w:t>公里</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危桥改造7座，开通10条“公交赶大集”线路；深入推进农村环境整治，农村供水保障工程</w:t>
      </w:r>
      <w:r>
        <w:rPr>
          <w:rFonts w:hint="default" w:ascii="Times New Roman" w:hAnsi="Times New Roman" w:cs="Times New Roman"/>
          <w:b w:val="0"/>
          <w:bCs w:val="0"/>
          <w:highlight w:val="none"/>
          <w:lang w:val="en-US" w:eastAsia="zh-CN"/>
        </w:rPr>
        <w:t>基本建成</w:t>
      </w:r>
      <w:r>
        <w:rPr>
          <w:rFonts w:hint="default" w:ascii="Times New Roman" w:hAnsi="Times New Roman" w:eastAsia="仿宋_GB2312" w:cs="Times New Roman"/>
          <w:b w:val="0"/>
          <w:bCs w:val="0"/>
          <w:highlight w:val="none"/>
          <w:lang w:val="en-US" w:eastAsia="zh-CN"/>
        </w:rPr>
        <w:t>；</w:t>
      </w:r>
      <w:r>
        <w:rPr>
          <w:rFonts w:hint="default" w:ascii="Times New Roman" w:hAnsi="Times New Roman" w:cs="Times New Roman"/>
          <w:b w:val="0"/>
          <w:bCs w:val="0"/>
          <w:highlight w:val="none"/>
          <w:lang w:val="en-US" w:eastAsia="zh-CN"/>
        </w:rPr>
        <w:t>入选</w:t>
      </w:r>
      <w:r>
        <w:rPr>
          <w:rFonts w:hint="default" w:ascii="Times New Roman" w:hAnsi="Times New Roman" w:eastAsia="仿宋_GB2312" w:cs="Times New Roman"/>
          <w:b w:val="0"/>
          <w:bCs w:val="0"/>
          <w:highlight w:val="none"/>
          <w:lang w:val="en-US" w:eastAsia="zh-CN"/>
        </w:rPr>
        <w:t>国家乡村振兴示范县创建</w:t>
      </w:r>
      <w:r>
        <w:rPr>
          <w:rFonts w:hint="default" w:ascii="Times New Roman" w:hAnsi="Times New Roman" w:cs="Times New Roman"/>
          <w:b w:val="0"/>
          <w:bCs w:val="0"/>
          <w:highlight w:val="none"/>
          <w:lang w:val="en-US" w:eastAsia="zh-CN"/>
        </w:rPr>
        <w:t>名单，</w:t>
      </w:r>
      <w:r>
        <w:rPr>
          <w:rFonts w:hint="default" w:ascii="Times New Roman" w:hAnsi="Times New Roman" w:eastAsia="仿宋_GB2312" w:cs="Times New Roman"/>
          <w:b w:val="0"/>
          <w:bCs w:val="0"/>
          <w:highlight w:val="none"/>
          <w:lang w:val="en-US" w:eastAsia="zh-CN"/>
        </w:rPr>
        <w:t>获评全国村庄清洁行动先进县、“四好农村路”省级示</w:t>
      </w:r>
      <w:r>
        <w:rPr>
          <w:rFonts w:hint="default" w:ascii="Times New Roman" w:hAnsi="Times New Roman" w:cs="Times New Roman"/>
          <w:b w:val="0"/>
          <w:bCs w:val="0"/>
          <w:highlight w:val="none"/>
          <w:lang w:val="en-US" w:eastAsia="zh-CN"/>
        </w:rPr>
        <w:t>范县，燕崖镇创成首批国家农业产业强镇，东里凤驿小镇、沂河源乡村艺术小镇、西里沂源红特色小镇入选省级特色小镇。</w:t>
      </w:r>
    </w:p>
    <w:p w14:paraId="26E6D00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城市更新加速蝶变</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秉持“高水平规划、高品质建设”理念，稳步推进城市更新，打造近悦远来、有温度、可感知、会呼吸的“现代山水花园城市”</w:t>
      </w:r>
      <w:r>
        <w:rPr>
          <w:rFonts w:hint="default" w:ascii="Times New Roman" w:hAnsi="Times New Roman" w:cs="Times New Roman"/>
          <w:b w:val="0"/>
          <w:bCs w:val="0"/>
          <w:highlight w:val="none"/>
          <w:lang w:val="en-US" w:eastAsia="zh-CN"/>
        </w:rPr>
        <w:t>，入选</w:t>
      </w:r>
      <w:r>
        <w:rPr>
          <w:rFonts w:hint="default" w:ascii="Times New Roman" w:hAnsi="Times New Roman" w:eastAsia="仿宋_GB2312" w:cs="Times New Roman"/>
          <w:b w:val="0"/>
          <w:bCs w:val="0"/>
          <w:highlight w:val="none"/>
          <w:lang w:val="en-US" w:eastAsia="zh-CN"/>
        </w:rPr>
        <w:t>以县城为重要载体的城镇化建设省级试点。城市功能更加完备。以“三纵一横”城市水系贯通城市空间脉络，打造青啤小镇、城市会客厅等6大活力片区；大力推进市政基础设施建设，临临高速、沂邳线、康源路等道路建成通车，城区实现5G网络和雨污分流全覆盖；扎实推进棚户区改造，先后交付5138套安置房；完成胜利山九九乐园、儿童乐园改造提升，新增“拇指公园”20处、精微卡点130处；以山东省“四星级</w:t>
      </w:r>
      <w:r>
        <w:rPr>
          <w:rFonts w:hint="default" w:ascii="Times New Roman" w:hAnsi="Times New Roman" w:cs="Times New Roman"/>
          <w:b w:val="0"/>
          <w:bCs w:val="0"/>
          <w:highlight w:val="none"/>
          <w:lang w:val="en-US" w:eastAsia="zh-CN"/>
        </w:rPr>
        <w:t>成长型新</w:t>
      </w:r>
      <w:r>
        <w:rPr>
          <w:rFonts w:hint="default" w:ascii="Times New Roman" w:hAnsi="Times New Roman" w:eastAsia="仿宋_GB2312" w:cs="Times New Roman"/>
          <w:b w:val="0"/>
          <w:bCs w:val="0"/>
          <w:highlight w:val="none"/>
          <w:lang w:val="en-US" w:eastAsia="zh-CN"/>
        </w:rPr>
        <w:t>型智慧城市”</w:t>
      </w:r>
      <w:r>
        <w:rPr>
          <w:rFonts w:hint="default" w:ascii="Times New Roman" w:hAnsi="Times New Roman" w:cs="Times New Roman"/>
          <w:b w:val="0"/>
          <w:bCs w:val="0"/>
          <w:highlight w:val="none"/>
          <w:lang w:val="en-US" w:eastAsia="zh-CN"/>
        </w:rPr>
        <w:t>建设</w:t>
      </w:r>
      <w:r>
        <w:rPr>
          <w:rFonts w:hint="default" w:ascii="Times New Roman" w:hAnsi="Times New Roman" w:eastAsia="仿宋_GB2312" w:cs="Times New Roman"/>
          <w:b w:val="0"/>
          <w:bCs w:val="0"/>
          <w:highlight w:val="none"/>
          <w:lang w:val="en-US" w:eastAsia="zh-CN"/>
        </w:rPr>
        <w:t>为契机，建成数字沂源“一网统管”综合指挥平台。全域旅游更具魅力。</w:t>
      </w:r>
      <w:r>
        <w:rPr>
          <w:rFonts w:hint="default" w:ascii="Times New Roman" w:hAnsi="Times New Roman" w:cs="Times New Roman"/>
          <w:b w:val="0"/>
          <w:bCs w:val="0"/>
          <w:highlight w:val="none"/>
          <w:lang w:val="en-US" w:eastAsia="zh-CN"/>
        </w:rPr>
        <w:t>牛郎织女景区创成国家4A级旅游景区，</w:t>
      </w:r>
      <w:r>
        <w:rPr>
          <w:rFonts w:hint="default" w:ascii="Times New Roman" w:hAnsi="Times New Roman" w:eastAsia="仿宋_GB2312" w:cs="Times New Roman"/>
          <w:b w:val="0"/>
          <w:bCs w:val="0"/>
          <w:highlight w:val="none"/>
          <w:lang w:val="en-US" w:eastAsia="zh-CN"/>
        </w:rPr>
        <w:t>“洞见·时光”、龙湾水乡等景点火爆出圈，旅游收入年均增长7.5%，连续举办“七夕情侣节”等节事活动，先后获评美丽中国首选旅游目的地、中国文旅融合创新典范县、2023深呼吸生态旅游魅力名县、省文旅康养强县。</w:t>
      </w:r>
    </w:p>
    <w:p w14:paraId="0274204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生态建设成色更足</w:t>
      </w:r>
      <w:r>
        <w:rPr>
          <w:rFonts w:hint="default" w:ascii="Times New Roman" w:hAnsi="Times New Roman" w:eastAsia="仿宋_GB2312" w:cs="Times New Roman"/>
          <w:b w:val="0"/>
          <w:bCs w:val="0"/>
          <w:highlight w:val="none"/>
          <w:lang w:val="en-US" w:eastAsia="zh-CN"/>
        </w:rPr>
        <w:t>。坚定不移走生态优先、绿色发展之路，统筹高质量发展、高水平保护、高品质生活、高效能治理，全县生态环境质量位列全省第一方阵。生态文明建设成效显著。入选国家生态文明建设示范区、全国水土保持空间管控试点县，省生态文明强县、省“绿水青山就是金山银山”实践创新基地</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获得省农业面源污染治理与监督指导试点典型案例第一名，完成山东省首单水土保持碳汇交易</w:t>
      </w:r>
      <w:r>
        <w:rPr>
          <w:rFonts w:hint="default" w:ascii="Times New Roman" w:hAnsi="Times New Roman" w:cs="Times New Roman"/>
          <w:b w:val="0"/>
          <w:bCs w:val="0"/>
          <w:highlight w:val="none"/>
          <w:lang w:val="en-US" w:eastAsia="zh-CN"/>
        </w:rPr>
        <w:t>，沂河（沂源段）获评国家美丽河湖优秀案例。</w:t>
      </w:r>
      <w:r>
        <w:rPr>
          <w:rFonts w:hint="default" w:ascii="Times New Roman" w:hAnsi="Times New Roman" w:eastAsia="仿宋_GB2312" w:cs="Times New Roman"/>
          <w:b w:val="0"/>
          <w:bCs w:val="0"/>
          <w:highlight w:val="none"/>
          <w:lang w:val="en-US" w:eastAsia="zh-CN"/>
        </w:rPr>
        <w:t>深入打好污染防治攻坚战。全县大气环境质量优良天数和综合指数稳居全市第一、全省前列，沂河韩旺、田庄水库坝上国控断面水质稳定达到地表水Ⅱ类标准，水环境质量指数稳居全市第一。扎实推进生态保护与修复。建立覆盖全域的“三线一单”生态环境分区管控体系，全面落实“林长制”“河湖长制”“田长制”“山长制”。实施森林围城、荒山绿化、森林抚育等行动，完成造林绿化提升3万亩，完成废弃矿山生态修复82处。着力做好节能减排工作。开展</w:t>
      </w:r>
      <w:r>
        <w:rPr>
          <w:rFonts w:hint="default" w:ascii="Times New Roman" w:hAnsi="Times New Roman" w:cs="Times New Roman"/>
          <w:b w:val="0"/>
          <w:bCs w:val="0"/>
          <w:highlight w:val="none"/>
          <w:lang w:val="en-US" w:eastAsia="zh-CN"/>
        </w:rPr>
        <w:t>碳达峰“</w:t>
      </w:r>
      <w:r>
        <w:rPr>
          <w:rFonts w:hint="default" w:ascii="Times New Roman" w:hAnsi="Times New Roman" w:eastAsia="仿宋_GB2312" w:cs="Times New Roman"/>
          <w:b w:val="0"/>
          <w:bCs w:val="0"/>
          <w:highlight w:val="none"/>
          <w:lang w:val="en-US" w:eastAsia="zh-CN"/>
        </w:rPr>
        <w:t>十大行动</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“四减四增”三年行动，严格“两高”项目清单化管理，落实五个减量替代，推动绿色低碳高质量发展。</w:t>
      </w:r>
    </w:p>
    <w:p w14:paraId="6F5B44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改革创新扎实推进</w:t>
      </w:r>
      <w:r>
        <w:rPr>
          <w:rFonts w:hint="default" w:ascii="Times New Roman" w:hAnsi="Times New Roman" w:eastAsia="仿宋_GB2312" w:cs="Times New Roman"/>
          <w:b w:val="0"/>
          <w:bCs w:val="0"/>
          <w:highlight w:val="none"/>
          <w:lang w:val="en-US" w:eastAsia="zh-CN"/>
        </w:rPr>
        <w:t>。坚持以改革创新为根本动力，深化重点领域和关键环节改革，深入实施“科技创新赋能”行动，获评省科技创新强县，有力激发高质量发展新动能。重点改革任务稳步推进。高质量完成机构改革，实施改革事项50项，获省级以上改革荣誉表彰215项，商事制度改革、医药卫生体制改革获省督</w:t>
      </w:r>
      <w:r>
        <w:rPr>
          <w:rFonts w:hint="eastAsia" w:ascii="Times New Roman" w:hAnsi="Times New Roman" w:cs="Times New Roman"/>
          <w:b w:val="0"/>
          <w:bCs w:val="0"/>
          <w:highlight w:val="none"/>
          <w:lang w:val="en-US" w:eastAsia="zh-CN"/>
        </w:rPr>
        <w:t>查</w:t>
      </w:r>
      <w:r>
        <w:rPr>
          <w:rFonts w:hint="default" w:ascii="Times New Roman" w:hAnsi="Times New Roman" w:eastAsia="仿宋_GB2312" w:cs="Times New Roman"/>
          <w:b w:val="0"/>
          <w:bCs w:val="0"/>
          <w:highlight w:val="none"/>
          <w:lang w:val="en-US" w:eastAsia="zh-CN"/>
        </w:rPr>
        <w:t>激励，农村集体经营性建设用地入市试点入选国家“农地入市”典型案例，民生综合体养老服务模式入选全国老龄社会建设创新案例。营商环境持续优化。深入实施“一号改革工程”，在全省率先推行“一证化”、信用审批“承诺即入”、全领域“无证明城市”、歇业“一件事”集成服务、“告知承诺制审批+信用积分制管理”等营商环境改革举措，</w:t>
      </w:r>
      <w:r>
        <w:rPr>
          <w:rFonts w:hint="default" w:ascii="Times New Roman" w:hAnsi="Times New Roman" w:cs="Times New Roman"/>
          <w:b w:val="0"/>
          <w:bCs w:val="0"/>
          <w:highlight w:val="none"/>
          <w:lang w:val="en-US" w:eastAsia="zh-CN"/>
        </w:rPr>
        <w:t>市场主体突破5</w:t>
      </w:r>
      <w:r>
        <w:rPr>
          <w:rFonts w:hint="default" w:ascii="Times New Roman" w:hAnsi="Times New Roman" w:eastAsia="仿宋_GB2312" w:cs="Times New Roman"/>
          <w:b w:val="0"/>
          <w:bCs w:val="0"/>
          <w:highlight w:val="none"/>
          <w:lang w:val="en-US" w:eastAsia="zh-CN"/>
        </w:rPr>
        <w:t>万户，多次获评全省县域营商环境“优秀”等次。科技创新成果丰硕。企业创新主体地位进一步强化，现有高新技术企业数量较“十三五”末增长</w:t>
      </w:r>
      <w:r>
        <w:rPr>
          <w:rFonts w:hint="default" w:ascii="Times New Roman" w:hAnsi="Times New Roman" w:cs="Times New Roman"/>
          <w:b w:val="0"/>
          <w:bCs w:val="0"/>
          <w:highlight w:val="none"/>
          <w:lang w:val="en-US" w:eastAsia="zh-CN"/>
        </w:rPr>
        <w:t>70</w:t>
      </w:r>
      <w:r>
        <w:rPr>
          <w:rFonts w:hint="default" w:ascii="Times New Roman" w:hAnsi="Times New Roman" w:eastAsia="仿宋_GB2312" w:cs="Times New Roman"/>
          <w:b w:val="0"/>
          <w:bCs w:val="0"/>
          <w:highlight w:val="none"/>
          <w:lang w:val="en-US" w:eastAsia="zh-CN"/>
        </w:rPr>
        <w:t>%，规上企业中有研发活动的企业占比超过70%，全县高新技术产业产值占比</w:t>
      </w:r>
      <w:r>
        <w:rPr>
          <w:rFonts w:hint="default" w:ascii="Times New Roman" w:hAnsi="Times New Roman" w:cs="Times New Roman"/>
          <w:b w:val="0"/>
          <w:bCs w:val="0"/>
          <w:highlight w:val="none"/>
          <w:lang w:val="en-US" w:eastAsia="zh-CN"/>
        </w:rPr>
        <w:t>90.4%</w:t>
      </w:r>
      <w:r>
        <w:rPr>
          <w:rFonts w:hint="default" w:ascii="Times New Roman" w:hAnsi="Times New Roman" w:eastAsia="仿宋_GB2312" w:cs="Times New Roman"/>
          <w:b w:val="0"/>
          <w:bCs w:val="0"/>
          <w:highlight w:val="none"/>
          <w:lang w:val="en-US" w:eastAsia="zh-CN"/>
        </w:rPr>
        <w:t>，位居全市第一、全省前列；产学研合作不断深化，46家国家级、省级创新平台在科技研发、成果转化方面发挥重要作用，42家企业先后与60余家高校院所、150余名专家教授开展成果转化合作；年均柔性引进各类高层次人才20人，企业“科技副总”达到40人。</w:t>
      </w:r>
    </w:p>
    <w:p w14:paraId="0DECBAA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民生实事可感可及</w:t>
      </w:r>
      <w:r>
        <w:rPr>
          <w:rFonts w:hint="default" w:ascii="Times New Roman" w:hAnsi="Times New Roman" w:eastAsia="仿宋_GB2312" w:cs="Times New Roman"/>
          <w:b w:val="0"/>
          <w:bCs w:val="0"/>
          <w:highlight w:val="none"/>
          <w:lang w:val="en-US" w:eastAsia="zh-CN"/>
        </w:rPr>
        <w:t>。始终践行以人民为中心的发展理念，着力办好民生实事，民生支出占一般公共预算支出始终保持在80%以上。公共服务水平全面提升。实施“教育三年提升行动”</w:t>
      </w:r>
      <w:r>
        <w:rPr>
          <w:rFonts w:hint="default" w:ascii="Times New Roman" w:hAnsi="Times New Roman" w:cs="Times New Roman"/>
          <w:b w:val="0"/>
          <w:bCs w:val="0"/>
          <w:highlight w:val="none"/>
          <w:lang w:val="en-US" w:eastAsia="zh-CN"/>
        </w:rPr>
        <w:t>，创成全国义务教育优质均衡发展县、国家学前教育普及普惠县，</w:t>
      </w:r>
      <w:r>
        <w:rPr>
          <w:rFonts w:hint="default" w:ascii="Times New Roman" w:hAnsi="Times New Roman" w:eastAsia="仿宋_GB2312" w:cs="Times New Roman"/>
          <w:b w:val="0"/>
          <w:bCs w:val="0"/>
          <w:highlight w:val="none"/>
          <w:lang w:val="en-US" w:eastAsia="zh-CN"/>
        </w:rPr>
        <w:t>新建荆山学校、人民路小学、第六实验幼儿园、振兴路幼儿园新园等7所</w:t>
      </w:r>
      <w:r>
        <w:rPr>
          <w:rFonts w:hint="default" w:ascii="Times New Roman" w:hAnsi="Times New Roman" w:cs="Times New Roman"/>
          <w:b w:val="0"/>
          <w:bCs w:val="0"/>
          <w:highlight w:val="none"/>
          <w:lang w:val="en-US" w:eastAsia="zh-CN"/>
        </w:rPr>
        <w:t>学校</w:t>
      </w:r>
      <w:r>
        <w:rPr>
          <w:rFonts w:hint="default" w:ascii="Times New Roman" w:hAnsi="Times New Roman" w:eastAsia="仿宋_GB2312" w:cs="Times New Roman"/>
          <w:b w:val="0"/>
          <w:bCs w:val="0"/>
          <w:highlight w:val="none"/>
          <w:lang w:val="en-US" w:eastAsia="zh-CN"/>
        </w:rPr>
        <w:t>，扩增城区小学学位7500余个，8人被清华、北大录取；深入推进“健康沂源”建设，县人民医院新院区建成投用，国家卫生县、镇创建实现全覆盖，通过国家慢性病综合防控示范区复审，建设106处中心村卫生室，建成15分钟健康服务圈；实施文化惠民工程，编纂完成《记忆沂源》，沂河头遗址作为跋山遗址群重要组成部分被列为2023年全国十大考古新发现，县图书馆通过国家一级馆复审，沂源博物馆获批国家二级博物馆</w:t>
      </w:r>
      <w:r>
        <w:rPr>
          <w:rFonts w:hint="default" w:ascii="Times New Roman" w:hAnsi="Times New Roman" w:cs="Times New Roman"/>
          <w:b w:val="0"/>
          <w:bCs w:val="0"/>
          <w:highlight w:val="none"/>
          <w:lang w:val="en-US" w:eastAsia="zh-CN"/>
        </w:rPr>
        <w:t>，打造“5+N”综合文化服务中心示范点71处</w:t>
      </w:r>
      <w:r>
        <w:rPr>
          <w:rFonts w:hint="default" w:ascii="Times New Roman" w:hAnsi="Times New Roman" w:eastAsia="仿宋_GB2312" w:cs="Times New Roman"/>
          <w:b w:val="0"/>
          <w:bCs w:val="0"/>
          <w:highlight w:val="none"/>
          <w:lang w:val="en-US" w:eastAsia="zh-CN"/>
        </w:rPr>
        <w:t>；健全完善全民健身组织网络体系，悦庄镇篮球队获“村BA”全国总决赛第六名，获评全国群众体育先进单位。兜住兜牢民生底线。落实援企稳岗政策，累计新增就业1.1万余人；全面落实社会救助政策，建设运营“沂源红”幸福家园民生综合体</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助餐服务点</w:t>
      </w:r>
      <w:r>
        <w:rPr>
          <w:rFonts w:hint="default" w:ascii="Times New Roman" w:hAnsi="Times New Roman" w:cs="Times New Roman"/>
          <w:b w:val="0"/>
          <w:bCs w:val="0"/>
          <w:highlight w:val="none"/>
          <w:lang w:val="en-US" w:eastAsia="zh-CN"/>
        </w:rPr>
        <w:t>398</w:t>
      </w:r>
      <w:r>
        <w:rPr>
          <w:rFonts w:hint="default" w:ascii="Times New Roman" w:hAnsi="Times New Roman" w:eastAsia="仿宋_GB2312" w:cs="Times New Roman"/>
          <w:b w:val="0"/>
          <w:bCs w:val="0"/>
          <w:highlight w:val="none"/>
          <w:lang w:val="en-US" w:eastAsia="zh-CN"/>
        </w:rPr>
        <w:t>处，</w:t>
      </w:r>
      <w:r>
        <w:rPr>
          <w:rFonts w:hint="default" w:ascii="Times New Roman" w:hAnsi="Times New Roman" w:cs="Times New Roman"/>
          <w:b w:val="0"/>
          <w:bCs w:val="0"/>
          <w:highlight w:val="none"/>
          <w:lang w:val="en-US" w:eastAsia="zh-CN"/>
        </w:rPr>
        <w:t>服务老人1000万人次，</w:t>
      </w:r>
      <w:r>
        <w:rPr>
          <w:rFonts w:hint="default" w:ascii="Times New Roman" w:hAnsi="Times New Roman" w:eastAsia="仿宋_GB2312" w:cs="Times New Roman"/>
          <w:b w:val="0"/>
          <w:bCs w:val="0"/>
          <w:highlight w:val="none"/>
          <w:lang w:val="en-US" w:eastAsia="zh-CN"/>
        </w:rPr>
        <w:t>入选首批全省社会救助综合改革试验区，获评全省县域养老服务体系创新示范县，“沂源红”荣获全省优秀社会救助品牌。</w:t>
      </w:r>
    </w:p>
    <w:p w14:paraId="7ED9145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w:t>
      </w:r>
      <w:r>
        <w:rPr>
          <w:rFonts w:hint="default" w:ascii="Times New Roman" w:hAnsi="Times New Roman" w:eastAsia="楷体_GB2312" w:cs="Times New Roman"/>
          <w:b w:val="0"/>
          <w:bCs w:val="0"/>
          <w:color w:val="auto"/>
          <w:kern w:val="2"/>
          <w:sz w:val="32"/>
          <w:szCs w:val="32"/>
          <w:highlight w:val="none"/>
          <w:lang w:val="en-US" w:eastAsia="zh-CN" w:bidi="ar-SA"/>
        </w:rPr>
        <w:t>社会大局和谐稳定</w:t>
      </w:r>
      <w:r>
        <w:rPr>
          <w:rFonts w:hint="default" w:ascii="Times New Roman" w:hAnsi="Times New Roman" w:eastAsia="仿宋_GB2312" w:cs="Times New Roman"/>
          <w:b w:val="0"/>
          <w:bCs w:val="0"/>
          <w:highlight w:val="none"/>
          <w:lang w:val="en-US" w:eastAsia="zh-CN"/>
        </w:rPr>
        <w:t>。从维护最广大人民群众根本利益出发，有效提升社会治理效能，努力实现高质量发展和高水平安全良性互动，连续多年保持全省平安县称号。不断提升发展韧性。牢牢守住城市运行安全底线，深入开展安全生产治本攻坚行动，做好防汛抗旱、森林防灭火工作，完成全县应急广播体系建设，全县安全生产形势总体平稳。有效化解重大风险。持续加大涉非涉众风险隐患排查整治，牢牢守住不发生区域性金融风险、不发生大规模群体性事件的底线，稳妥化解政府债务风险，抓好金融风险防范处置工作。全面提升治理能力。县镇村重大事项合法性审查全贯通机制获评全国法治政府建设示范项目，创新“风险分级管控、隐患四步治理”工作体系，各类案件数量和信访量逐年下降；军地军民团结关系进一步巩固发展，获评全国双拥模范县；圆满完成北京冬奥会、党的二十大、新中国成立75周年等安保维稳任务。</w:t>
      </w:r>
    </w:p>
    <w:p w14:paraId="2104F90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0"/>
          <w:highlight w:val="none"/>
          <w:lang w:val="en-US" w:eastAsia="zh-CN"/>
        </w:rPr>
      </w:pPr>
      <w:r>
        <w:rPr>
          <w:rFonts w:hint="default" w:ascii="Times New Roman" w:hAnsi="Times New Roman" w:cs="Times New Roman"/>
          <w:b w:val="0"/>
          <w:bCs w:val="0"/>
          <w:highlight w:val="none"/>
          <w:lang w:val="en-US" w:eastAsia="zh-CN"/>
        </w:rPr>
        <w:t>经过“十四五”时期的努力奋斗，全县经济社会发展实现了新的跨越，站</w:t>
      </w:r>
      <w:r>
        <w:rPr>
          <w:rFonts w:hint="default" w:ascii="Times New Roman" w:hAnsi="Times New Roman" w:cs="Times New Roman"/>
          <w:b w:val="0"/>
          <w:bCs w:val="0"/>
          <w:spacing w:val="0"/>
          <w:highlight w:val="none"/>
          <w:lang w:val="en-US" w:eastAsia="zh-CN"/>
        </w:rPr>
        <w:t>上了新的起点。这些成绩的取得，是习近平新时代中国特色社会主义思想科学指引的结果，是以习近平同志为核心的党中央坚强领导的结果，是习近平总书记视察山东重要讲话精神和重要指示要求转化落地的结果，是历届县委</w:t>
      </w:r>
      <w:r>
        <w:rPr>
          <w:rFonts w:hint="default" w:ascii="Times New Roman" w:hAnsi="Times New Roman" w:cs="Times New Roman"/>
          <w:b w:val="0"/>
          <w:bCs w:val="0"/>
          <w:color w:val="auto"/>
          <w:spacing w:val="0"/>
          <w:highlight w:val="none"/>
          <w:lang w:val="en-US" w:eastAsia="zh-CN"/>
        </w:rPr>
        <w:t>县</w:t>
      </w:r>
      <w:r>
        <w:rPr>
          <w:rFonts w:hint="eastAsia" w:ascii="Times New Roman" w:hAnsi="Times New Roman" w:cs="Times New Roman"/>
          <w:b w:val="0"/>
          <w:bCs w:val="0"/>
          <w:color w:val="auto"/>
          <w:spacing w:val="0"/>
          <w:highlight w:val="none"/>
          <w:lang w:val="en-US" w:eastAsia="zh-CN"/>
        </w:rPr>
        <w:t>人民</w:t>
      </w:r>
      <w:r>
        <w:rPr>
          <w:rFonts w:hint="default" w:ascii="Times New Roman" w:hAnsi="Times New Roman" w:cs="Times New Roman"/>
          <w:b w:val="0"/>
          <w:bCs w:val="0"/>
          <w:color w:val="auto"/>
          <w:spacing w:val="0"/>
          <w:highlight w:val="none"/>
          <w:lang w:val="en-US" w:eastAsia="zh-CN"/>
        </w:rPr>
        <w:t>政府</w:t>
      </w:r>
      <w:r>
        <w:rPr>
          <w:rFonts w:hint="default" w:ascii="Times New Roman" w:hAnsi="Times New Roman" w:cs="Times New Roman"/>
          <w:b w:val="0"/>
          <w:bCs w:val="0"/>
          <w:spacing w:val="0"/>
          <w:highlight w:val="none"/>
          <w:lang w:val="en-US" w:eastAsia="zh-CN"/>
        </w:rPr>
        <w:t>带领全县广大党员干部群众努力拼搏奋斗的结果，为“十五五”时期</w:t>
      </w:r>
      <w:r>
        <w:rPr>
          <w:rFonts w:hint="eastAsia" w:ascii="Times New Roman" w:hAnsi="Times New Roman" w:cs="Times New Roman"/>
          <w:b w:val="0"/>
          <w:bCs w:val="0"/>
          <w:spacing w:val="0"/>
          <w:highlight w:val="none"/>
          <w:lang w:val="en-US" w:eastAsia="zh-CN"/>
        </w:rPr>
        <w:t>推进新时代社会主义现代化强县建设</w:t>
      </w:r>
      <w:r>
        <w:rPr>
          <w:rFonts w:hint="default" w:ascii="Times New Roman" w:hAnsi="Times New Roman" w:cs="Times New Roman"/>
          <w:b w:val="0"/>
          <w:bCs w:val="0"/>
          <w:spacing w:val="0"/>
          <w:highlight w:val="none"/>
          <w:lang w:val="en-US" w:eastAsia="zh-CN"/>
        </w:rPr>
        <w:t>打下了坚实基础。</w:t>
      </w:r>
    </w:p>
    <w:p w14:paraId="057918EE">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highlight w:val="none"/>
          <w:lang w:val="en-US" w:eastAsia="zh-CN"/>
        </w:rPr>
      </w:pPr>
      <w:bookmarkStart w:id="9" w:name="_Toc7546"/>
      <w:bookmarkStart w:id="10" w:name="_Toc547"/>
      <w:r>
        <w:rPr>
          <w:rFonts w:hint="default" w:ascii="Times New Roman" w:hAnsi="Times New Roman" w:cs="Times New Roman"/>
          <w:spacing w:val="0"/>
          <w:sz w:val="32"/>
          <w:szCs w:val="22"/>
          <w:highlight w:val="none"/>
          <w:lang w:val="en-US" w:eastAsia="zh-CN"/>
        </w:rPr>
        <w:t>第二节  发展环境</w:t>
      </w:r>
      <w:bookmarkEnd w:id="9"/>
    </w:p>
    <w:p w14:paraId="2FE09C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0"/>
          <w:highlight w:val="none"/>
        </w:rPr>
      </w:pPr>
      <w:r>
        <w:rPr>
          <w:rFonts w:hint="default" w:ascii="Times New Roman" w:hAnsi="Times New Roman" w:cs="Times New Roman"/>
          <w:b w:val="0"/>
          <w:bCs w:val="0"/>
          <w:spacing w:val="0"/>
          <w:highlight w:val="none"/>
        </w:rPr>
        <w:t>“十五五”时期</w:t>
      </w:r>
      <w:r>
        <w:rPr>
          <w:rFonts w:hint="default" w:ascii="Times New Roman" w:hAnsi="Times New Roman" w:cs="Times New Roman"/>
          <w:b w:val="0"/>
          <w:bCs w:val="0"/>
          <w:spacing w:val="0"/>
          <w:highlight w:val="none"/>
          <w:lang w:val="en-US" w:eastAsia="zh-CN"/>
        </w:rPr>
        <w:t>既</w:t>
      </w:r>
      <w:r>
        <w:rPr>
          <w:rFonts w:hint="default" w:ascii="Times New Roman" w:hAnsi="Times New Roman" w:cs="Times New Roman"/>
          <w:b w:val="0"/>
          <w:bCs w:val="0"/>
          <w:spacing w:val="0"/>
          <w:highlight w:val="none"/>
        </w:rPr>
        <w:t>是我国基本实现社会主义现代化夯实基础、全面发力的关键时期，也是我县破解城乡二元化主要矛盾，推动强城提能、兴村提质、融合提效，缩小</w:t>
      </w:r>
      <w:r>
        <w:rPr>
          <w:rFonts w:hint="eastAsia" w:ascii="Times New Roman" w:hAnsi="Times New Roman" w:cs="Times New Roman"/>
          <w:b w:val="0"/>
          <w:bCs w:val="0"/>
          <w:spacing w:val="0"/>
          <w:highlight w:val="none"/>
          <w:lang w:eastAsia="zh-CN"/>
        </w:rPr>
        <w:t>镇街</w:t>
      </w:r>
      <w:r>
        <w:rPr>
          <w:rFonts w:hint="default" w:ascii="Times New Roman" w:hAnsi="Times New Roman" w:cs="Times New Roman"/>
          <w:b w:val="0"/>
          <w:bCs w:val="0"/>
          <w:spacing w:val="0"/>
          <w:highlight w:val="none"/>
        </w:rPr>
        <w:t>、城乡、收入“三大差距”</w:t>
      </w:r>
      <w:r>
        <w:rPr>
          <w:rFonts w:hint="default" w:ascii="Times New Roman" w:hAnsi="Times New Roman" w:cs="Times New Roman"/>
          <w:b w:val="0"/>
          <w:bCs w:val="0"/>
          <w:spacing w:val="0"/>
          <w:highlight w:val="none"/>
          <w:lang w:eastAsia="zh-CN"/>
        </w:rPr>
        <w:t>，</w:t>
      </w:r>
      <w:r>
        <w:rPr>
          <w:rFonts w:hint="default" w:ascii="Times New Roman" w:hAnsi="Times New Roman" w:cs="Times New Roman"/>
          <w:b w:val="0"/>
          <w:bCs w:val="0"/>
          <w:spacing w:val="0"/>
          <w:highlight w:val="none"/>
        </w:rPr>
        <w:t>开创县域高质量发展新局面的关键时期。未来五年，要进一步巩固发展优势、破除瓶颈制约、补强短板弱项，推动新时代社会主义现代化强县建设取得全方位进展。</w:t>
      </w:r>
    </w:p>
    <w:p w14:paraId="3270F0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0"/>
          <w:sz w:val="32"/>
          <w:highlight w:val="none"/>
        </w:rPr>
      </w:pP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lang w:val="en-US" w:eastAsia="zh-CN"/>
        </w:rPr>
        <w:t>十五五</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lang w:val="en-US" w:eastAsia="zh-CN"/>
        </w:rPr>
        <w:t>时期</w:t>
      </w:r>
      <w:r>
        <w:rPr>
          <w:rFonts w:hint="default" w:ascii="Times New Roman" w:hAnsi="Times New Roman" w:cs="Times New Roman"/>
          <w:b w:val="0"/>
          <w:bCs w:val="0"/>
          <w:spacing w:val="0"/>
          <w:sz w:val="32"/>
          <w:highlight w:val="none"/>
        </w:rPr>
        <w:t>，国际环境日趋复杂，各种不确定难预料因素增多，我国发展处于战略机遇和风险挑战并存时期。从国际看，世界百年变局加速演进，国际力量对比深刻调整。我国具备主动运筹国际空间、塑造外部环境的诸多有利因素。同时，世界变乱交织、动荡加剧，地缘政治冲突频发，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从</w:t>
      </w:r>
      <w:r>
        <w:rPr>
          <w:rFonts w:hint="default" w:ascii="Times New Roman" w:hAnsi="Times New Roman" w:cs="Times New Roman"/>
          <w:b w:val="0"/>
          <w:bCs w:val="0"/>
          <w:spacing w:val="0"/>
          <w:sz w:val="32"/>
          <w:highlight w:val="none"/>
          <w:lang w:val="en-US" w:eastAsia="zh-CN"/>
        </w:rPr>
        <w:t>山东</w:t>
      </w:r>
      <w:r>
        <w:rPr>
          <w:rFonts w:hint="default" w:ascii="Times New Roman" w:hAnsi="Times New Roman" w:cs="Times New Roman"/>
          <w:b w:val="0"/>
          <w:bCs w:val="0"/>
          <w:spacing w:val="0"/>
          <w:sz w:val="32"/>
          <w:highlight w:val="none"/>
        </w:rPr>
        <w:t>省看，党的十八大以来，习近平总书记</w:t>
      </w:r>
      <w:r>
        <w:rPr>
          <w:rFonts w:hint="default" w:ascii="Times New Roman" w:hAnsi="Times New Roman" w:cs="Times New Roman"/>
          <w:b w:val="0"/>
          <w:bCs w:val="0"/>
          <w:spacing w:val="0"/>
          <w:sz w:val="32"/>
          <w:highlight w:val="none"/>
          <w:lang w:val="en-US" w:eastAsia="zh-CN"/>
        </w:rPr>
        <w:t>六</w:t>
      </w:r>
      <w:r>
        <w:rPr>
          <w:rFonts w:hint="default" w:ascii="Times New Roman" w:hAnsi="Times New Roman" w:cs="Times New Roman"/>
          <w:b w:val="0"/>
          <w:bCs w:val="0"/>
          <w:spacing w:val="0"/>
          <w:sz w:val="32"/>
          <w:highlight w:val="none"/>
        </w:rPr>
        <w:t>次到山东视察，作出一系列重要指示批示，为全省发展提供了方向路径和根本遵循。</w:t>
      </w:r>
      <w:r>
        <w:rPr>
          <w:rFonts w:hint="default" w:ascii="Times New Roman" w:hAnsi="Times New Roman" w:cs="Times New Roman"/>
          <w:b w:val="0"/>
          <w:bCs w:val="0"/>
          <w:spacing w:val="0"/>
          <w:sz w:val="32"/>
          <w:highlight w:val="none"/>
          <w:lang w:val="en-US" w:eastAsia="zh-CN"/>
        </w:rPr>
        <w:t>全省</w:t>
      </w:r>
      <w:r>
        <w:rPr>
          <w:rFonts w:hint="default" w:ascii="Times New Roman" w:hAnsi="Times New Roman" w:cs="Times New Roman"/>
          <w:b w:val="0"/>
          <w:bCs w:val="0"/>
          <w:spacing w:val="0"/>
          <w:sz w:val="32"/>
          <w:highlight w:val="none"/>
        </w:rPr>
        <w:t>实施“十大工程”</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rPr>
        <w:t>形成了标志性、体系化的强省建设推进路径，为</w:t>
      </w:r>
      <w:r>
        <w:rPr>
          <w:rFonts w:hint="default" w:ascii="Times New Roman" w:hAnsi="Times New Roman" w:cs="Times New Roman"/>
          <w:b w:val="0"/>
          <w:bCs w:val="0"/>
          <w:spacing w:val="0"/>
          <w:sz w:val="32"/>
          <w:highlight w:val="none"/>
          <w:lang w:val="en-US" w:eastAsia="zh-CN"/>
        </w:rPr>
        <w:t>县域经济</w:t>
      </w:r>
      <w:r>
        <w:rPr>
          <w:rFonts w:hint="default" w:ascii="Times New Roman" w:hAnsi="Times New Roman" w:cs="Times New Roman"/>
          <w:b w:val="0"/>
          <w:bCs w:val="0"/>
          <w:spacing w:val="0"/>
          <w:sz w:val="32"/>
          <w:highlight w:val="none"/>
        </w:rPr>
        <w:t>高质量发展拓展新空间、强化新支撑。从</w:t>
      </w:r>
      <w:r>
        <w:rPr>
          <w:rFonts w:hint="default" w:ascii="Times New Roman" w:hAnsi="Times New Roman" w:cs="Times New Roman"/>
          <w:b w:val="0"/>
          <w:bCs w:val="0"/>
          <w:spacing w:val="0"/>
          <w:sz w:val="32"/>
          <w:highlight w:val="none"/>
          <w:lang w:val="en-US" w:eastAsia="zh-CN"/>
        </w:rPr>
        <w:t>淄博</w:t>
      </w:r>
      <w:r>
        <w:rPr>
          <w:rFonts w:hint="default" w:ascii="Times New Roman" w:hAnsi="Times New Roman" w:cs="Times New Roman"/>
          <w:b w:val="0"/>
          <w:bCs w:val="0"/>
          <w:spacing w:val="0"/>
          <w:sz w:val="32"/>
          <w:highlight w:val="none"/>
        </w:rPr>
        <w:t>市看，近年来致力于发展和培育新质生产力，在创新发展、城市治理等方面取得了显著成效，“五个淄博”建设深入推进，形成了“人好物美心齐”的局面。</w:t>
      </w:r>
    </w:p>
    <w:p w14:paraId="2B0F02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0"/>
          <w:sz w:val="32"/>
          <w:highlight w:val="none"/>
        </w:rPr>
      </w:pPr>
      <w:r>
        <w:rPr>
          <w:rFonts w:hint="default" w:ascii="Times New Roman" w:hAnsi="Times New Roman" w:cs="Times New Roman"/>
          <w:b w:val="0"/>
          <w:bCs w:val="0"/>
          <w:spacing w:val="0"/>
          <w:sz w:val="32"/>
          <w:highlight w:val="none"/>
        </w:rPr>
        <w:t>从</w:t>
      </w:r>
      <w:r>
        <w:rPr>
          <w:rFonts w:hint="default" w:ascii="Times New Roman" w:hAnsi="Times New Roman" w:cs="Times New Roman"/>
          <w:b w:val="0"/>
          <w:bCs w:val="0"/>
          <w:spacing w:val="0"/>
          <w:sz w:val="32"/>
          <w:highlight w:val="none"/>
          <w:lang w:val="en-US" w:eastAsia="zh-CN"/>
        </w:rPr>
        <w:t>沂源县自身</w:t>
      </w:r>
      <w:r>
        <w:rPr>
          <w:rFonts w:hint="default" w:ascii="Times New Roman" w:hAnsi="Times New Roman" w:cs="Times New Roman"/>
          <w:b w:val="0"/>
          <w:bCs w:val="0"/>
          <w:spacing w:val="0"/>
          <w:sz w:val="32"/>
          <w:highlight w:val="none"/>
        </w:rPr>
        <w:t>看</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rPr>
        <w:t>习近平总书记</w:t>
      </w:r>
      <w:r>
        <w:rPr>
          <w:rFonts w:hint="default" w:ascii="Times New Roman" w:hAnsi="Times New Roman" w:cs="Times New Roman"/>
          <w:b w:val="0"/>
          <w:bCs w:val="0"/>
          <w:spacing w:val="0"/>
          <w:sz w:val="32"/>
          <w:highlight w:val="none"/>
          <w:lang w:val="en-US" w:eastAsia="zh-CN"/>
        </w:rPr>
        <w:t>视察山东</w:t>
      </w:r>
      <w:r>
        <w:rPr>
          <w:rFonts w:hint="default" w:ascii="Times New Roman" w:hAnsi="Times New Roman" w:cs="Times New Roman"/>
          <w:b w:val="0"/>
          <w:bCs w:val="0"/>
          <w:spacing w:val="0"/>
          <w:sz w:val="32"/>
          <w:highlight w:val="none"/>
        </w:rPr>
        <w:t>重要讲话</w:t>
      </w:r>
      <w:r>
        <w:rPr>
          <w:rFonts w:hint="default" w:ascii="Times New Roman" w:hAnsi="Times New Roman" w:cs="Times New Roman"/>
          <w:b w:val="0"/>
          <w:bCs w:val="0"/>
          <w:spacing w:val="0"/>
          <w:sz w:val="32"/>
          <w:highlight w:val="none"/>
          <w:lang w:val="en-US" w:eastAsia="zh-CN"/>
        </w:rPr>
        <w:t>精神和关于大力发展县域经济的重要论述</w:t>
      </w:r>
      <w:r>
        <w:rPr>
          <w:rFonts w:hint="default" w:ascii="Times New Roman" w:hAnsi="Times New Roman" w:cs="Times New Roman"/>
          <w:b w:val="0"/>
          <w:bCs w:val="0"/>
          <w:spacing w:val="0"/>
          <w:sz w:val="32"/>
          <w:highlight w:val="none"/>
        </w:rPr>
        <w:t>为</w:t>
      </w:r>
      <w:r>
        <w:rPr>
          <w:rFonts w:hint="default" w:ascii="Times New Roman" w:hAnsi="Times New Roman" w:cs="Times New Roman"/>
          <w:b w:val="0"/>
          <w:bCs w:val="0"/>
          <w:spacing w:val="0"/>
          <w:sz w:val="32"/>
          <w:highlight w:val="none"/>
          <w:lang w:val="en-US" w:eastAsia="zh-CN"/>
        </w:rPr>
        <w:t>全县“十五五”时期推进现代化强县建设</w:t>
      </w:r>
      <w:r>
        <w:rPr>
          <w:rFonts w:hint="default" w:ascii="Times New Roman" w:hAnsi="Times New Roman" w:cs="Times New Roman"/>
          <w:b w:val="0"/>
          <w:bCs w:val="0"/>
          <w:spacing w:val="0"/>
          <w:sz w:val="32"/>
          <w:highlight w:val="none"/>
        </w:rPr>
        <w:t>指明了方向</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lang w:val="en-US" w:eastAsia="zh-CN"/>
        </w:rPr>
        <w:t>国家层面</w:t>
      </w:r>
      <w:r>
        <w:rPr>
          <w:rFonts w:hint="default" w:ascii="Times New Roman" w:hAnsi="Times New Roman" w:eastAsia="仿宋_GB2312" w:cs="Times New Roman"/>
          <w:b w:val="0"/>
          <w:bCs w:val="0"/>
          <w:spacing w:val="0"/>
          <w:kern w:val="2"/>
          <w:sz w:val="32"/>
          <w:szCs w:val="24"/>
          <w:highlight w:val="none"/>
          <w:lang w:val="en-US" w:eastAsia="zh-CN" w:bidi="ar-SA"/>
        </w:rPr>
        <w:t>推动经济持续健康发展和社会全面进步</w:t>
      </w:r>
      <w:r>
        <w:rPr>
          <w:rFonts w:hint="default" w:ascii="Times New Roman" w:hAnsi="Times New Roman" w:cs="Times New Roman"/>
          <w:b w:val="0"/>
          <w:bCs w:val="0"/>
          <w:spacing w:val="0"/>
          <w:kern w:val="2"/>
          <w:sz w:val="32"/>
          <w:szCs w:val="24"/>
          <w:highlight w:val="none"/>
          <w:lang w:val="en-US" w:eastAsia="zh-CN" w:bidi="ar-SA"/>
        </w:rPr>
        <w:t>、</w:t>
      </w:r>
      <w:r>
        <w:rPr>
          <w:rFonts w:hint="default" w:ascii="Times New Roman" w:hAnsi="Times New Roman" w:cs="Times New Roman"/>
          <w:b w:val="0"/>
          <w:bCs w:val="0"/>
          <w:spacing w:val="0"/>
          <w:sz w:val="32"/>
          <w:highlight w:val="none"/>
          <w:lang w:eastAsia="zh-CN"/>
        </w:rPr>
        <w:t>推进新型城镇化和乡村全面振兴、</w:t>
      </w:r>
      <w:r>
        <w:rPr>
          <w:rFonts w:hint="default" w:ascii="Times New Roman" w:hAnsi="Times New Roman" w:cs="Times New Roman"/>
          <w:b w:val="0"/>
          <w:bCs w:val="0"/>
          <w:spacing w:val="0"/>
          <w:sz w:val="32"/>
          <w:highlight w:val="none"/>
          <w:lang w:val="en-US" w:eastAsia="zh-CN"/>
        </w:rPr>
        <w:t>推动能耗双控向碳排放双控转变等重大战略将在沂源县叠加融合，为我县推动</w:t>
      </w:r>
      <w:r>
        <w:rPr>
          <w:rFonts w:hint="default" w:ascii="Times New Roman" w:hAnsi="Times New Roman" w:cs="Times New Roman"/>
          <w:b w:val="0"/>
          <w:bCs w:val="0"/>
          <w:spacing w:val="0"/>
          <w:sz w:val="32"/>
          <w:highlight w:val="none"/>
          <w:lang w:eastAsia="zh-CN"/>
        </w:rPr>
        <w:t>经济质的有效提升</w:t>
      </w:r>
      <w:r>
        <w:rPr>
          <w:rFonts w:hint="default" w:ascii="Times New Roman" w:hAnsi="Times New Roman" w:cs="Times New Roman"/>
          <w:b w:val="0"/>
          <w:bCs w:val="0"/>
          <w:spacing w:val="0"/>
          <w:sz w:val="32"/>
          <w:highlight w:val="none"/>
          <w:lang w:val="en-US" w:eastAsia="zh-CN"/>
        </w:rPr>
        <w:t>和</w:t>
      </w:r>
      <w:r>
        <w:rPr>
          <w:rFonts w:hint="default" w:ascii="Times New Roman" w:hAnsi="Times New Roman" w:cs="Times New Roman"/>
          <w:b w:val="0"/>
          <w:bCs w:val="0"/>
          <w:spacing w:val="0"/>
          <w:sz w:val="32"/>
          <w:highlight w:val="none"/>
          <w:lang w:eastAsia="zh-CN"/>
        </w:rPr>
        <w:t>量的合理增长、</w:t>
      </w:r>
      <w:r>
        <w:rPr>
          <w:rFonts w:hint="default" w:ascii="Times New Roman" w:hAnsi="Times New Roman" w:cs="Times New Roman"/>
          <w:b w:val="0"/>
          <w:bCs w:val="0"/>
          <w:spacing w:val="0"/>
          <w:sz w:val="32"/>
          <w:highlight w:val="none"/>
          <w:lang w:val="en-US" w:eastAsia="zh-CN"/>
        </w:rPr>
        <w:t>推动</w:t>
      </w:r>
      <w:r>
        <w:rPr>
          <w:rFonts w:hint="default" w:ascii="Times New Roman" w:hAnsi="Times New Roman" w:cs="Times New Roman"/>
          <w:b w:val="0"/>
          <w:bCs w:val="0"/>
          <w:spacing w:val="0"/>
          <w:sz w:val="32"/>
          <w:highlight w:val="none"/>
          <w:lang w:eastAsia="zh-CN"/>
        </w:rPr>
        <w:t>人的全面发展</w:t>
      </w:r>
      <w:r>
        <w:rPr>
          <w:rFonts w:hint="default" w:ascii="Times New Roman" w:hAnsi="Times New Roman" w:cs="Times New Roman"/>
          <w:b w:val="0"/>
          <w:bCs w:val="0"/>
          <w:spacing w:val="0"/>
          <w:sz w:val="32"/>
          <w:highlight w:val="none"/>
          <w:lang w:val="en-US" w:eastAsia="zh-CN"/>
        </w:rPr>
        <w:t>和</w:t>
      </w:r>
      <w:r>
        <w:rPr>
          <w:rFonts w:hint="default" w:ascii="Times New Roman" w:hAnsi="Times New Roman" w:cs="Times New Roman"/>
          <w:b w:val="0"/>
          <w:bCs w:val="0"/>
          <w:spacing w:val="0"/>
          <w:sz w:val="32"/>
          <w:highlight w:val="none"/>
          <w:lang w:eastAsia="zh-CN"/>
        </w:rPr>
        <w:t>全体人民共同富裕迈出坚实步伐、</w:t>
      </w:r>
      <w:r>
        <w:rPr>
          <w:rFonts w:hint="default" w:ascii="Times New Roman" w:hAnsi="Times New Roman" w:cs="Times New Roman"/>
          <w:b w:val="0"/>
          <w:bCs w:val="0"/>
          <w:spacing w:val="0"/>
          <w:sz w:val="32"/>
          <w:highlight w:val="none"/>
          <w:lang w:val="en-US" w:eastAsia="zh-CN"/>
        </w:rPr>
        <w:t>推动生态环境优势转化为高质量发展胜势营造了良好政策环境。</w:t>
      </w:r>
      <w:r>
        <w:rPr>
          <w:rFonts w:hint="default" w:ascii="Times New Roman" w:hAnsi="Times New Roman" w:cs="Times New Roman"/>
          <w:b w:val="0"/>
          <w:bCs w:val="0"/>
          <w:spacing w:val="0"/>
          <w:sz w:val="32"/>
          <w:highlight w:val="none"/>
        </w:rPr>
        <w:t>同时，</w:t>
      </w:r>
      <w:r>
        <w:rPr>
          <w:rFonts w:hint="default" w:ascii="Times New Roman" w:hAnsi="Times New Roman" w:cs="Times New Roman"/>
          <w:b w:val="0"/>
          <w:bCs w:val="0"/>
          <w:spacing w:val="0"/>
          <w:sz w:val="32"/>
          <w:highlight w:val="none"/>
          <w:lang w:val="en-US" w:eastAsia="zh-CN"/>
        </w:rPr>
        <w:t>沂源县</w:t>
      </w:r>
      <w:r>
        <w:rPr>
          <w:rFonts w:hint="default" w:ascii="Times New Roman" w:hAnsi="Times New Roman" w:cs="Times New Roman"/>
          <w:b w:val="0"/>
          <w:bCs w:val="0"/>
          <w:spacing w:val="0"/>
          <w:sz w:val="32"/>
          <w:highlight w:val="none"/>
        </w:rPr>
        <w:t>发展还处于转型升级、突破发展的关键阶段，经济总量不大、产业结构不优、基础设施欠缺，生态环保、风险防控等方面仍面临压力，高质量发展</w:t>
      </w:r>
      <w:r>
        <w:rPr>
          <w:rFonts w:hint="default" w:ascii="Times New Roman" w:hAnsi="Times New Roman" w:cs="Times New Roman"/>
          <w:b w:val="0"/>
          <w:bCs w:val="0"/>
          <w:spacing w:val="0"/>
          <w:sz w:val="32"/>
          <w:highlight w:val="none"/>
          <w:lang w:val="en-US" w:eastAsia="zh-CN"/>
        </w:rPr>
        <w:t>水平</w:t>
      </w:r>
      <w:r>
        <w:rPr>
          <w:rFonts w:hint="default" w:ascii="Times New Roman" w:hAnsi="Times New Roman" w:cs="Times New Roman"/>
          <w:b w:val="0"/>
          <w:bCs w:val="0"/>
          <w:spacing w:val="0"/>
          <w:sz w:val="32"/>
          <w:highlight w:val="none"/>
        </w:rPr>
        <w:t>有待进一步提升。</w:t>
      </w:r>
    </w:p>
    <w:p w14:paraId="02BB2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highlight w:val="none"/>
          <w:lang w:val="en-US" w:eastAsia="zh-CN"/>
        </w:rPr>
      </w:pPr>
      <w:r>
        <w:rPr>
          <w:rFonts w:hint="default" w:ascii="Times New Roman" w:hAnsi="Times New Roman" w:cs="Times New Roman"/>
          <w:b w:val="0"/>
          <w:bCs w:val="0"/>
          <w:spacing w:val="0"/>
          <w:highlight w:val="none"/>
        </w:rPr>
        <w:t>综合判断，“十五五”时期，</w:t>
      </w:r>
      <w:r>
        <w:rPr>
          <w:rFonts w:hint="default" w:ascii="Times New Roman" w:hAnsi="Times New Roman" w:cs="Times New Roman"/>
          <w:b w:val="0"/>
          <w:bCs w:val="0"/>
          <w:spacing w:val="0"/>
          <w:highlight w:val="none"/>
          <w:lang w:val="en-US" w:eastAsia="zh-CN"/>
        </w:rPr>
        <w:t>沂源县发展</w:t>
      </w:r>
      <w:r>
        <w:rPr>
          <w:rFonts w:hint="default" w:ascii="Times New Roman" w:hAnsi="Times New Roman" w:cs="Times New Roman"/>
          <w:b w:val="0"/>
          <w:bCs w:val="0"/>
          <w:spacing w:val="0"/>
          <w:highlight w:val="none"/>
        </w:rPr>
        <w:t>仍处于重要战略机遇期，但机遇和挑战都有新的发展变化，机遇大于挑战</w:t>
      </w:r>
      <w:r>
        <w:rPr>
          <w:rFonts w:hint="default" w:ascii="Times New Roman" w:hAnsi="Times New Roman" w:cs="Times New Roman"/>
          <w:b w:val="0"/>
          <w:bCs w:val="0"/>
          <w:spacing w:val="0"/>
          <w:highlight w:val="none"/>
          <w:lang w:eastAsia="zh-CN"/>
        </w:rPr>
        <w:t>、</w:t>
      </w:r>
      <w:r>
        <w:rPr>
          <w:rFonts w:hint="default" w:ascii="Times New Roman" w:hAnsi="Times New Roman" w:cs="Times New Roman"/>
          <w:b w:val="0"/>
          <w:bCs w:val="0"/>
          <w:spacing w:val="0"/>
          <w:highlight w:val="none"/>
        </w:rPr>
        <w:t>有利条件胜过不利因素。全县上下要切实把思想和行动统一到以习近平同志为核心的党中央决策部署上来，保持战略定力，准确识变、科学应变、主动求变，以历史主动精神克难关、战风险、迎挑战，集中力量办好自己的事，以工作的确定性应对形势的不确定性，努力在高质量发展中赢得领先优势、拼出领先身位，</w:t>
      </w:r>
      <w:r>
        <w:rPr>
          <w:rFonts w:hint="default" w:ascii="Times New Roman" w:hAnsi="Times New Roman" w:cs="Times New Roman"/>
          <w:b w:val="0"/>
          <w:bCs w:val="0"/>
          <w:spacing w:val="0"/>
          <w:highlight w:val="none"/>
          <w:lang w:val="en-US" w:eastAsia="zh-CN"/>
        </w:rPr>
        <w:t>努力</w:t>
      </w:r>
      <w:r>
        <w:rPr>
          <w:rFonts w:hint="default" w:ascii="Times New Roman" w:hAnsi="Times New Roman" w:cs="Times New Roman"/>
          <w:b w:val="0"/>
          <w:bCs w:val="0"/>
          <w:spacing w:val="0"/>
          <w:highlight w:val="none"/>
        </w:rPr>
        <w:t>开创</w:t>
      </w:r>
      <w:r>
        <w:rPr>
          <w:rFonts w:hint="default" w:ascii="Times New Roman" w:hAnsi="Times New Roman" w:cs="Times New Roman"/>
          <w:b w:val="0"/>
          <w:bCs w:val="0"/>
          <w:spacing w:val="0"/>
          <w:highlight w:val="none"/>
          <w:lang w:val="en-US" w:eastAsia="zh-CN"/>
        </w:rPr>
        <w:t>新时代</w:t>
      </w:r>
      <w:r>
        <w:rPr>
          <w:rFonts w:hint="default" w:ascii="Times New Roman" w:hAnsi="Times New Roman" w:cs="Times New Roman"/>
          <w:b w:val="0"/>
          <w:bCs w:val="0"/>
          <w:spacing w:val="0"/>
          <w:highlight w:val="none"/>
        </w:rPr>
        <w:t>社会主义现代化强县新局面。</w:t>
      </w:r>
      <w:bookmarkStart w:id="11" w:name="_Toc5066_WPSOffice_Level2"/>
    </w:p>
    <w:bookmarkEnd w:id="11"/>
    <w:p w14:paraId="62854492">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highlight w:val="none"/>
          <w:lang w:val="en-US" w:eastAsia="zh-CN"/>
        </w:rPr>
      </w:pPr>
      <w:bookmarkStart w:id="12" w:name="_Toc5066_WPSOffice_Level3"/>
      <w:bookmarkStart w:id="13" w:name="_Toc2852"/>
      <w:r>
        <w:rPr>
          <w:rFonts w:hint="default" w:ascii="Times New Roman" w:hAnsi="Times New Roman" w:cs="Times New Roman"/>
          <w:spacing w:val="0"/>
          <w:sz w:val="32"/>
          <w:szCs w:val="22"/>
          <w:highlight w:val="none"/>
          <w:lang w:val="en-US" w:eastAsia="zh-CN"/>
        </w:rPr>
        <w:t>第三节  指导思想</w:t>
      </w:r>
      <w:bookmarkEnd w:id="12"/>
      <w:bookmarkEnd w:id="13"/>
    </w:p>
    <w:p w14:paraId="66C5586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0"/>
          <w:sz w:val="32"/>
          <w:highlight w:val="none"/>
          <w:lang w:val="en-US" w:eastAsia="zh-CN"/>
        </w:rPr>
      </w:pPr>
      <w:r>
        <w:rPr>
          <w:rFonts w:hint="default" w:ascii="Times New Roman" w:hAnsi="Times New Roman" w:cs="Times New Roman"/>
          <w:b w:val="0"/>
          <w:bCs w:val="0"/>
          <w:spacing w:val="0"/>
          <w:sz w:val="32"/>
          <w:highlight w:val="none"/>
          <w:lang w:val="en-US" w:eastAsia="zh-CN"/>
        </w:rPr>
        <w:t>“十五五”时期经济社会发展的指导思想是：坚持马克思列宁主义、毛泽东思想、邓小平理论、“三个代表”重要思想、科学发展观，全面贯彻习近平新时代中国特色社会主义思想，深入贯彻党的二十大和二十届历次全会精神，认真贯彻落实习近平总书记视察山东重要讲话精神和重要指示批示精神，统筹推进“五位一体”总体布局，协调推进“四个全面”战略布局，统筹国内国际两个大局，完整准确全面贯彻新发展理念，主动服务和融入新发展格局，深入落实黄河流域生态保护和高质量发展等重大国家战略，坚持稳中求进工作总基调，坚持以经济建设为中心，以推动高质量发展为主题，以改革创新为根本动力，以满足人民日益增长的美好生活需要为根本目的，以全面从严治党为根本保障，牢牢把握我县在全国、全省、全市发展大局中的战略定位，锚定“走在前、挑大梁”，紧紧围绕“强富美优”城市愿景，持续打好工业强县、农业富民、城市更新“三大战役”，建强经济开发区、南部物流园、西部宜居新城、东里绿动力产业园“四驾马车”，优化“一核、三团、十二片”总体布局，在全省县域经济高质量发展上奋勇当先，在全市经济社会发展格局中争先进位，聚力建设智造沂源、共富沂源、活力沂源、生态沂源、康养沂源，确保基本建成新时代社会主义现代化强县取得决定性进展。</w:t>
      </w:r>
    </w:p>
    <w:p w14:paraId="40CC7DC5">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highlight w:val="none"/>
          <w:lang w:val="en-US" w:eastAsia="zh-CN"/>
        </w:rPr>
      </w:pPr>
      <w:bookmarkStart w:id="14" w:name="_Toc28232_WPSOffice_Level3"/>
      <w:bookmarkStart w:id="15" w:name="_Toc30185"/>
      <w:r>
        <w:rPr>
          <w:rFonts w:hint="default" w:ascii="Times New Roman" w:hAnsi="Times New Roman" w:cs="Times New Roman"/>
          <w:spacing w:val="0"/>
          <w:sz w:val="32"/>
          <w:szCs w:val="22"/>
          <w:highlight w:val="none"/>
          <w:lang w:val="en-US" w:eastAsia="zh-CN"/>
        </w:rPr>
        <w:t>第四节  基本原则</w:t>
      </w:r>
      <w:bookmarkEnd w:id="14"/>
      <w:bookmarkEnd w:id="15"/>
    </w:p>
    <w:p w14:paraId="0848C0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bookmarkStart w:id="16" w:name="_Toc300_WPSOffice_Level3"/>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坚持党的全面领导</w:t>
      </w:r>
      <w:r>
        <w:rPr>
          <w:rFonts w:hint="default" w:ascii="Times New Roman" w:hAnsi="Times New Roman" w:eastAsia="仿宋_GB2312" w:cs="Times New Roman"/>
          <w:bCs/>
          <w:color w:val="auto"/>
          <w:spacing w:val="0"/>
          <w:kern w:val="2"/>
          <w:sz w:val="32"/>
          <w:szCs w:val="32"/>
          <w:highlight w:val="none"/>
          <w:lang w:val="en-US" w:eastAsia="zh-CN" w:bidi="ar-SA"/>
        </w:rPr>
        <w:t>。坚决维护党中央权威和集中统一领导，坚持和完善党领导经济社会发展的体制机制，把党的领导贯穿经济社会发展各方面全过程，增强“四个意识”、坚定“四个自信”、做到“两个维护”，坚决按照习近平总书记、党中央要求谋划推动全县经济社会发展。</w:t>
      </w:r>
    </w:p>
    <w:p w14:paraId="023375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坚持人民至上</w:t>
      </w:r>
      <w:r>
        <w:rPr>
          <w:rFonts w:hint="default" w:ascii="Times New Roman" w:hAnsi="Times New Roman" w:eastAsia="仿宋_GB2312" w:cs="Times New Roman"/>
          <w:bCs/>
          <w:color w:val="auto"/>
          <w:spacing w:val="0"/>
          <w:kern w:val="2"/>
          <w:sz w:val="32"/>
          <w:szCs w:val="32"/>
          <w:highlight w:val="none"/>
          <w:lang w:val="en-US" w:eastAsia="zh-CN" w:bidi="ar-SA"/>
        </w:rPr>
        <w:t>。把人的全面发展和全县人民共同富裕作为推动经济社会发展的根本目的，始终做到发展为了人民、发展依靠人民、发展成果由人民共享，推动更多资金资源“投资于人”、服务于民生，让现代化建设成果更多更公平惠及全县人民，不断实现老区人民对美好生活的向往。</w:t>
      </w:r>
    </w:p>
    <w:p w14:paraId="66D30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坚持高质量发展</w:t>
      </w:r>
      <w:r>
        <w:rPr>
          <w:rFonts w:hint="default" w:ascii="Times New Roman" w:hAnsi="Times New Roman" w:eastAsia="仿宋_GB2312" w:cs="Times New Roman"/>
          <w:bCs/>
          <w:color w:val="auto"/>
          <w:spacing w:val="0"/>
          <w:kern w:val="2"/>
          <w:sz w:val="32"/>
          <w:szCs w:val="32"/>
          <w:highlight w:val="none"/>
          <w:lang w:val="en-US" w:eastAsia="zh-CN" w:bidi="ar-SA"/>
        </w:rPr>
        <w:t>。始终坚持高质量发展这一我国经济社会发展的主题和县域经</w:t>
      </w:r>
      <w:r>
        <w:rPr>
          <w:rFonts w:hint="default" w:ascii="Times New Roman" w:hAnsi="Times New Roman" w:eastAsia="仿宋_GB2312" w:cs="Times New Roman"/>
          <w:bCs/>
          <w:color w:val="auto"/>
          <w:spacing w:val="6"/>
          <w:kern w:val="2"/>
          <w:sz w:val="32"/>
          <w:szCs w:val="32"/>
          <w:highlight w:val="none"/>
          <w:lang w:val="en-US" w:eastAsia="zh-CN" w:bidi="ar-SA"/>
        </w:rPr>
        <w:t>济的首要任务，用好用足重大政策红利，</w:t>
      </w:r>
      <w:r>
        <w:rPr>
          <w:rFonts w:hint="default" w:ascii="Times New Roman" w:hAnsi="Times New Roman" w:cs="Times New Roman"/>
          <w:bCs/>
          <w:color w:val="auto"/>
          <w:spacing w:val="6"/>
          <w:kern w:val="2"/>
          <w:sz w:val="32"/>
          <w:szCs w:val="32"/>
          <w:highlight w:val="none"/>
          <w:lang w:val="en-US" w:eastAsia="zh-CN" w:bidi="ar-SA"/>
        </w:rPr>
        <w:t>坚决</w:t>
      </w:r>
      <w:r>
        <w:rPr>
          <w:rFonts w:hint="default" w:ascii="Times New Roman" w:hAnsi="Times New Roman" w:eastAsia="仿宋_GB2312" w:cs="Times New Roman"/>
          <w:bCs/>
          <w:color w:val="auto"/>
          <w:spacing w:val="6"/>
          <w:kern w:val="2"/>
          <w:sz w:val="32"/>
          <w:szCs w:val="32"/>
          <w:highlight w:val="none"/>
          <w:lang w:val="en-US" w:eastAsia="zh-CN" w:bidi="ar-SA"/>
        </w:rPr>
        <w:t>打好工业强县、农业富民、城市更新“三大战役”，</w:t>
      </w:r>
      <w:r>
        <w:rPr>
          <w:rFonts w:hint="default" w:ascii="Times New Roman" w:hAnsi="Times New Roman" w:cs="Times New Roman"/>
          <w:bCs/>
          <w:color w:val="auto"/>
          <w:spacing w:val="6"/>
          <w:kern w:val="2"/>
          <w:sz w:val="32"/>
          <w:szCs w:val="32"/>
          <w:highlight w:val="none"/>
          <w:lang w:val="en-US" w:eastAsia="zh-CN" w:bidi="ar-SA"/>
        </w:rPr>
        <w:t>坚持端“绿色碗”吃“生态饭”，推动生态优势转变为发展胜势，</w:t>
      </w:r>
      <w:r>
        <w:rPr>
          <w:rFonts w:hint="default" w:ascii="Times New Roman" w:hAnsi="Times New Roman" w:eastAsia="仿宋_GB2312" w:cs="Times New Roman"/>
          <w:bCs/>
          <w:color w:val="auto"/>
          <w:spacing w:val="6"/>
          <w:kern w:val="2"/>
          <w:sz w:val="32"/>
          <w:szCs w:val="32"/>
          <w:highlight w:val="none"/>
          <w:lang w:val="en-US" w:eastAsia="zh-CN" w:bidi="ar-SA"/>
        </w:rPr>
        <w:t>以奋勇争先的状态在全省县域经济高质量发展方面</w:t>
      </w:r>
      <w:r>
        <w:rPr>
          <w:rFonts w:hint="default" w:ascii="Times New Roman" w:hAnsi="Times New Roman" w:cs="Times New Roman"/>
          <w:bCs/>
          <w:color w:val="auto"/>
          <w:spacing w:val="6"/>
          <w:kern w:val="2"/>
          <w:sz w:val="32"/>
          <w:szCs w:val="32"/>
          <w:highlight w:val="none"/>
          <w:lang w:val="en-US" w:eastAsia="zh-CN" w:bidi="ar-SA"/>
        </w:rPr>
        <w:t>不断创造佳绩</w:t>
      </w:r>
      <w:r>
        <w:rPr>
          <w:rFonts w:hint="default" w:ascii="Times New Roman" w:hAnsi="Times New Roman" w:eastAsia="仿宋_GB2312" w:cs="Times New Roman"/>
          <w:bCs/>
          <w:color w:val="auto"/>
          <w:spacing w:val="0"/>
          <w:kern w:val="2"/>
          <w:sz w:val="32"/>
          <w:szCs w:val="32"/>
          <w:highlight w:val="none"/>
          <w:lang w:val="en-US" w:eastAsia="zh-CN" w:bidi="ar-SA"/>
        </w:rPr>
        <w:t>。</w:t>
      </w:r>
    </w:p>
    <w:p w14:paraId="7642F4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坚持全面深化改革</w:t>
      </w:r>
      <w:r>
        <w:rPr>
          <w:rFonts w:hint="default" w:ascii="Times New Roman" w:hAnsi="Times New Roman" w:eastAsia="仿宋_GB2312" w:cs="Times New Roman"/>
          <w:bCs/>
          <w:color w:val="auto"/>
          <w:spacing w:val="0"/>
          <w:kern w:val="2"/>
          <w:sz w:val="32"/>
          <w:szCs w:val="32"/>
          <w:highlight w:val="none"/>
          <w:lang w:val="en-US" w:eastAsia="zh-CN" w:bidi="ar-SA"/>
        </w:rPr>
        <w:t>。以更深层次改革激发新活力，以更高水平开放塑造新优势，坚决破除制约县域高质量发展、高品质生活、高效能治理的体制机制障碍，以更高水平</w:t>
      </w:r>
      <w:r>
        <w:rPr>
          <w:rFonts w:hint="default" w:ascii="Times New Roman" w:hAnsi="Times New Roman" w:cs="Times New Roman"/>
          <w:bCs/>
          <w:color w:val="auto"/>
          <w:spacing w:val="0"/>
          <w:kern w:val="2"/>
          <w:sz w:val="32"/>
          <w:szCs w:val="32"/>
          <w:highlight w:val="none"/>
          <w:lang w:val="en-US" w:eastAsia="zh-CN" w:bidi="ar-SA"/>
        </w:rPr>
        <w:t>对内对外</w:t>
      </w:r>
      <w:r>
        <w:rPr>
          <w:rFonts w:hint="default" w:ascii="Times New Roman" w:hAnsi="Times New Roman" w:eastAsia="仿宋_GB2312" w:cs="Times New Roman"/>
          <w:bCs/>
          <w:color w:val="auto"/>
          <w:spacing w:val="0"/>
          <w:kern w:val="2"/>
          <w:sz w:val="32"/>
          <w:szCs w:val="32"/>
          <w:highlight w:val="none"/>
          <w:lang w:val="en-US" w:eastAsia="zh-CN" w:bidi="ar-SA"/>
        </w:rPr>
        <w:t>开放塑造新优势，更加主动融入和服务构建新发展格局，在济淄一体化进程中发挥更大作用。</w:t>
      </w:r>
    </w:p>
    <w:p w14:paraId="2E8CF0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坚持有效市场和有为政府相结合</w:t>
      </w:r>
      <w:r>
        <w:rPr>
          <w:rFonts w:hint="default" w:ascii="Times New Roman" w:hAnsi="Times New Roman" w:eastAsia="仿宋_GB2312" w:cs="Times New Roman"/>
          <w:bCs/>
          <w:color w:val="auto"/>
          <w:spacing w:val="0"/>
          <w:kern w:val="2"/>
          <w:sz w:val="32"/>
          <w:szCs w:val="32"/>
          <w:highlight w:val="none"/>
          <w:lang w:val="en-US" w:eastAsia="zh-CN" w:bidi="ar-SA"/>
        </w:rPr>
        <w:t>。充分发挥市场在资源配置中的决定性作用，更好发挥政府作用，进一步打造高水平营商环境、法治环境和监管体系，全面激发全县各类经营主体的积极性、主动性、创造性，不断催生新产品、新技术、新业态和新模式，切实做到因地制宜发展新质生产力。</w:t>
      </w:r>
    </w:p>
    <w:p w14:paraId="77CE9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0"/>
          <w:kern w:val="2"/>
          <w:sz w:val="32"/>
          <w:szCs w:val="32"/>
          <w:highlight w:val="none"/>
          <w:lang w:val="en-US" w:eastAsia="zh-CN" w:bidi="ar-SA"/>
        </w:rPr>
      </w:pPr>
      <w:r>
        <w:rPr>
          <w:rFonts w:hint="default" w:ascii="Times New Roman" w:hAnsi="Times New Roman" w:eastAsia="仿宋_GB2312" w:cs="Times New Roman"/>
          <w:bCs/>
          <w:color w:val="auto"/>
          <w:spacing w:val="0"/>
          <w:kern w:val="2"/>
          <w:sz w:val="32"/>
          <w:szCs w:val="32"/>
          <w:highlight w:val="none"/>
          <w:lang w:val="en-US" w:eastAsia="zh-CN" w:bidi="ar-SA"/>
        </w:rPr>
        <w:t>——</w:t>
      </w:r>
      <w:r>
        <w:rPr>
          <w:rFonts w:hint="default" w:ascii="Times New Roman" w:hAnsi="Times New Roman" w:eastAsia="楷体_GB2312" w:cs="Times New Roman"/>
          <w:bCs/>
          <w:color w:val="auto"/>
          <w:spacing w:val="0"/>
          <w:kern w:val="2"/>
          <w:sz w:val="32"/>
          <w:szCs w:val="32"/>
          <w:highlight w:val="none"/>
          <w:lang w:val="en-US" w:eastAsia="zh-CN" w:bidi="ar-SA"/>
        </w:rPr>
        <w:t>坚持统筹发展和安全</w:t>
      </w:r>
      <w:r>
        <w:rPr>
          <w:rFonts w:hint="default" w:ascii="Times New Roman" w:hAnsi="Times New Roman" w:eastAsia="仿宋_GB2312" w:cs="Times New Roman"/>
          <w:bCs/>
          <w:color w:val="auto"/>
          <w:spacing w:val="0"/>
          <w:kern w:val="2"/>
          <w:sz w:val="32"/>
          <w:szCs w:val="32"/>
          <w:highlight w:val="none"/>
          <w:lang w:val="en-US" w:eastAsia="zh-CN" w:bidi="ar-SA"/>
        </w:rPr>
        <w:t>。强化底线思维，建设更高水平平安沂源，有效防范化解各类风险，健全重大突发公共事件处置保障体系，健全党组织领导的自治、法治、德治相结合的城乡基层治理体系，创新社会治理体制机制和手段，以新安全格局保障新发展格局。</w:t>
      </w:r>
    </w:p>
    <w:p w14:paraId="43AEE106">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7" w:name="_Toc30852"/>
      <w:r>
        <w:rPr>
          <w:rFonts w:hint="default" w:ascii="Times New Roman" w:hAnsi="Times New Roman" w:cs="Times New Roman"/>
          <w:sz w:val="32"/>
          <w:szCs w:val="22"/>
          <w:highlight w:val="none"/>
          <w:lang w:val="en-US" w:eastAsia="zh-CN"/>
        </w:rPr>
        <w:t>第五节  主要目标</w:t>
      </w:r>
      <w:bookmarkEnd w:id="16"/>
      <w:bookmarkEnd w:id="17"/>
    </w:p>
    <w:p w14:paraId="79A3637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十五五</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时期，全县经济社会发展总体目标是</w:t>
      </w:r>
      <w:r>
        <w:rPr>
          <w:rFonts w:hint="default" w:ascii="Times New Roman" w:hAnsi="Times New Roman" w:cs="Times New Roman"/>
          <w:b w:val="0"/>
          <w:bCs w:val="0"/>
          <w:highlight w:val="none"/>
          <w:lang w:eastAsia="zh-CN"/>
        </w:rPr>
        <w:t>：</w:t>
      </w:r>
    </w:p>
    <w:p w14:paraId="1605396B">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Cs/>
          <w:color w:val="auto"/>
          <w:spacing w:val="6"/>
          <w:kern w:val="2"/>
          <w:sz w:val="32"/>
          <w:szCs w:val="32"/>
          <w:highlight w:val="none"/>
          <w:lang w:val="en-US" w:eastAsia="zh-CN" w:bidi="ar-SA"/>
        </w:rPr>
        <w:t>——</w:t>
      </w:r>
      <w:r>
        <w:rPr>
          <w:rFonts w:hint="default" w:ascii="Times New Roman" w:hAnsi="Times New Roman" w:eastAsia="楷体_GB2312" w:cs="Times New Roman"/>
          <w:b w:val="0"/>
          <w:bCs w:val="0"/>
          <w:color w:val="auto"/>
          <w:kern w:val="2"/>
          <w:sz w:val="32"/>
          <w:szCs w:val="32"/>
          <w:highlight w:val="none"/>
          <w:lang w:val="en-US" w:eastAsia="zh-CN" w:bidi="ar-SA"/>
        </w:rPr>
        <w:t>高质量发展加力提升，智造沂源建设塑成新优势</w:t>
      </w:r>
      <w:r>
        <w:rPr>
          <w:rFonts w:hint="default" w:ascii="Times New Roman" w:hAnsi="Times New Roman" w:eastAsia="仿宋_GB2312" w:cs="Times New Roman"/>
          <w:b w:val="0"/>
          <w:bCs w:val="0"/>
          <w:color w:val="auto"/>
          <w:kern w:val="2"/>
          <w:sz w:val="32"/>
          <w:szCs w:val="32"/>
          <w:highlight w:val="none"/>
          <w:lang w:val="en-US" w:eastAsia="zh-CN" w:bidi="ar-SA"/>
        </w:rPr>
        <w:t>。以新发展理念为引领的高质量发展体系进一步完善，经济增长保持在合理区间，科技自立自强水平大幅提高，创新发展能力显著增强，进一步全面深化改革取得新成效，数字经济与实体经济深度融合，“五老、五新、十领域”发展迈出新步伐，新医药、新材料、精细化工、新能源、现代装备制造“五大产业集群”实现新突破，以经济开发区为核心、以各镇街现有工业集聚区为支撑的“1核心、N支撑”格局焕发新动能。</w:t>
      </w:r>
    </w:p>
    <w:p w14:paraId="4A23EFD1">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Cs/>
          <w:color w:val="auto"/>
          <w:spacing w:val="6"/>
          <w:kern w:val="2"/>
          <w:sz w:val="32"/>
          <w:szCs w:val="32"/>
          <w:highlight w:val="none"/>
          <w:lang w:val="en-US" w:eastAsia="zh-CN" w:bidi="ar-SA"/>
        </w:rPr>
        <w:t>——</w:t>
      </w:r>
      <w:r>
        <w:rPr>
          <w:rFonts w:hint="default" w:ascii="Times New Roman" w:hAnsi="Times New Roman" w:eastAsia="楷体_GB2312" w:cs="Times New Roman"/>
          <w:b w:val="0"/>
          <w:bCs w:val="0"/>
          <w:color w:val="auto"/>
          <w:kern w:val="2"/>
          <w:sz w:val="32"/>
          <w:szCs w:val="32"/>
          <w:highlight w:val="none"/>
          <w:lang w:val="en-US" w:eastAsia="zh-CN" w:bidi="ar-SA"/>
        </w:rPr>
        <w:t>区域城乡融合加力提升，共富沂源建设塑成新优势</w:t>
      </w:r>
      <w:r>
        <w:rPr>
          <w:rFonts w:hint="default" w:ascii="Times New Roman" w:hAnsi="Times New Roman" w:eastAsia="仿宋_GB2312" w:cs="Times New Roman"/>
          <w:b w:val="0"/>
          <w:bCs w:val="0"/>
          <w:color w:val="auto"/>
          <w:kern w:val="2"/>
          <w:sz w:val="32"/>
          <w:szCs w:val="32"/>
          <w:highlight w:val="none"/>
          <w:lang w:val="en-US" w:eastAsia="zh-CN" w:bidi="ar-SA"/>
        </w:rPr>
        <w:t>。与国家重大区域战略部署对接合作更加紧密，与省会都市圈等区域战略协同进一步增强，“一核、三团、十二片”布局持续优化，农村基础设施更趋完善，乡村振兴示范片区覆盖面有序扩大，</w:t>
      </w:r>
      <w:r>
        <w:rPr>
          <w:rFonts w:hint="default" w:ascii="Times New Roman" w:hAnsi="Times New Roman" w:cs="Times New Roman"/>
          <w:b w:val="0"/>
          <w:bCs w:val="0"/>
          <w:color w:val="auto"/>
          <w:kern w:val="2"/>
          <w:sz w:val="32"/>
          <w:szCs w:val="32"/>
          <w:highlight w:val="none"/>
          <w:lang w:val="en-US" w:eastAsia="zh-CN" w:bidi="ar-SA"/>
        </w:rPr>
        <w:t>居民收入增长与经济增长同步</w:t>
      </w:r>
      <w:r>
        <w:rPr>
          <w:rFonts w:hint="default" w:ascii="Times New Roman" w:hAnsi="Times New Roman" w:eastAsia="仿宋_GB2312" w:cs="Times New Roman"/>
          <w:b w:val="0"/>
          <w:bCs w:val="0"/>
          <w:color w:val="auto"/>
          <w:kern w:val="2"/>
          <w:sz w:val="32"/>
          <w:szCs w:val="32"/>
          <w:highlight w:val="none"/>
          <w:lang w:val="en-US" w:eastAsia="zh-CN" w:bidi="ar-SA"/>
        </w:rPr>
        <w:t>，城乡差距、镇街差距、收入差距明显缩小，乡村振兴齐鲁样板沂源特色板块成色更足。</w:t>
      </w:r>
    </w:p>
    <w:p w14:paraId="5E2A93B1">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Cs/>
          <w:color w:val="auto"/>
          <w:spacing w:val="6"/>
          <w:kern w:val="2"/>
          <w:sz w:val="32"/>
          <w:szCs w:val="32"/>
          <w:highlight w:val="none"/>
          <w:lang w:val="en-US" w:eastAsia="zh-CN" w:bidi="ar-SA"/>
        </w:rPr>
        <w:t>——</w:t>
      </w:r>
      <w:r>
        <w:rPr>
          <w:rFonts w:hint="default" w:ascii="Times New Roman" w:hAnsi="Times New Roman" w:eastAsia="楷体_GB2312" w:cs="Times New Roman"/>
          <w:b w:val="0"/>
          <w:bCs w:val="0"/>
          <w:color w:val="auto"/>
          <w:kern w:val="2"/>
          <w:sz w:val="32"/>
          <w:szCs w:val="32"/>
          <w:highlight w:val="none"/>
          <w:lang w:val="en-US" w:eastAsia="zh-CN" w:bidi="ar-SA"/>
        </w:rPr>
        <w:t>社会文明程度加力提升，活力沂源建设塑成新优势</w:t>
      </w:r>
      <w:r>
        <w:rPr>
          <w:rFonts w:hint="default" w:ascii="Times New Roman" w:hAnsi="Times New Roman" w:eastAsia="仿宋_GB2312" w:cs="Times New Roman"/>
          <w:b w:val="0"/>
          <w:bCs w:val="0"/>
          <w:color w:val="auto"/>
          <w:kern w:val="2"/>
          <w:sz w:val="32"/>
          <w:szCs w:val="32"/>
          <w:highlight w:val="none"/>
          <w:lang w:val="en-US" w:eastAsia="zh-CN" w:bidi="ar-SA"/>
        </w:rPr>
        <w:t>。文化自信更加坚定，社会主义核心价值观广泛践行，文化事业和文化产业突破发展，文旅融合发展更富实效，以县城为重要载体的城镇化建设省级试点成效明显，“两城、一园、十个小城镇”拉动效应持续凸显，城市规划、建设、管理、经营实现新突破，功能品质日益提升，商业经济和文旅经济更加繁荣，努力创成全国县级文明城市。</w:t>
      </w:r>
    </w:p>
    <w:p w14:paraId="4EE5EF0A">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Cs/>
          <w:color w:val="auto"/>
          <w:spacing w:val="6"/>
          <w:kern w:val="2"/>
          <w:sz w:val="32"/>
          <w:szCs w:val="32"/>
          <w:highlight w:val="none"/>
          <w:lang w:val="en-US" w:eastAsia="zh-CN" w:bidi="ar-SA"/>
        </w:rPr>
        <w:t>——</w:t>
      </w:r>
      <w:r>
        <w:rPr>
          <w:rFonts w:hint="default" w:ascii="Times New Roman" w:hAnsi="Times New Roman" w:eastAsia="楷体_GB2312" w:cs="Times New Roman"/>
          <w:b w:val="0"/>
          <w:bCs w:val="0"/>
          <w:color w:val="auto"/>
          <w:kern w:val="2"/>
          <w:sz w:val="32"/>
          <w:szCs w:val="32"/>
          <w:highlight w:val="none"/>
          <w:lang w:val="en-US" w:eastAsia="zh-CN" w:bidi="ar-SA"/>
        </w:rPr>
        <w:t>生态环境质量加力提升，生态沂源建设塑成新优势</w:t>
      </w:r>
      <w:r>
        <w:rPr>
          <w:rFonts w:hint="default" w:ascii="Times New Roman" w:hAnsi="Times New Roman" w:eastAsia="仿宋_GB2312" w:cs="Times New Roman"/>
          <w:b w:val="0"/>
          <w:bCs w:val="0"/>
          <w:color w:val="auto"/>
          <w:kern w:val="2"/>
          <w:sz w:val="32"/>
          <w:szCs w:val="32"/>
          <w:highlight w:val="none"/>
          <w:lang w:val="en-US" w:eastAsia="zh-CN" w:bidi="ar-SA"/>
        </w:rPr>
        <w:t>。协同推进降碳、减污、扩绿、增长，主要污染物排放总量大幅减少，新型能源体系加快建设，碳达峰目标如期实现，人居环境质量明显提升，绿色生产生活方式基本形成，生态价值转化渠道持续拓宽，经济社会全面绿色转型取得决定性成效。</w:t>
      </w:r>
    </w:p>
    <w:p w14:paraId="48F7EE12">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Cs/>
          <w:color w:val="auto"/>
          <w:spacing w:val="6"/>
          <w:kern w:val="2"/>
          <w:sz w:val="32"/>
          <w:szCs w:val="32"/>
          <w:highlight w:val="none"/>
          <w:lang w:val="en-US" w:eastAsia="zh-CN" w:bidi="ar-SA"/>
        </w:rPr>
        <w:t>——</w:t>
      </w:r>
      <w:r>
        <w:rPr>
          <w:rFonts w:hint="default" w:ascii="Times New Roman" w:hAnsi="Times New Roman" w:eastAsia="楷体_GB2312" w:cs="Times New Roman"/>
          <w:b w:val="0"/>
          <w:bCs w:val="0"/>
          <w:color w:val="auto"/>
          <w:kern w:val="2"/>
          <w:sz w:val="32"/>
          <w:szCs w:val="32"/>
          <w:highlight w:val="none"/>
          <w:lang w:val="en-US" w:eastAsia="zh-CN" w:bidi="ar-SA"/>
        </w:rPr>
        <w:t>人民生活品质加力提升，康养沂源建设塑成新优势</w:t>
      </w:r>
      <w:r>
        <w:rPr>
          <w:rFonts w:hint="default" w:ascii="Times New Roman" w:hAnsi="Times New Roman" w:eastAsia="仿宋_GB2312" w:cs="Times New Roman"/>
          <w:b w:val="0"/>
          <w:bCs w:val="0"/>
          <w:color w:val="auto"/>
          <w:kern w:val="2"/>
          <w:sz w:val="32"/>
          <w:szCs w:val="32"/>
          <w:highlight w:val="none"/>
          <w:lang w:val="en-US" w:eastAsia="zh-CN" w:bidi="ar-SA"/>
        </w:rPr>
        <w:t>。基本公共服务均等化水平明显提高，教育强县建设</w:t>
      </w:r>
      <w:r>
        <w:rPr>
          <w:rFonts w:hint="default" w:ascii="Times New Roman" w:hAnsi="Times New Roman" w:cs="Times New Roman"/>
          <w:b w:val="0"/>
          <w:bCs w:val="0"/>
          <w:color w:val="auto"/>
          <w:kern w:val="2"/>
          <w:sz w:val="32"/>
          <w:szCs w:val="32"/>
          <w:highlight w:val="none"/>
          <w:lang w:val="en-US" w:eastAsia="zh-CN" w:bidi="ar-SA"/>
        </w:rPr>
        <w:t>加快推进</w:t>
      </w:r>
      <w:r>
        <w:rPr>
          <w:rFonts w:hint="default" w:ascii="Times New Roman" w:hAnsi="Times New Roman" w:eastAsia="仿宋_GB2312" w:cs="Times New Roman"/>
          <w:b w:val="0"/>
          <w:bCs w:val="0"/>
          <w:color w:val="auto"/>
          <w:kern w:val="2"/>
          <w:sz w:val="32"/>
          <w:szCs w:val="32"/>
          <w:highlight w:val="none"/>
          <w:lang w:val="en-US" w:eastAsia="zh-CN" w:bidi="ar-SA"/>
        </w:rPr>
        <w:t>，农村养老、生态康养、医养结合等多元化养老和医疗服务体系更加完善，高质量充分就业形势稳定，社会保障体系更加优化可持续，统筹发展和安全的体制机制更加完备，重点领域风险得到有效防范化解，法治保障、社会治理和公共安全水平全面提升，群众满意度和幸福指数持续攀高。</w:t>
      </w:r>
    </w:p>
    <w:p w14:paraId="2C7DC0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在此基础上再奋斗五年，到2035年实现我</w:t>
      </w:r>
      <w:r>
        <w:rPr>
          <w:rFonts w:hint="default" w:ascii="Times New Roman" w:hAnsi="Times New Roman" w:cs="Times New Roman"/>
          <w:b w:val="0"/>
          <w:bCs w:val="0"/>
          <w:color w:val="auto"/>
          <w:kern w:val="2"/>
          <w:sz w:val="32"/>
          <w:szCs w:val="32"/>
          <w:highlight w:val="none"/>
          <w:lang w:val="en-US" w:eastAsia="zh-CN" w:bidi="ar-SA"/>
        </w:rPr>
        <w:t>县</w:t>
      </w:r>
      <w:r>
        <w:rPr>
          <w:rFonts w:hint="default" w:ascii="Times New Roman" w:hAnsi="Times New Roman" w:eastAsia="仿宋_GB2312" w:cs="Times New Roman"/>
          <w:b w:val="0"/>
          <w:bCs w:val="0"/>
          <w:color w:val="auto"/>
          <w:kern w:val="2"/>
          <w:sz w:val="32"/>
          <w:szCs w:val="32"/>
          <w:highlight w:val="none"/>
          <w:lang w:val="en-US" w:eastAsia="zh-CN" w:bidi="ar-SA"/>
        </w:rPr>
        <w:t>经济实力、科技实力、综合竞争力大幅跃升，人均地区生产总值达到中等发达经济体水平，基本建成新时代社会主义现代化强县。</w:t>
      </w:r>
    </w:p>
    <w:p w14:paraId="0CE706EE">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outlineLvl w:val="9"/>
        <w:rPr>
          <w:rFonts w:hint="default" w:ascii="Times New Roman" w:hAnsi="Times New Roman" w:cs="Times New Roman"/>
          <w:highlight w:val="none"/>
          <w:lang w:val="en-US" w:eastAsia="zh-CN"/>
        </w:rPr>
      </w:pPr>
      <w:r>
        <w:rPr>
          <w:rFonts w:hint="default" w:ascii="Times New Roman" w:hAnsi="Times New Roman" w:eastAsia="方正小标宋简体" w:cs="Times New Roman"/>
          <w:b w:val="0"/>
          <w:bCs w:val="0"/>
          <w:color w:val="auto"/>
          <w:sz w:val="32"/>
          <w:szCs w:val="28"/>
          <w:highlight w:val="none"/>
          <w:lang w:eastAsia="zh-CN"/>
        </w:rPr>
        <w:t>“</w:t>
      </w:r>
      <w:r>
        <w:rPr>
          <w:rFonts w:hint="default" w:ascii="Times New Roman" w:hAnsi="Times New Roman" w:eastAsia="方正小标宋简体" w:cs="Times New Roman"/>
          <w:b w:val="0"/>
          <w:bCs w:val="0"/>
          <w:color w:val="auto"/>
          <w:sz w:val="32"/>
          <w:szCs w:val="28"/>
          <w:highlight w:val="none"/>
        </w:rPr>
        <w:t>十五五</w:t>
      </w:r>
      <w:r>
        <w:rPr>
          <w:rFonts w:hint="default" w:ascii="Times New Roman" w:hAnsi="Times New Roman" w:eastAsia="方正小标宋简体" w:cs="Times New Roman"/>
          <w:b w:val="0"/>
          <w:bCs w:val="0"/>
          <w:color w:val="auto"/>
          <w:sz w:val="32"/>
          <w:szCs w:val="28"/>
          <w:highlight w:val="none"/>
          <w:lang w:eastAsia="zh-CN"/>
        </w:rPr>
        <w:t>”</w:t>
      </w:r>
      <w:r>
        <w:rPr>
          <w:rFonts w:hint="default" w:ascii="Times New Roman" w:hAnsi="Times New Roman" w:eastAsia="方正小标宋简体" w:cs="Times New Roman"/>
          <w:b w:val="0"/>
          <w:bCs w:val="0"/>
          <w:color w:val="auto"/>
          <w:sz w:val="32"/>
          <w:szCs w:val="28"/>
          <w:highlight w:val="none"/>
          <w:lang w:val="en-US" w:eastAsia="zh-CN"/>
        </w:rPr>
        <w:t>时期经济社会发展主要</w:t>
      </w:r>
      <w:r>
        <w:rPr>
          <w:rFonts w:hint="default" w:ascii="Times New Roman" w:hAnsi="Times New Roman" w:eastAsia="方正小标宋简体" w:cs="Times New Roman"/>
          <w:b w:val="0"/>
          <w:bCs w:val="0"/>
          <w:color w:val="auto"/>
          <w:sz w:val="32"/>
          <w:szCs w:val="28"/>
          <w:highlight w:val="none"/>
        </w:rPr>
        <w:t>指标</w:t>
      </w:r>
      <w:r>
        <w:rPr>
          <w:rFonts w:hint="default" w:ascii="Times New Roman" w:hAnsi="Times New Roman" w:eastAsia="方正小标宋简体" w:cs="Times New Roman"/>
          <w:b w:val="0"/>
          <w:bCs w:val="0"/>
          <w:color w:val="auto"/>
          <w:sz w:val="32"/>
          <w:szCs w:val="28"/>
          <w:highlight w:val="none"/>
          <w:lang w:val="en-US" w:eastAsia="zh-CN"/>
        </w:rPr>
        <w:t>表</w:t>
      </w:r>
    </w:p>
    <w:tbl>
      <w:tblPr>
        <w:tblStyle w:val="15"/>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6"/>
        <w:gridCol w:w="2031"/>
        <w:gridCol w:w="1970"/>
        <w:gridCol w:w="1157"/>
        <w:gridCol w:w="1336"/>
        <w:gridCol w:w="960"/>
      </w:tblGrid>
      <w:tr w14:paraId="1B9A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336" w:type="dxa"/>
            <w:tcBorders>
              <w:tl2br w:val="nil"/>
              <w:tr2bl w:val="nil"/>
            </w:tcBorders>
            <w:tcMar>
              <w:left w:w="84" w:type="dxa"/>
              <w:right w:w="84" w:type="dxa"/>
            </w:tcMar>
            <w:vAlign w:val="center"/>
          </w:tcPr>
          <w:p w14:paraId="35E1690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0C0C0C"/>
                <w:spacing w:val="0"/>
                <w:sz w:val="22"/>
                <w:szCs w:val="22"/>
                <w:highlight w:val="none"/>
                <w:u w:val="none"/>
                <w:lang w:val="en-US" w:eastAsia="zh-CN"/>
              </w:rPr>
            </w:pPr>
            <w:r>
              <w:rPr>
                <w:rFonts w:hint="default" w:ascii="Times New Roman" w:hAnsi="Times New Roman" w:eastAsia="黑体" w:cs="Times New Roman"/>
                <w:b w:val="0"/>
                <w:bCs w:val="0"/>
                <w:color w:val="0C0C0C"/>
                <w:spacing w:val="0"/>
                <w:sz w:val="22"/>
                <w:szCs w:val="22"/>
                <w:highlight w:val="none"/>
                <w:u w:val="none"/>
                <w:lang w:val="en-US" w:eastAsia="zh-CN"/>
              </w:rPr>
              <w:t>类别</w:t>
            </w:r>
          </w:p>
        </w:tc>
        <w:tc>
          <w:tcPr>
            <w:tcW w:w="4001" w:type="dxa"/>
            <w:gridSpan w:val="2"/>
            <w:tcBorders>
              <w:tl2br w:val="nil"/>
              <w:tr2bl w:val="nil"/>
            </w:tcBorders>
            <w:tcMar>
              <w:left w:w="84" w:type="dxa"/>
              <w:right w:w="84" w:type="dxa"/>
            </w:tcMar>
            <w:vAlign w:val="center"/>
          </w:tcPr>
          <w:p w14:paraId="65519BE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0C0C0C"/>
                <w:spacing w:val="0"/>
                <w:sz w:val="22"/>
                <w:szCs w:val="22"/>
                <w:highlight w:val="none"/>
                <w:u w:val="none"/>
              </w:rPr>
            </w:pPr>
            <w:r>
              <w:rPr>
                <w:rFonts w:hint="default" w:ascii="Times New Roman" w:hAnsi="Times New Roman" w:eastAsia="黑体" w:cs="Times New Roman"/>
                <w:b w:val="0"/>
                <w:bCs w:val="0"/>
                <w:i w:val="0"/>
                <w:iCs w:val="0"/>
                <w:caps w:val="0"/>
                <w:color w:val="0C0C0C"/>
                <w:spacing w:val="0"/>
                <w:sz w:val="22"/>
                <w:szCs w:val="22"/>
                <w:highlight w:val="none"/>
                <w:u w:val="none"/>
              </w:rPr>
              <w:t>指标（单位）</w:t>
            </w:r>
          </w:p>
        </w:tc>
        <w:tc>
          <w:tcPr>
            <w:tcW w:w="1157" w:type="dxa"/>
            <w:tcBorders>
              <w:tl2br w:val="nil"/>
              <w:tr2bl w:val="nil"/>
            </w:tcBorders>
            <w:tcMar>
              <w:left w:w="84" w:type="dxa"/>
              <w:right w:w="84" w:type="dxa"/>
            </w:tcMar>
            <w:vAlign w:val="center"/>
          </w:tcPr>
          <w:p w14:paraId="143F62C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C0C0C"/>
                <w:spacing w:val="0"/>
                <w:kern w:val="0"/>
                <w:sz w:val="22"/>
                <w:szCs w:val="22"/>
                <w:highlight w:val="none"/>
                <w:u w:val="none"/>
                <w:lang w:val="en-US" w:eastAsia="zh-CN" w:bidi="ar"/>
              </w:rPr>
            </w:pPr>
            <w:r>
              <w:rPr>
                <w:rFonts w:hint="default" w:ascii="Times New Roman" w:hAnsi="Times New Roman" w:eastAsia="黑体" w:cs="Times New Roman"/>
                <w:b w:val="0"/>
                <w:bCs w:val="0"/>
                <w:i w:val="0"/>
                <w:iCs w:val="0"/>
                <w:caps w:val="0"/>
                <w:color w:val="0C0C0C"/>
                <w:spacing w:val="0"/>
                <w:sz w:val="22"/>
                <w:szCs w:val="22"/>
                <w:highlight w:val="none"/>
                <w:u w:val="none"/>
              </w:rPr>
              <w:t>202</w:t>
            </w:r>
            <w:r>
              <w:rPr>
                <w:rFonts w:hint="default" w:ascii="Times New Roman" w:hAnsi="Times New Roman" w:eastAsia="黑体" w:cs="Times New Roman"/>
                <w:b w:val="0"/>
                <w:bCs w:val="0"/>
                <w:i w:val="0"/>
                <w:iCs w:val="0"/>
                <w:caps w:val="0"/>
                <w:color w:val="0C0C0C"/>
                <w:spacing w:val="0"/>
                <w:sz w:val="22"/>
                <w:szCs w:val="22"/>
                <w:highlight w:val="none"/>
                <w:u w:val="none"/>
                <w:lang w:val="en-US" w:eastAsia="zh-CN"/>
              </w:rPr>
              <w:t>5</w:t>
            </w:r>
            <w:r>
              <w:rPr>
                <w:rFonts w:hint="default" w:ascii="Times New Roman" w:hAnsi="Times New Roman" w:eastAsia="黑体" w:cs="Times New Roman"/>
                <w:b w:val="0"/>
                <w:bCs w:val="0"/>
                <w:i w:val="0"/>
                <w:iCs w:val="0"/>
                <w:caps w:val="0"/>
                <w:color w:val="0C0C0C"/>
                <w:spacing w:val="0"/>
                <w:sz w:val="22"/>
                <w:szCs w:val="22"/>
                <w:highlight w:val="none"/>
                <w:u w:val="none"/>
              </w:rPr>
              <w:t>年</w:t>
            </w:r>
          </w:p>
        </w:tc>
        <w:tc>
          <w:tcPr>
            <w:tcW w:w="1336" w:type="dxa"/>
            <w:tcBorders>
              <w:tl2br w:val="nil"/>
              <w:tr2bl w:val="nil"/>
            </w:tcBorders>
            <w:tcMar>
              <w:left w:w="84" w:type="dxa"/>
              <w:right w:w="84" w:type="dxa"/>
            </w:tcMar>
            <w:vAlign w:val="center"/>
          </w:tcPr>
          <w:p w14:paraId="46E3034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0C0C0C"/>
                <w:spacing w:val="0"/>
                <w:kern w:val="0"/>
                <w:sz w:val="22"/>
                <w:szCs w:val="22"/>
                <w:highlight w:val="none"/>
                <w:u w:val="none"/>
                <w:lang w:val="en-US" w:eastAsia="zh-CN" w:bidi="ar"/>
              </w:rPr>
            </w:pPr>
            <w:r>
              <w:rPr>
                <w:rFonts w:hint="default" w:ascii="Times New Roman" w:hAnsi="Times New Roman" w:eastAsia="黑体" w:cs="Times New Roman"/>
                <w:b w:val="0"/>
                <w:bCs w:val="0"/>
                <w:i w:val="0"/>
                <w:iCs w:val="0"/>
                <w:caps w:val="0"/>
                <w:color w:val="0C0C0C"/>
                <w:spacing w:val="0"/>
                <w:sz w:val="22"/>
                <w:szCs w:val="22"/>
                <w:highlight w:val="none"/>
                <w:u w:val="none"/>
              </w:rPr>
              <w:t>20</w:t>
            </w:r>
            <w:r>
              <w:rPr>
                <w:rFonts w:hint="default" w:ascii="Times New Roman" w:hAnsi="Times New Roman" w:eastAsia="黑体" w:cs="Times New Roman"/>
                <w:b w:val="0"/>
                <w:bCs w:val="0"/>
                <w:i w:val="0"/>
                <w:iCs w:val="0"/>
                <w:caps w:val="0"/>
                <w:color w:val="0C0C0C"/>
                <w:spacing w:val="0"/>
                <w:sz w:val="22"/>
                <w:szCs w:val="22"/>
                <w:highlight w:val="none"/>
                <w:u w:val="none"/>
                <w:lang w:val="en-US" w:eastAsia="zh-CN"/>
              </w:rPr>
              <w:t>30</w:t>
            </w:r>
            <w:r>
              <w:rPr>
                <w:rFonts w:hint="default" w:ascii="Times New Roman" w:hAnsi="Times New Roman" w:eastAsia="黑体" w:cs="Times New Roman"/>
                <w:b w:val="0"/>
                <w:bCs w:val="0"/>
                <w:i w:val="0"/>
                <w:iCs w:val="0"/>
                <w:caps w:val="0"/>
                <w:color w:val="0C0C0C"/>
                <w:spacing w:val="0"/>
                <w:sz w:val="22"/>
                <w:szCs w:val="22"/>
                <w:highlight w:val="none"/>
                <w:u w:val="none"/>
              </w:rPr>
              <w:t>年</w:t>
            </w:r>
          </w:p>
        </w:tc>
        <w:tc>
          <w:tcPr>
            <w:tcW w:w="960" w:type="dxa"/>
            <w:tcBorders>
              <w:tl2br w:val="nil"/>
              <w:tr2bl w:val="nil"/>
            </w:tcBorders>
            <w:tcMar>
              <w:left w:w="84" w:type="dxa"/>
              <w:right w:w="84" w:type="dxa"/>
            </w:tcMar>
            <w:vAlign w:val="center"/>
          </w:tcPr>
          <w:p w14:paraId="3327E61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黑体" w:cs="Times New Roman"/>
                <w:b w:val="0"/>
                <w:bCs w:val="0"/>
                <w:color w:val="0C0C0C"/>
                <w:spacing w:val="0"/>
                <w:kern w:val="0"/>
                <w:sz w:val="22"/>
                <w:szCs w:val="22"/>
                <w:highlight w:val="none"/>
                <w:u w:val="none"/>
                <w:lang w:val="en-US" w:eastAsia="zh-CN" w:bidi="ar"/>
              </w:rPr>
            </w:pPr>
            <w:r>
              <w:rPr>
                <w:rFonts w:hint="default" w:ascii="Times New Roman" w:hAnsi="Times New Roman" w:eastAsia="黑体" w:cs="Times New Roman"/>
                <w:b w:val="0"/>
                <w:bCs w:val="0"/>
                <w:i w:val="0"/>
                <w:iCs w:val="0"/>
                <w:caps w:val="0"/>
                <w:color w:val="0C0C0C"/>
                <w:spacing w:val="0"/>
                <w:sz w:val="22"/>
                <w:szCs w:val="22"/>
                <w:highlight w:val="none"/>
                <w:u w:val="none"/>
              </w:rPr>
              <w:t>属性</w:t>
            </w:r>
          </w:p>
        </w:tc>
      </w:tr>
      <w:tr w14:paraId="4B91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restart"/>
            <w:tcBorders>
              <w:tl2br w:val="nil"/>
              <w:tr2bl w:val="nil"/>
            </w:tcBorders>
            <w:tcMar>
              <w:left w:w="84" w:type="dxa"/>
              <w:right w:w="84" w:type="dxa"/>
            </w:tcMar>
            <w:vAlign w:val="center"/>
          </w:tcPr>
          <w:p w14:paraId="33E960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1"/>
                <w:szCs w:val="21"/>
                <w:highlight w:val="none"/>
                <w:u w:val="none"/>
                <w:lang w:eastAsia="zh-CN"/>
              </w:rPr>
            </w:pPr>
            <w:r>
              <w:rPr>
                <w:rFonts w:hint="default" w:ascii="Times New Roman" w:hAnsi="Times New Roman" w:eastAsia="黑体" w:cs="Times New Roman"/>
                <w:b w:val="0"/>
                <w:bCs w:val="0"/>
                <w:i w:val="0"/>
                <w:iCs w:val="0"/>
                <w:caps w:val="0"/>
                <w:color w:val="0C0C0C"/>
                <w:spacing w:val="0"/>
                <w:sz w:val="21"/>
                <w:szCs w:val="21"/>
                <w:highlight w:val="none"/>
                <w:u w:val="none"/>
                <w:lang w:eastAsia="zh-CN"/>
              </w:rPr>
              <w:t>经济发展</w:t>
            </w:r>
          </w:p>
          <w:p w14:paraId="6FE6AB8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lang w:eastAsia="zh-CN"/>
              </w:rPr>
            </w:pPr>
            <w:r>
              <w:rPr>
                <w:rFonts w:hint="default" w:ascii="Times New Roman" w:hAnsi="Times New Roman" w:eastAsia="黑体" w:cs="Times New Roman"/>
                <w:b w:val="0"/>
                <w:bCs w:val="0"/>
                <w:i w:val="0"/>
                <w:iCs w:val="0"/>
                <w:caps w:val="0"/>
                <w:color w:val="0C0C0C"/>
                <w:spacing w:val="0"/>
                <w:sz w:val="21"/>
                <w:szCs w:val="21"/>
                <w:highlight w:val="none"/>
                <w:u w:val="none"/>
                <w:lang w:eastAsia="zh-CN"/>
              </w:rPr>
              <w:t>（</w:t>
            </w:r>
            <w:r>
              <w:rPr>
                <w:rFonts w:hint="default" w:ascii="Times New Roman" w:hAnsi="Times New Roman" w:eastAsia="黑体" w:cs="Times New Roman"/>
                <w:b w:val="0"/>
                <w:bCs w:val="0"/>
                <w:i w:val="0"/>
                <w:iCs w:val="0"/>
                <w:caps w:val="0"/>
                <w:color w:val="0C0C0C"/>
                <w:spacing w:val="0"/>
                <w:sz w:val="21"/>
                <w:szCs w:val="21"/>
                <w:highlight w:val="none"/>
                <w:u w:val="none"/>
                <w:lang w:val="en-US" w:eastAsia="zh-CN"/>
              </w:rPr>
              <w:t>3项指标</w:t>
            </w:r>
            <w:r>
              <w:rPr>
                <w:rFonts w:hint="default" w:ascii="Times New Roman" w:hAnsi="Times New Roman" w:eastAsia="黑体" w:cs="Times New Roman"/>
                <w:b w:val="0"/>
                <w:bCs w:val="0"/>
                <w:i w:val="0"/>
                <w:iCs w:val="0"/>
                <w:caps w:val="0"/>
                <w:color w:val="0C0C0C"/>
                <w:spacing w:val="0"/>
                <w:sz w:val="21"/>
                <w:szCs w:val="21"/>
                <w:highlight w:val="none"/>
                <w:u w:val="none"/>
                <w:lang w:eastAsia="zh-CN"/>
              </w:rPr>
              <w:t>）</w:t>
            </w:r>
          </w:p>
        </w:tc>
        <w:tc>
          <w:tcPr>
            <w:tcW w:w="4001" w:type="dxa"/>
            <w:gridSpan w:val="2"/>
            <w:tcBorders>
              <w:tl2br w:val="nil"/>
              <w:tr2bl w:val="nil"/>
            </w:tcBorders>
            <w:tcMar>
              <w:top w:w="28" w:type="dxa"/>
              <w:left w:w="28" w:type="dxa"/>
              <w:bottom w:w="28" w:type="dxa"/>
              <w:right w:w="28" w:type="dxa"/>
            </w:tcMar>
            <w:vAlign w:val="center"/>
          </w:tcPr>
          <w:p w14:paraId="0DC3EF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1.地区生产总值（GDP）增长（%）</w:t>
            </w:r>
          </w:p>
        </w:tc>
        <w:tc>
          <w:tcPr>
            <w:tcW w:w="1157" w:type="dxa"/>
            <w:tcBorders>
              <w:tl2br w:val="nil"/>
              <w:tr2bl w:val="nil"/>
            </w:tcBorders>
            <w:tcMar>
              <w:left w:w="84" w:type="dxa"/>
              <w:right w:w="84" w:type="dxa"/>
            </w:tcMar>
            <w:vAlign w:val="center"/>
          </w:tcPr>
          <w:p w14:paraId="4EEBD81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6.2</w:t>
            </w:r>
          </w:p>
        </w:tc>
        <w:tc>
          <w:tcPr>
            <w:tcW w:w="1336" w:type="dxa"/>
            <w:tcBorders>
              <w:tl2br w:val="nil"/>
              <w:tr2bl w:val="nil"/>
            </w:tcBorders>
            <w:tcMar>
              <w:left w:w="84" w:type="dxa"/>
              <w:right w:w="84" w:type="dxa"/>
            </w:tcMar>
            <w:vAlign w:val="center"/>
          </w:tcPr>
          <w:p w14:paraId="1EE1119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（5.5左右）</w:t>
            </w:r>
          </w:p>
        </w:tc>
        <w:tc>
          <w:tcPr>
            <w:tcW w:w="960" w:type="dxa"/>
            <w:tcBorders>
              <w:tl2br w:val="nil"/>
              <w:tr2bl w:val="nil"/>
            </w:tcBorders>
            <w:tcMar>
              <w:left w:w="84" w:type="dxa"/>
              <w:right w:w="84" w:type="dxa"/>
            </w:tcMar>
            <w:vAlign w:val="center"/>
          </w:tcPr>
          <w:p w14:paraId="1E98CA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1B0A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continue"/>
            <w:tcBorders>
              <w:tl2br w:val="nil"/>
              <w:tr2bl w:val="nil"/>
            </w:tcBorders>
            <w:tcMar>
              <w:left w:w="84" w:type="dxa"/>
              <w:right w:w="84" w:type="dxa"/>
            </w:tcMar>
            <w:vAlign w:val="center"/>
          </w:tcPr>
          <w:p w14:paraId="5205847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rPr>
            </w:pPr>
          </w:p>
        </w:tc>
        <w:tc>
          <w:tcPr>
            <w:tcW w:w="4001" w:type="dxa"/>
            <w:gridSpan w:val="2"/>
            <w:tcBorders>
              <w:tl2br w:val="nil"/>
              <w:tr2bl w:val="nil"/>
            </w:tcBorders>
            <w:tcMar>
              <w:top w:w="28" w:type="dxa"/>
              <w:left w:w="28" w:type="dxa"/>
              <w:bottom w:w="28" w:type="dxa"/>
              <w:right w:w="28" w:type="dxa"/>
            </w:tcMar>
            <w:vAlign w:val="center"/>
          </w:tcPr>
          <w:p w14:paraId="798F57D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2.全员劳动生产率增长（%）</w:t>
            </w:r>
          </w:p>
        </w:tc>
        <w:tc>
          <w:tcPr>
            <w:tcW w:w="1157" w:type="dxa"/>
            <w:tcBorders>
              <w:tl2br w:val="nil"/>
              <w:tr2bl w:val="nil"/>
            </w:tcBorders>
            <w:tcMar>
              <w:left w:w="84" w:type="dxa"/>
              <w:right w:w="84" w:type="dxa"/>
            </w:tcMar>
            <w:vAlign w:val="center"/>
          </w:tcPr>
          <w:p w14:paraId="2954863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6.5</w:t>
            </w:r>
          </w:p>
        </w:tc>
        <w:tc>
          <w:tcPr>
            <w:tcW w:w="1336" w:type="dxa"/>
            <w:tcBorders>
              <w:tl2br w:val="nil"/>
              <w:tr2bl w:val="nil"/>
            </w:tcBorders>
            <w:tcMar>
              <w:left w:w="84" w:type="dxa"/>
              <w:right w:w="84" w:type="dxa"/>
            </w:tcMar>
            <w:vAlign w:val="center"/>
          </w:tcPr>
          <w:p w14:paraId="4583BEC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高于</w:t>
            </w:r>
          </w:p>
          <w:p w14:paraId="4B824DB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GDP增长</w:t>
            </w:r>
          </w:p>
        </w:tc>
        <w:tc>
          <w:tcPr>
            <w:tcW w:w="960" w:type="dxa"/>
            <w:tcBorders>
              <w:tl2br w:val="nil"/>
              <w:tr2bl w:val="nil"/>
            </w:tcBorders>
            <w:tcMar>
              <w:left w:w="84" w:type="dxa"/>
              <w:right w:w="84" w:type="dxa"/>
            </w:tcMar>
            <w:vAlign w:val="center"/>
          </w:tcPr>
          <w:p w14:paraId="53BDEDA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351B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continue"/>
            <w:tcBorders>
              <w:tl2br w:val="nil"/>
              <w:tr2bl w:val="nil"/>
            </w:tcBorders>
            <w:tcMar>
              <w:left w:w="84" w:type="dxa"/>
              <w:right w:w="84" w:type="dxa"/>
            </w:tcMar>
            <w:vAlign w:val="center"/>
          </w:tcPr>
          <w:p w14:paraId="330D01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rPr>
            </w:pPr>
          </w:p>
        </w:tc>
        <w:tc>
          <w:tcPr>
            <w:tcW w:w="4001" w:type="dxa"/>
            <w:gridSpan w:val="2"/>
            <w:tcBorders>
              <w:tl2br w:val="nil"/>
              <w:tr2bl w:val="nil"/>
            </w:tcBorders>
            <w:tcMar>
              <w:top w:w="28" w:type="dxa"/>
              <w:left w:w="28" w:type="dxa"/>
              <w:bottom w:w="28" w:type="dxa"/>
              <w:right w:w="28" w:type="dxa"/>
            </w:tcMar>
            <w:vAlign w:val="center"/>
          </w:tcPr>
          <w:p w14:paraId="768FCDD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3.常住人口城镇化率（%）</w:t>
            </w:r>
          </w:p>
        </w:tc>
        <w:tc>
          <w:tcPr>
            <w:tcW w:w="1157" w:type="dxa"/>
            <w:tcBorders>
              <w:tl2br w:val="nil"/>
              <w:tr2bl w:val="nil"/>
            </w:tcBorders>
            <w:tcMar>
              <w:left w:w="84" w:type="dxa"/>
              <w:right w:w="84" w:type="dxa"/>
            </w:tcMar>
            <w:vAlign w:val="center"/>
          </w:tcPr>
          <w:p w14:paraId="45CB95D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55.49</w:t>
            </w:r>
          </w:p>
        </w:tc>
        <w:tc>
          <w:tcPr>
            <w:tcW w:w="1336" w:type="dxa"/>
            <w:tcBorders>
              <w:tl2br w:val="nil"/>
              <w:tr2bl w:val="nil"/>
            </w:tcBorders>
            <w:tcMar>
              <w:left w:w="84" w:type="dxa"/>
              <w:right w:w="84" w:type="dxa"/>
            </w:tcMar>
            <w:vAlign w:val="center"/>
          </w:tcPr>
          <w:p w14:paraId="24766C1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62</w:t>
            </w:r>
          </w:p>
        </w:tc>
        <w:tc>
          <w:tcPr>
            <w:tcW w:w="960" w:type="dxa"/>
            <w:tcBorders>
              <w:tl2br w:val="nil"/>
              <w:tr2bl w:val="nil"/>
            </w:tcBorders>
            <w:tcMar>
              <w:left w:w="84" w:type="dxa"/>
              <w:right w:w="84" w:type="dxa"/>
            </w:tcMar>
            <w:vAlign w:val="center"/>
          </w:tcPr>
          <w:p w14:paraId="6D2392C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1518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restart"/>
            <w:vAlign w:val="center"/>
          </w:tcPr>
          <w:p w14:paraId="722ADD6D">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outlineLvl w:val="9"/>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创新驱动</w:t>
            </w:r>
          </w:p>
          <w:p w14:paraId="3E2FE9E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（3项</w:t>
            </w:r>
            <w:r>
              <w:rPr>
                <w:rFonts w:hint="default" w:ascii="Times New Roman" w:hAnsi="Times New Roman" w:eastAsia="黑体" w:cs="Times New Roman"/>
                <w:b w:val="0"/>
                <w:bCs w:val="0"/>
                <w:i w:val="0"/>
                <w:iCs w:val="0"/>
                <w:caps w:val="0"/>
                <w:color w:val="0C0C0C"/>
                <w:spacing w:val="0"/>
                <w:sz w:val="21"/>
                <w:szCs w:val="21"/>
                <w:highlight w:val="none"/>
                <w:u w:val="none"/>
                <w:lang w:val="en-US" w:eastAsia="zh-CN"/>
              </w:rPr>
              <w:t>指标</w:t>
            </w: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w:t>
            </w:r>
          </w:p>
        </w:tc>
        <w:tc>
          <w:tcPr>
            <w:tcW w:w="4001" w:type="dxa"/>
            <w:gridSpan w:val="2"/>
            <w:tcMar>
              <w:top w:w="28" w:type="dxa"/>
              <w:left w:w="28" w:type="dxa"/>
              <w:bottom w:w="28" w:type="dxa"/>
              <w:right w:w="28" w:type="dxa"/>
            </w:tcMar>
            <w:vAlign w:val="center"/>
          </w:tcPr>
          <w:p w14:paraId="4FAA643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4.全社会研发经费投入增长（%</w:t>
            </w:r>
            <w:r>
              <w:rPr>
                <w:rFonts w:hint="default" w:ascii="Times New Roman" w:hAnsi="Times New Roman" w:eastAsia="仿宋_GB2312" w:cs="Times New Roman"/>
                <w:color w:val="0C0C0C"/>
                <w:spacing w:val="0"/>
                <w:kern w:val="0"/>
                <w:sz w:val="22"/>
                <w:szCs w:val="22"/>
                <w:highlight w:val="none"/>
                <w:lang w:val="en-US" w:eastAsia="zh-CN" w:bidi="ar"/>
              </w:rPr>
              <w:t>）</w:t>
            </w:r>
          </w:p>
        </w:tc>
        <w:tc>
          <w:tcPr>
            <w:tcW w:w="1157" w:type="dxa"/>
            <w:vAlign w:val="center"/>
          </w:tcPr>
          <w:p w14:paraId="0E90B2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w:t>
            </w:r>
          </w:p>
        </w:tc>
        <w:tc>
          <w:tcPr>
            <w:tcW w:w="1336" w:type="dxa"/>
            <w:vAlign w:val="center"/>
          </w:tcPr>
          <w:p w14:paraId="63F541B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w:t>
            </w:r>
          </w:p>
        </w:tc>
        <w:tc>
          <w:tcPr>
            <w:tcW w:w="960" w:type="dxa"/>
            <w:vAlign w:val="center"/>
          </w:tcPr>
          <w:p w14:paraId="67F790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7089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continue"/>
            <w:vAlign w:val="center"/>
          </w:tcPr>
          <w:p w14:paraId="1ABF64C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rPr>
            </w:pPr>
          </w:p>
        </w:tc>
        <w:tc>
          <w:tcPr>
            <w:tcW w:w="4001" w:type="dxa"/>
            <w:gridSpan w:val="2"/>
            <w:tcMar>
              <w:top w:w="28" w:type="dxa"/>
              <w:left w:w="28" w:type="dxa"/>
              <w:bottom w:w="28" w:type="dxa"/>
              <w:right w:w="28" w:type="dxa"/>
            </w:tcMar>
            <w:vAlign w:val="center"/>
          </w:tcPr>
          <w:p w14:paraId="1B7211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5.每万人口高价值发明专利拥有量（件）</w:t>
            </w:r>
          </w:p>
        </w:tc>
        <w:tc>
          <w:tcPr>
            <w:tcW w:w="1157" w:type="dxa"/>
            <w:vAlign w:val="center"/>
          </w:tcPr>
          <w:p w14:paraId="6AD5B8F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15.47</w:t>
            </w:r>
          </w:p>
        </w:tc>
        <w:tc>
          <w:tcPr>
            <w:tcW w:w="1336" w:type="dxa"/>
            <w:vAlign w:val="center"/>
          </w:tcPr>
          <w:p w14:paraId="3A33DA2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17.5</w:t>
            </w:r>
          </w:p>
        </w:tc>
        <w:tc>
          <w:tcPr>
            <w:tcW w:w="960" w:type="dxa"/>
            <w:vAlign w:val="center"/>
          </w:tcPr>
          <w:p w14:paraId="5C45854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5241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36" w:type="dxa"/>
            <w:vMerge w:val="continue"/>
            <w:vAlign w:val="center"/>
          </w:tcPr>
          <w:p w14:paraId="1C4976E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default" w:ascii="Times New Roman" w:hAnsi="Times New Roman" w:eastAsia="黑体" w:cs="Times New Roman"/>
                <w:b w:val="0"/>
                <w:bCs w:val="0"/>
                <w:i w:val="0"/>
                <w:iCs w:val="0"/>
                <w:caps w:val="0"/>
                <w:color w:val="0C0C0C"/>
                <w:spacing w:val="0"/>
                <w:sz w:val="28"/>
                <w:szCs w:val="28"/>
                <w:highlight w:val="none"/>
                <w:u w:val="none"/>
              </w:rPr>
            </w:pPr>
          </w:p>
        </w:tc>
        <w:tc>
          <w:tcPr>
            <w:tcW w:w="4001" w:type="dxa"/>
            <w:gridSpan w:val="2"/>
            <w:tcMar>
              <w:top w:w="28" w:type="dxa"/>
              <w:left w:w="28" w:type="dxa"/>
              <w:bottom w:w="28" w:type="dxa"/>
              <w:right w:w="28" w:type="dxa"/>
            </w:tcMar>
            <w:vAlign w:val="center"/>
          </w:tcPr>
          <w:p w14:paraId="0D595BE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6.</w:t>
            </w:r>
            <w:r>
              <w:rPr>
                <w:rFonts w:hint="default" w:ascii="Times New Roman" w:hAnsi="Times New Roman" w:eastAsia="仿宋_GB2312" w:cs="Times New Roman"/>
                <w:color w:val="0C0C0C"/>
                <w:spacing w:val="-11"/>
                <w:kern w:val="0"/>
                <w:sz w:val="22"/>
                <w:szCs w:val="22"/>
                <w:highlight w:val="none"/>
                <w:lang w:val="en-US" w:eastAsia="zh-CN" w:bidi="ar"/>
              </w:rPr>
              <w:t>数字经济核心产业增加值占GDP比重（%）</w:t>
            </w:r>
          </w:p>
        </w:tc>
        <w:tc>
          <w:tcPr>
            <w:tcW w:w="1157" w:type="dxa"/>
            <w:vAlign w:val="center"/>
          </w:tcPr>
          <w:p w14:paraId="08A6CA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0.58</w:t>
            </w:r>
          </w:p>
        </w:tc>
        <w:tc>
          <w:tcPr>
            <w:tcW w:w="1336" w:type="dxa"/>
            <w:vAlign w:val="center"/>
          </w:tcPr>
          <w:p w14:paraId="6F08AA0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b w:val="0"/>
                <w:bCs w:val="0"/>
                <w:color w:val="000000" w:themeColor="text1"/>
                <w:position w:val="1"/>
                <w:sz w:val="22"/>
                <w:szCs w:val="22"/>
                <w:highlight w:val="none"/>
                <w:lang w:val="en-US" w:eastAsia="zh-CN"/>
                <w14:textFill>
                  <w14:solidFill>
                    <w14:schemeClr w14:val="tx1"/>
                  </w14:solidFill>
                </w14:textFill>
              </w:rPr>
              <w:t>0.6</w:t>
            </w:r>
          </w:p>
        </w:tc>
        <w:tc>
          <w:tcPr>
            <w:tcW w:w="960" w:type="dxa"/>
            <w:vAlign w:val="center"/>
          </w:tcPr>
          <w:p w14:paraId="24E53D7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2BE1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restart"/>
            <w:vAlign w:val="center"/>
          </w:tcPr>
          <w:p w14:paraId="08B20A1A">
            <w:pPr>
              <w:keepNext w:val="0"/>
              <w:keepLines w:val="0"/>
              <w:pageBreakBefore w:val="0"/>
              <w:widowControl/>
              <w:kinsoku/>
              <w:wordWrap/>
              <w:overflowPunct/>
              <w:topLinePunct w:val="0"/>
              <w:autoSpaceDE/>
              <w:autoSpaceDN/>
              <w:bidi w:val="0"/>
              <w:spacing w:line="360" w:lineRule="exact"/>
              <w:ind w:left="0" w:leftChars="0" w:firstLine="0" w:firstLineChars="0"/>
              <w:jc w:val="center"/>
              <w:textAlignment w:val="auto"/>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民生福祉</w:t>
            </w:r>
          </w:p>
          <w:p w14:paraId="3911679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（7项</w:t>
            </w:r>
            <w:r>
              <w:rPr>
                <w:rFonts w:hint="default" w:ascii="Times New Roman" w:hAnsi="Times New Roman" w:eastAsia="黑体" w:cs="Times New Roman"/>
                <w:b w:val="0"/>
                <w:bCs w:val="0"/>
                <w:i w:val="0"/>
                <w:iCs w:val="0"/>
                <w:caps w:val="0"/>
                <w:color w:val="0C0C0C"/>
                <w:spacing w:val="0"/>
                <w:sz w:val="21"/>
                <w:szCs w:val="21"/>
                <w:highlight w:val="none"/>
                <w:u w:val="none"/>
                <w:lang w:val="en-US" w:eastAsia="zh-CN"/>
              </w:rPr>
              <w:t>指标</w:t>
            </w: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w:t>
            </w:r>
          </w:p>
        </w:tc>
        <w:tc>
          <w:tcPr>
            <w:tcW w:w="4001" w:type="dxa"/>
            <w:gridSpan w:val="2"/>
            <w:tcMar>
              <w:top w:w="28" w:type="dxa"/>
              <w:left w:w="28" w:type="dxa"/>
              <w:bottom w:w="28" w:type="dxa"/>
              <w:right w:w="28" w:type="dxa"/>
            </w:tcMar>
            <w:vAlign w:val="center"/>
          </w:tcPr>
          <w:p w14:paraId="259A128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7.城镇调查失业率（%）</w:t>
            </w:r>
          </w:p>
        </w:tc>
        <w:tc>
          <w:tcPr>
            <w:tcW w:w="1157" w:type="dxa"/>
            <w:vAlign w:val="center"/>
          </w:tcPr>
          <w:p w14:paraId="11A351F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5.5以内</w:t>
            </w:r>
          </w:p>
        </w:tc>
        <w:tc>
          <w:tcPr>
            <w:tcW w:w="1336" w:type="dxa"/>
            <w:vAlign w:val="center"/>
          </w:tcPr>
          <w:p w14:paraId="36CA33A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5.5以内</w:t>
            </w:r>
          </w:p>
        </w:tc>
        <w:tc>
          <w:tcPr>
            <w:tcW w:w="960" w:type="dxa"/>
            <w:vAlign w:val="center"/>
          </w:tcPr>
          <w:p w14:paraId="0019F4C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7196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6522BA8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7298E27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8.居民人均可支配收入增长（%）</w:t>
            </w:r>
          </w:p>
        </w:tc>
        <w:tc>
          <w:tcPr>
            <w:tcW w:w="1157" w:type="dxa"/>
            <w:vAlign w:val="center"/>
          </w:tcPr>
          <w:p w14:paraId="6AA9441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（6.1）</w:t>
            </w:r>
          </w:p>
        </w:tc>
        <w:tc>
          <w:tcPr>
            <w:tcW w:w="1336" w:type="dxa"/>
            <w:vAlign w:val="center"/>
          </w:tcPr>
          <w:p w14:paraId="5C30E31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与经济</w:t>
            </w:r>
          </w:p>
          <w:p w14:paraId="15A0D3F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增长同步</w:t>
            </w:r>
          </w:p>
        </w:tc>
        <w:tc>
          <w:tcPr>
            <w:tcW w:w="960" w:type="dxa"/>
            <w:vAlign w:val="center"/>
          </w:tcPr>
          <w:p w14:paraId="55AA3DC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00BC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4E0A5E4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4CBF4B4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9.劳动年龄人口平均受教育年限（年）</w:t>
            </w:r>
          </w:p>
        </w:tc>
        <w:tc>
          <w:tcPr>
            <w:tcW w:w="1157" w:type="dxa"/>
            <w:vAlign w:val="center"/>
          </w:tcPr>
          <w:p w14:paraId="37A92F4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13.5</w:t>
            </w:r>
          </w:p>
        </w:tc>
        <w:tc>
          <w:tcPr>
            <w:tcW w:w="1336" w:type="dxa"/>
            <w:vAlign w:val="center"/>
          </w:tcPr>
          <w:p w14:paraId="4ACBE2D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&gt;13.5</w:t>
            </w:r>
          </w:p>
        </w:tc>
        <w:tc>
          <w:tcPr>
            <w:tcW w:w="960" w:type="dxa"/>
            <w:vAlign w:val="center"/>
          </w:tcPr>
          <w:p w14:paraId="28078EA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约束性</w:t>
            </w:r>
          </w:p>
        </w:tc>
      </w:tr>
      <w:tr w14:paraId="0841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35D8D19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2031" w:type="dxa"/>
            <w:vMerge w:val="restart"/>
            <w:tcMar>
              <w:top w:w="28" w:type="dxa"/>
              <w:left w:w="28" w:type="dxa"/>
              <w:bottom w:w="28" w:type="dxa"/>
              <w:right w:w="28" w:type="dxa"/>
            </w:tcMar>
            <w:vAlign w:val="center"/>
          </w:tcPr>
          <w:p w14:paraId="18A2DFF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10.每千人口拥有医护人员数</w:t>
            </w:r>
          </w:p>
        </w:tc>
        <w:tc>
          <w:tcPr>
            <w:tcW w:w="1970" w:type="dxa"/>
            <w:tcMar>
              <w:top w:w="28" w:type="dxa"/>
              <w:left w:w="28" w:type="dxa"/>
              <w:bottom w:w="28" w:type="dxa"/>
              <w:right w:w="28" w:type="dxa"/>
            </w:tcMar>
            <w:vAlign w:val="center"/>
          </w:tcPr>
          <w:p w14:paraId="642C34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执业医师数（人）</w:t>
            </w:r>
          </w:p>
        </w:tc>
        <w:tc>
          <w:tcPr>
            <w:tcW w:w="1157" w:type="dxa"/>
            <w:vAlign w:val="center"/>
          </w:tcPr>
          <w:p w14:paraId="16B315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49"/>
              </w:tabs>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3.73</w:t>
            </w:r>
          </w:p>
        </w:tc>
        <w:tc>
          <w:tcPr>
            <w:tcW w:w="1336" w:type="dxa"/>
            <w:vAlign w:val="center"/>
          </w:tcPr>
          <w:p w14:paraId="23D6CC9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3.9</w:t>
            </w:r>
          </w:p>
        </w:tc>
        <w:tc>
          <w:tcPr>
            <w:tcW w:w="960" w:type="dxa"/>
            <w:vMerge w:val="restart"/>
            <w:vAlign w:val="center"/>
          </w:tcPr>
          <w:p w14:paraId="58D76D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预期性</w:t>
            </w:r>
          </w:p>
        </w:tc>
      </w:tr>
      <w:tr w14:paraId="4F31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5146A7D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default" w:ascii="Times New Roman" w:hAnsi="Times New Roman" w:eastAsia="黑体" w:cs="Times New Roman"/>
                <w:b w:val="0"/>
                <w:bCs w:val="0"/>
                <w:highlight w:val="none"/>
              </w:rPr>
            </w:pPr>
          </w:p>
        </w:tc>
        <w:tc>
          <w:tcPr>
            <w:tcW w:w="2031" w:type="dxa"/>
            <w:vMerge w:val="continue"/>
            <w:tcMar>
              <w:top w:w="28" w:type="dxa"/>
              <w:left w:w="28" w:type="dxa"/>
              <w:bottom w:w="28" w:type="dxa"/>
              <w:right w:w="28" w:type="dxa"/>
            </w:tcMar>
            <w:vAlign w:val="center"/>
          </w:tcPr>
          <w:p w14:paraId="0A4DC8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outlineLvl w:val="9"/>
              <w:rPr>
                <w:rFonts w:hint="default" w:ascii="Times New Roman" w:hAnsi="Times New Roman" w:eastAsia="仿宋_GB2312" w:cs="Times New Roman"/>
                <w:sz w:val="22"/>
                <w:szCs w:val="22"/>
                <w:highlight w:val="none"/>
              </w:rPr>
            </w:pPr>
          </w:p>
        </w:tc>
        <w:tc>
          <w:tcPr>
            <w:tcW w:w="1970" w:type="dxa"/>
            <w:tcMar>
              <w:top w:w="28" w:type="dxa"/>
              <w:left w:w="28" w:type="dxa"/>
              <w:bottom w:w="28" w:type="dxa"/>
              <w:right w:w="28" w:type="dxa"/>
            </w:tcMar>
            <w:vAlign w:val="center"/>
          </w:tcPr>
          <w:p w14:paraId="1A309E6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注册护士数（人）</w:t>
            </w:r>
          </w:p>
        </w:tc>
        <w:tc>
          <w:tcPr>
            <w:tcW w:w="1157" w:type="dxa"/>
            <w:vAlign w:val="center"/>
          </w:tcPr>
          <w:p w14:paraId="224DF5B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3.78</w:t>
            </w:r>
          </w:p>
        </w:tc>
        <w:tc>
          <w:tcPr>
            <w:tcW w:w="1336" w:type="dxa"/>
            <w:vAlign w:val="center"/>
          </w:tcPr>
          <w:p w14:paraId="11CC619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4.2</w:t>
            </w:r>
          </w:p>
        </w:tc>
        <w:tc>
          <w:tcPr>
            <w:tcW w:w="960" w:type="dxa"/>
            <w:vMerge w:val="continue"/>
            <w:vAlign w:val="center"/>
          </w:tcPr>
          <w:p w14:paraId="6E598E4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p>
        </w:tc>
      </w:tr>
      <w:tr w14:paraId="1C0D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3B5D9DA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1338F42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11.养老机构护理型床位占比（%）</w:t>
            </w:r>
          </w:p>
        </w:tc>
        <w:tc>
          <w:tcPr>
            <w:tcW w:w="1157" w:type="dxa"/>
            <w:vAlign w:val="center"/>
          </w:tcPr>
          <w:p w14:paraId="0A8D6E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86</w:t>
            </w:r>
          </w:p>
        </w:tc>
        <w:tc>
          <w:tcPr>
            <w:tcW w:w="1336" w:type="dxa"/>
            <w:vAlign w:val="center"/>
          </w:tcPr>
          <w:p w14:paraId="026DFBD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&gt;86</w:t>
            </w:r>
          </w:p>
        </w:tc>
        <w:tc>
          <w:tcPr>
            <w:tcW w:w="960" w:type="dxa"/>
            <w:vAlign w:val="center"/>
          </w:tcPr>
          <w:p w14:paraId="261A78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31FE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5102006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36F8D09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12.</w:t>
            </w:r>
            <w:r>
              <w:rPr>
                <w:rFonts w:hint="default" w:ascii="Times New Roman" w:hAnsi="Times New Roman" w:cs="Times New Roman"/>
                <w:color w:val="0C0C0C"/>
                <w:spacing w:val="0"/>
                <w:kern w:val="0"/>
                <w:sz w:val="22"/>
                <w:szCs w:val="22"/>
                <w:highlight w:val="none"/>
                <w:lang w:val="en-US" w:eastAsia="zh-CN" w:bidi="ar"/>
              </w:rPr>
              <w:t>1</w:t>
            </w:r>
            <w:r>
              <w:rPr>
                <w:rFonts w:hint="default" w:ascii="Times New Roman" w:hAnsi="Times New Roman" w:eastAsia="仿宋_GB2312" w:cs="Times New Roman"/>
                <w:color w:val="0C0C0C"/>
                <w:spacing w:val="0"/>
                <w:kern w:val="0"/>
                <w:sz w:val="22"/>
                <w:szCs w:val="22"/>
                <w:highlight w:val="none"/>
                <w:lang w:val="en-US" w:eastAsia="zh-CN" w:bidi="ar"/>
              </w:rPr>
              <w:t>—3岁婴幼儿入托率（%）</w:t>
            </w:r>
          </w:p>
        </w:tc>
        <w:tc>
          <w:tcPr>
            <w:tcW w:w="1157" w:type="dxa"/>
            <w:vAlign w:val="center"/>
          </w:tcPr>
          <w:p w14:paraId="0065A50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11</w:t>
            </w:r>
          </w:p>
        </w:tc>
        <w:tc>
          <w:tcPr>
            <w:tcW w:w="1336" w:type="dxa"/>
            <w:vAlign w:val="center"/>
          </w:tcPr>
          <w:p w14:paraId="635AAD1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17</w:t>
            </w:r>
          </w:p>
        </w:tc>
        <w:tc>
          <w:tcPr>
            <w:tcW w:w="960" w:type="dxa"/>
            <w:vAlign w:val="center"/>
          </w:tcPr>
          <w:p w14:paraId="28F0E90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30C9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73E3F99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49A3E2F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13.人均预期寿命（岁）</w:t>
            </w:r>
          </w:p>
        </w:tc>
        <w:tc>
          <w:tcPr>
            <w:tcW w:w="1157" w:type="dxa"/>
            <w:vAlign w:val="center"/>
          </w:tcPr>
          <w:p w14:paraId="76E6769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82</w:t>
            </w:r>
          </w:p>
        </w:tc>
        <w:tc>
          <w:tcPr>
            <w:tcW w:w="1336" w:type="dxa"/>
            <w:vAlign w:val="center"/>
          </w:tcPr>
          <w:p w14:paraId="65C9708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82.5</w:t>
            </w:r>
          </w:p>
        </w:tc>
        <w:tc>
          <w:tcPr>
            <w:tcW w:w="960" w:type="dxa"/>
            <w:vAlign w:val="center"/>
          </w:tcPr>
          <w:p w14:paraId="65B5DA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预期性</w:t>
            </w:r>
          </w:p>
        </w:tc>
      </w:tr>
      <w:tr w14:paraId="6727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restart"/>
            <w:vAlign w:val="center"/>
          </w:tcPr>
          <w:p w14:paraId="79FDBFE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绿色生态</w:t>
            </w:r>
          </w:p>
          <w:p w14:paraId="391E00A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（5项</w:t>
            </w:r>
            <w:r>
              <w:rPr>
                <w:rFonts w:hint="default" w:ascii="Times New Roman" w:hAnsi="Times New Roman" w:eastAsia="黑体" w:cs="Times New Roman"/>
                <w:b w:val="0"/>
                <w:bCs w:val="0"/>
                <w:i w:val="0"/>
                <w:iCs w:val="0"/>
                <w:caps w:val="0"/>
                <w:color w:val="0C0C0C"/>
                <w:spacing w:val="0"/>
                <w:sz w:val="21"/>
                <w:szCs w:val="21"/>
                <w:highlight w:val="none"/>
                <w:u w:val="none"/>
                <w:lang w:val="en-US" w:eastAsia="zh-CN"/>
              </w:rPr>
              <w:t>指标</w:t>
            </w: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w:t>
            </w:r>
          </w:p>
        </w:tc>
        <w:tc>
          <w:tcPr>
            <w:tcW w:w="4001" w:type="dxa"/>
            <w:gridSpan w:val="2"/>
            <w:tcMar>
              <w:top w:w="28" w:type="dxa"/>
              <w:left w:w="28" w:type="dxa"/>
              <w:bottom w:w="28" w:type="dxa"/>
              <w:right w:w="28" w:type="dxa"/>
            </w:tcMar>
            <w:vAlign w:val="center"/>
          </w:tcPr>
          <w:p w14:paraId="05E75F5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14.单位GDP二氧化碳排放降低（%）</w:t>
            </w:r>
          </w:p>
        </w:tc>
        <w:tc>
          <w:tcPr>
            <w:tcW w:w="1157" w:type="dxa"/>
            <w:vAlign w:val="center"/>
          </w:tcPr>
          <w:p w14:paraId="41B898F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b w:val="0"/>
                <w:bCs w:val="0"/>
                <w:color w:val="000000" w:themeColor="text1"/>
                <w:position w:val="1"/>
                <w:sz w:val="22"/>
                <w:szCs w:val="22"/>
                <w:highlight w:val="none"/>
                <w14:textFill>
                  <w14:solidFill>
                    <w14:schemeClr w14:val="tx1"/>
                  </w14:solidFill>
                </w14:textFill>
              </w:rPr>
              <w:t>〔</w:t>
            </w:r>
            <w:r>
              <w:rPr>
                <w:rFonts w:hint="default" w:ascii="Times New Roman" w:hAnsi="Times New Roman" w:cs="Times New Roman"/>
                <w:color w:val="0C0C0C"/>
                <w:spacing w:val="0"/>
                <w:sz w:val="22"/>
                <w:szCs w:val="22"/>
                <w:highlight w:val="none"/>
                <w:lang w:val="en-US" w:eastAsia="zh-CN"/>
              </w:rPr>
              <w:t>24.2</w:t>
            </w:r>
            <w:r>
              <w:rPr>
                <w:rFonts w:hint="default" w:ascii="Times New Roman" w:hAnsi="Times New Roman" w:eastAsia="仿宋_GB2312" w:cs="Times New Roman"/>
                <w:b w:val="0"/>
                <w:bCs w:val="0"/>
                <w:color w:val="000000" w:themeColor="text1"/>
                <w:position w:val="1"/>
                <w:sz w:val="22"/>
                <w:szCs w:val="22"/>
                <w:highlight w:val="none"/>
                <w14:textFill>
                  <w14:solidFill>
                    <w14:schemeClr w14:val="tx1"/>
                  </w14:solidFill>
                </w14:textFill>
              </w:rPr>
              <w:t>〕</w:t>
            </w:r>
          </w:p>
        </w:tc>
        <w:tc>
          <w:tcPr>
            <w:tcW w:w="1336" w:type="dxa"/>
            <w:vAlign w:val="center"/>
          </w:tcPr>
          <w:p w14:paraId="71E0B1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0"/>
                <w:szCs w:val="21"/>
                <w:highlight w:val="none"/>
                <w:lang w:val="en-US" w:eastAsia="zh-CN"/>
              </w:rPr>
            </w:pPr>
            <w:r>
              <w:rPr>
                <w:rFonts w:hint="default" w:ascii="Times New Roman" w:hAnsi="Times New Roman" w:eastAsia="仿宋_GB2312" w:cs="Times New Roman"/>
                <w:b w:val="0"/>
                <w:bCs w:val="0"/>
                <w:color w:val="auto"/>
                <w:kern w:val="0"/>
                <w:szCs w:val="21"/>
                <w:highlight w:val="none"/>
              </w:rPr>
              <w:t>完成</w:t>
            </w:r>
            <w:r>
              <w:rPr>
                <w:rFonts w:hint="default" w:ascii="Times New Roman" w:hAnsi="Times New Roman" w:eastAsia="仿宋_GB2312" w:cs="Times New Roman"/>
                <w:b w:val="0"/>
                <w:bCs w:val="0"/>
                <w:color w:val="auto"/>
                <w:kern w:val="0"/>
                <w:szCs w:val="21"/>
                <w:highlight w:val="none"/>
                <w:lang w:val="en-US" w:eastAsia="zh-CN"/>
              </w:rPr>
              <w:t>市</w:t>
            </w:r>
          </w:p>
          <w:p w14:paraId="6672F50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b w:val="0"/>
                <w:bCs w:val="0"/>
                <w:color w:val="auto"/>
                <w:kern w:val="0"/>
                <w:szCs w:val="21"/>
                <w:highlight w:val="none"/>
                <w:lang w:val="en-US" w:eastAsia="zh-CN"/>
              </w:rPr>
              <w:t>下达</w:t>
            </w:r>
            <w:r>
              <w:rPr>
                <w:rFonts w:hint="default" w:ascii="Times New Roman" w:hAnsi="Times New Roman" w:eastAsia="仿宋_GB2312" w:cs="Times New Roman"/>
                <w:b w:val="0"/>
                <w:bCs w:val="0"/>
                <w:color w:val="auto"/>
                <w:kern w:val="0"/>
                <w:szCs w:val="21"/>
                <w:highlight w:val="none"/>
              </w:rPr>
              <w:t>任务</w:t>
            </w:r>
          </w:p>
        </w:tc>
        <w:tc>
          <w:tcPr>
            <w:tcW w:w="960" w:type="dxa"/>
            <w:vAlign w:val="center"/>
          </w:tcPr>
          <w:p w14:paraId="225C698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约束性</w:t>
            </w:r>
          </w:p>
        </w:tc>
      </w:tr>
      <w:tr w14:paraId="20A0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1C49672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0694FDB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15.非化石能源占能源消费总量比重（%）</w:t>
            </w:r>
          </w:p>
        </w:tc>
        <w:tc>
          <w:tcPr>
            <w:tcW w:w="1157" w:type="dxa"/>
            <w:vAlign w:val="center"/>
          </w:tcPr>
          <w:p w14:paraId="6A6339A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30</w:t>
            </w:r>
          </w:p>
        </w:tc>
        <w:tc>
          <w:tcPr>
            <w:tcW w:w="1336" w:type="dxa"/>
            <w:vAlign w:val="center"/>
          </w:tcPr>
          <w:p w14:paraId="2AC4CB2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&gt;30</w:t>
            </w:r>
          </w:p>
        </w:tc>
        <w:tc>
          <w:tcPr>
            <w:tcW w:w="960" w:type="dxa"/>
            <w:vAlign w:val="center"/>
          </w:tcPr>
          <w:p w14:paraId="3A835B1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约束性</w:t>
            </w:r>
          </w:p>
        </w:tc>
      </w:tr>
      <w:tr w14:paraId="04E2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5730E16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4AD5385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16.细颗粒物（</w:t>
            </w:r>
            <w:r>
              <w:rPr>
                <w:rFonts w:hint="default" w:ascii="Times New Roman" w:hAnsi="Times New Roman" w:cs="Times New Roman"/>
                <w:color w:val="0C0C0C"/>
                <w:spacing w:val="0"/>
                <w:kern w:val="0"/>
                <w:sz w:val="22"/>
                <w:szCs w:val="22"/>
                <w:highlight w:val="none"/>
                <w:lang w:val="en-US" w:eastAsia="zh-CN" w:bidi="ar"/>
              </w:rPr>
              <w:t>PM2.5</w:t>
            </w:r>
            <w:r>
              <w:rPr>
                <w:rFonts w:hint="default" w:ascii="Times New Roman" w:hAnsi="Times New Roman" w:eastAsia="仿宋_GB2312" w:cs="Times New Roman"/>
                <w:color w:val="0C0C0C"/>
                <w:spacing w:val="0"/>
                <w:kern w:val="0"/>
                <w:sz w:val="22"/>
                <w:szCs w:val="22"/>
                <w:highlight w:val="none"/>
                <w:lang w:val="en-US" w:eastAsia="zh-CN" w:bidi="ar"/>
              </w:rPr>
              <w:t>）浓度（微克/立方米）</w:t>
            </w:r>
          </w:p>
        </w:tc>
        <w:tc>
          <w:tcPr>
            <w:tcW w:w="1157" w:type="dxa"/>
            <w:vAlign w:val="center"/>
          </w:tcPr>
          <w:p w14:paraId="44CF581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33</w:t>
            </w:r>
          </w:p>
        </w:tc>
        <w:tc>
          <w:tcPr>
            <w:tcW w:w="1336" w:type="dxa"/>
            <w:vAlign w:val="center"/>
          </w:tcPr>
          <w:p w14:paraId="3B1D38B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0"/>
                <w:szCs w:val="21"/>
                <w:highlight w:val="none"/>
                <w:lang w:val="en-US" w:eastAsia="zh-CN"/>
              </w:rPr>
            </w:pPr>
            <w:r>
              <w:rPr>
                <w:rFonts w:hint="default" w:ascii="Times New Roman" w:hAnsi="Times New Roman" w:eastAsia="仿宋_GB2312" w:cs="Times New Roman"/>
                <w:b w:val="0"/>
                <w:bCs w:val="0"/>
                <w:color w:val="auto"/>
                <w:kern w:val="0"/>
                <w:szCs w:val="21"/>
                <w:highlight w:val="none"/>
              </w:rPr>
              <w:t>完成</w:t>
            </w:r>
            <w:r>
              <w:rPr>
                <w:rFonts w:hint="default" w:ascii="Times New Roman" w:hAnsi="Times New Roman" w:eastAsia="仿宋_GB2312" w:cs="Times New Roman"/>
                <w:b w:val="0"/>
                <w:bCs w:val="0"/>
                <w:color w:val="auto"/>
                <w:kern w:val="0"/>
                <w:szCs w:val="21"/>
                <w:highlight w:val="none"/>
                <w:lang w:val="en-US" w:eastAsia="zh-CN"/>
              </w:rPr>
              <w:t>市</w:t>
            </w:r>
          </w:p>
          <w:p w14:paraId="0270C8C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b w:val="0"/>
                <w:bCs w:val="0"/>
                <w:color w:val="auto"/>
                <w:kern w:val="0"/>
                <w:szCs w:val="21"/>
                <w:highlight w:val="none"/>
                <w:lang w:val="en-US" w:eastAsia="zh-CN"/>
              </w:rPr>
              <w:t>下达</w:t>
            </w:r>
            <w:r>
              <w:rPr>
                <w:rFonts w:hint="default" w:ascii="Times New Roman" w:hAnsi="Times New Roman" w:eastAsia="仿宋_GB2312" w:cs="Times New Roman"/>
                <w:b w:val="0"/>
                <w:bCs w:val="0"/>
                <w:color w:val="auto"/>
                <w:kern w:val="0"/>
                <w:szCs w:val="21"/>
                <w:highlight w:val="none"/>
              </w:rPr>
              <w:t>任务</w:t>
            </w:r>
          </w:p>
        </w:tc>
        <w:tc>
          <w:tcPr>
            <w:tcW w:w="960" w:type="dxa"/>
            <w:vAlign w:val="center"/>
          </w:tcPr>
          <w:p w14:paraId="3BBF79A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约束性</w:t>
            </w:r>
          </w:p>
        </w:tc>
      </w:tr>
      <w:tr w14:paraId="612C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6BD9B5C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4870EF0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17.优良水体比例（%）</w:t>
            </w:r>
          </w:p>
        </w:tc>
        <w:tc>
          <w:tcPr>
            <w:tcW w:w="1157" w:type="dxa"/>
            <w:vAlign w:val="center"/>
          </w:tcPr>
          <w:p w14:paraId="5AEA4DB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100</w:t>
            </w:r>
          </w:p>
        </w:tc>
        <w:tc>
          <w:tcPr>
            <w:tcW w:w="1336" w:type="dxa"/>
            <w:vAlign w:val="center"/>
          </w:tcPr>
          <w:p w14:paraId="60B9E53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100</w:t>
            </w:r>
          </w:p>
        </w:tc>
        <w:tc>
          <w:tcPr>
            <w:tcW w:w="960" w:type="dxa"/>
            <w:vAlign w:val="center"/>
          </w:tcPr>
          <w:p w14:paraId="3966A09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约束性</w:t>
            </w:r>
          </w:p>
        </w:tc>
      </w:tr>
      <w:tr w14:paraId="1966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center"/>
          </w:tcPr>
          <w:p w14:paraId="0BE42D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p>
        </w:tc>
        <w:tc>
          <w:tcPr>
            <w:tcW w:w="4001" w:type="dxa"/>
            <w:gridSpan w:val="2"/>
            <w:tcMar>
              <w:top w:w="28" w:type="dxa"/>
              <w:left w:w="28" w:type="dxa"/>
              <w:bottom w:w="28" w:type="dxa"/>
              <w:right w:w="28" w:type="dxa"/>
            </w:tcMar>
            <w:vAlign w:val="center"/>
          </w:tcPr>
          <w:p w14:paraId="1CB5FA1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18.森林覆盖率（%）</w:t>
            </w:r>
          </w:p>
        </w:tc>
        <w:tc>
          <w:tcPr>
            <w:tcW w:w="1157" w:type="dxa"/>
            <w:vAlign w:val="center"/>
          </w:tcPr>
          <w:p w14:paraId="66BA899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55.71</w:t>
            </w:r>
          </w:p>
        </w:tc>
        <w:tc>
          <w:tcPr>
            <w:tcW w:w="1336" w:type="dxa"/>
            <w:vAlign w:val="center"/>
          </w:tcPr>
          <w:p w14:paraId="2C226DC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0"/>
                <w:szCs w:val="21"/>
                <w:highlight w:val="none"/>
                <w:lang w:val="en-US" w:eastAsia="zh-CN"/>
              </w:rPr>
            </w:pPr>
            <w:r>
              <w:rPr>
                <w:rFonts w:hint="default" w:ascii="Times New Roman" w:hAnsi="Times New Roman" w:eastAsia="仿宋_GB2312" w:cs="Times New Roman"/>
                <w:b w:val="0"/>
                <w:bCs w:val="0"/>
                <w:color w:val="auto"/>
                <w:kern w:val="0"/>
                <w:szCs w:val="21"/>
                <w:highlight w:val="none"/>
              </w:rPr>
              <w:t>完成</w:t>
            </w:r>
            <w:r>
              <w:rPr>
                <w:rFonts w:hint="default" w:ascii="Times New Roman" w:hAnsi="Times New Roman" w:eastAsia="仿宋_GB2312" w:cs="Times New Roman"/>
                <w:b w:val="0"/>
                <w:bCs w:val="0"/>
                <w:color w:val="auto"/>
                <w:kern w:val="0"/>
                <w:szCs w:val="21"/>
                <w:highlight w:val="none"/>
                <w:lang w:val="en-US" w:eastAsia="zh-CN"/>
              </w:rPr>
              <w:t>市</w:t>
            </w:r>
          </w:p>
          <w:p w14:paraId="66945AE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b w:val="0"/>
                <w:bCs w:val="0"/>
                <w:color w:val="auto"/>
                <w:kern w:val="0"/>
                <w:szCs w:val="21"/>
                <w:highlight w:val="none"/>
                <w:lang w:val="en-US" w:eastAsia="zh-CN"/>
              </w:rPr>
              <w:t>下达</w:t>
            </w:r>
            <w:r>
              <w:rPr>
                <w:rFonts w:hint="default" w:ascii="Times New Roman" w:hAnsi="Times New Roman" w:eastAsia="仿宋_GB2312" w:cs="Times New Roman"/>
                <w:b w:val="0"/>
                <w:bCs w:val="0"/>
                <w:color w:val="auto"/>
                <w:kern w:val="0"/>
                <w:szCs w:val="21"/>
                <w:highlight w:val="none"/>
              </w:rPr>
              <w:t>任务</w:t>
            </w:r>
          </w:p>
        </w:tc>
        <w:tc>
          <w:tcPr>
            <w:tcW w:w="960" w:type="dxa"/>
            <w:vAlign w:val="center"/>
          </w:tcPr>
          <w:p w14:paraId="4F15F44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sz w:val="22"/>
                <w:szCs w:val="22"/>
                <w:highlight w:val="none"/>
                <w:lang w:val="en-US" w:eastAsia="zh-CN"/>
              </w:rPr>
              <w:t>约束性</w:t>
            </w:r>
          </w:p>
        </w:tc>
      </w:tr>
      <w:tr w14:paraId="3C4F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restart"/>
            <w:vAlign w:val="center"/>
          </w:tcPr>
          <w:p w14:paraId="165363D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安全保障</w:t>
            </w:r>
          </w:p>
          <w:p w14:paraId="5160277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center"/>
              <w:textAlignment w:val="auto"/>
              <w:rPr>
                <w:rFonts w:hint="default" w:ascii="Times New Roman" w:hAnsi="Times New Roman" w:eastAsia="黑体" w:cs="Times New Roman"/>
                <w:b w:val="0"/>
                <w:bCs w:val="0"/>
                <w:i w:val="0"/>
                <w:iCs w:val="0"/>
                <w:caps w:val="0"/>
                <w:color w:val="0C0C0C"/>
                <w:spacing w:val="0"/>
                <w:sz w:val="21"/>
                <w:szCs w:val="21"/>
                <w:highlight w:val="none"/>
                <w:u w:val="none"/>
              </w:rPr>
            </w:pP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（2项</w:t>
            </w:r>
            <w:r>
              <w:rPr>
                <w:rFonts w:hint="default" w:ascii="Times New Roman" w:hAnsi="Times New Roman" w:eastAsia="黑体" w:cs="Times New Roman"/>
                <w:b w:val="0"/>
                <w:bCs w:val="0"/>
                <w:i w:val="0"/>
                <w:iCs w:val="0"/>
                <w:caps w:val="0"/>
                <w:color w:val="0C0C0C"/>
                <w:spacing w:val="0"/>
                <w:sz w:val="21"/>
                <w:szCs w:val="21"/>
                <w:highlight w:val="none"/>
                <w:u w:val="none"/>
                <w:lang w:val="en-US" w:eastAsia="zh-CN"/>
              </w:rPr>
              <w:t>指标</w:t>
            </w:r>
            <w:r>
              <w:rPr>
                <w:rFonts w:hint="default" w:ascii="Times New Roman" w:hAnsi="Times New Roman" w:eastAsia="黑体" w:cs="Times New Roman"/>
                <w:b w:val="0"/>
                <w:bCs w:val="0"/>
                <w:i w:val="0"/>
                <w:iCs w:val="0"/>
                <w:caps w:val="0"/>
                <w:color w:val="0C0C0C"/>
                <w:spacing w:val="0"/>
                <w:kern w:val="0"/>
                <w:sz w:val="21"/>
                <w:szCs w:val="21"/>
                <w:highlight w:val="none"/>
                <w:u w:val="none"/>
                <w:lang w:val="en-US" w:eastAsia="zh-CN" w:bidi="ar"/>
              </w:rPr>
              <w:t>）</w:t>
            </w:r>
          </w:p>
        </w:tc>
        <w:tc>
          <w:tcPr>
            <w:tcW w:w="4001" w:type="dxa"/>
            <w:gridSpan w:val="2"/>
            <w:tcMar>
              <w:top w:w="28" w:type="dxa"/>
              <w:left w:w="28" w:type="dxa"/>
              <w:bottom w:w="28" w:type="dxa"/>
              <w:right w:w="28" w:type="dxa"/>
            </w:tcMar>
            <w:vAlign w:val="center"/>
          </w:tcPr>
          <w:p w14:paraId="651E869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19.粮食综合生产能力（万吨）</w:t>
            </w:r>
          </w:p>
        </w:tc>
        <w:tc>
          <w:tcPr>
            <w:tcW w:w="1157" w:type="dxa"/>
            <w:vAlign w:val="center"/>
          </w:tcPr>
          <w:p w14:paraId="2254106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3.77</w:t>
            </w:r>
          </w:p>
        </w:tc>
        <w:tc>
          <w:tcPr>
            <w:tcW w:w="1336" w:type="dxa"/>
            <w:vAlign w:val="center"/>
          </w:tcPr>
          <w:p w14:paraId="660F5D5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3.8</w:t>
            </w:r>
          </w:p>
        </w:tc>
        <w:tc>
          <w:tcPr>
            <w:tcW w:w="960" w:type="dxa"/>
            <w:vAlign w:val="center"/>
          </w:tcPr>
          <w:p w14:paraId="4AD71AB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约束性</w:t>
            </w:r>
          </w:p>
        </w:tc>
      </w:tr>
      <w:tr w14:paraId="1641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336" w:type="dxa"/>
            <w:vMerge w:val="continue"/>
            <w:vAlign w:val="top"/>
          </w:tcPr>
          <w:p w14:paraId="3A92ACC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right="0" w:firstLine="0" w:firstLineChars="0"/>
              <w:jc w:val="both"/>
              <w:textAlignment w:val="auto"/>
              <w:rPr>
                <w:rFonts w:hint="default" w:ascii="Times New Roman" w:hAnsi="Times New Roman" w:eastAsia="宋体" w:cs="Times New Roman"/>
                <w:i w:val="0"/>
                <w:iCs w:val="0"/>
                <w:caps w:val="0"/>
                <w:color w:val="0C0C0C"/>
                <w:spacing w:val="0"/>
                <w:sz w:val="28"/>
                <w:szCs w:val="28"/>
                <w:highlight w:val="none"/>
                <w:u w:val="none"/>
              </w:rPr>
            </w:pPr>
          </w:p>
        </w:tc>
        <w:tc>
          <w:tcPr>
            <w:tcW w:w="4001" w:type="dxa"/>
            <w:gridSpan w:val="2"/>
            <w:tcMar>
              <w:top w:w="28" w:type="dxa"/>
              <w:left w:w="28" w:type="dxa"/>
              <w:bottom w:w="28" w:type="dxa"/>
              <w:right w:w="28" w:type="dxa"/>
            </w:tcMar>
            <w:vAlign w:val="center"/>
          </w:tcPr>
          <w:p w14:paraId="0D0BF66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default" w:ascii="Times New Roman" w:hAnsi="Times New Roman" w:eastAsia="仿宋_GB2312" w:cs="Times New Roman"/>
                <w:color w:val="0C0C0C"/>
                <w:spacing w:val="0"/>
                <w:kern w:val="0"/>
                <w:sz w:val="22"/>
                <w:szCs w:val="22"/>
                <w:highlight w:val="none"/>
                <w:lang w:val="en-US" w:eastAsia="zh-CN" w:bidi="ar"/>
              </w:rPr>
            </w:pPr>
            <w:r>
              <w:rPr>
                <w:rFonts w:hint="default" w:ascii="Times New Roman" w:hAnsi="Times New Roman" w:eastAsia="仿宋_GB2312" w:cs="Times New Roman"/>
                <w:color w:val="0C0C0C"/>
                <w:spacing w:val="0"/>
                <w:kern w:val="0"/>
                <w:sz w:val="22"/>
                <w:szCs w:val="22"/>
                <w:highlight w:val="none"/>
                <w:lang w:val="en-US" w:eastAsia="zh-CN" w:bidi="ar"/>
              </w:rPr>
              <w:t>20.能源综合生产能力（万吨标准煤）</w:t>
            </w:r>
          </w:p>
        </w:tc>
        <w:tc>
          <w:tcPr>
            <w:tcW w:w="1157" w:type="dxa"/>
            <w:vAlign w:val="center"/>
          </w:tcPr>
          <w:p w14:paraId="771D1C5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49.7</w:t>
            </w:r>
          </w:p>
        </w:tc>
        <w:tc>
          <w:tcPr>
            <w:tcW w:w="1336" w:type="dxa"/>
            <w:vAlign w:val="center"/>
          </w:tcPr>
          <w:p w14:paraId="7746A15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cs="Times New Roman"/>
                <w:color w:val="0C0C0C"/>
                <w:spacing w:val="0"/>
                <w:sz w:val="22"/>
                <w:szCs w:val="22"/>
                <w:highlight w:val="none"/>
                <w:lang w:val="en-US" w:eastAsia="zh-CN"/>
              </w:rPr>
              <w:t>52</w:t>
            </w:r>
          </w:p>
        </w:tc>
        <w:tc>
          <w:tcPr>
            <w:tcW w:w="960" w:type="dxa"/>
            <w:vAlign w:val="center"/>
          </w:tcPr>
          <w:p w14:paraId="79E091A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color w:val="0C0C0C"/>
                <w:spacing w:val="0"/>
                <w:sz w:val="22"/>
                <w:szCs w:val="22"/>
                <w:highlight w:val="none"/>
                <w:lang w:val="en-US" w:eastAsia="zh-CN"/>
              </w:rPr>
              <w:t>约束性</w:t>
            </w:r>
          </w:p>
        </w:tc>
      </w:tr>
      <w:tr w14:paraId="4E9D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790" w:type="dxa"/>
            <w:gridSpan w:val="6"/>
            <w:vAlign w:val="center"/>
          </w:tcPr>
          <w:p w14:paraId="0D43EB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仿宋_GB2312" w:cs="Times New Roman"/>
                <w:color w:val="0C0C0C"/>
                <w:spacing w:val="0"/>
                <w:sz w:val="22"/>
                <w:szCs w:val="22"/>
                <w:highlight w:val="none"/>
                <w:lang w:val="en-US" w:eastAsia="zh-CN"/>
              </w:rPr>
            </w:pPr>
            <w:r>
              <w:rPr>
                <w:rFonts w:hint="default" w:ascii="Times New Roman" w:hAnsi="Times New Roman" w:eastAsia="仿宋_GB2312" w:cs="Times New Roman"/>
                <w:b w:val="0"/>
                <w:bCs w:val="0"/>
                <w:color w:val="000000" w:themeColor="text1"/>
                <w:position w:val="1"/>
                <w:sz w:val="22"/>
                <w:szCs w:val="22"/>
                <w:highlight w:val="none"/>
                <w14:textFill>
                  <w14:solidFill>
                    <w14:schemeClr w14:val="tx1"/>
                  </w14:solidFill>
                </w14:textFill>
              </w:rPr>
              <w:t>注：1.（）内为五年年均增速。2.〔〕内为五年累计数。</w:t>
            </w:r>
          </w:p>
        </w:tc>
      </w:tr>
    </w:tbl>
    <w:p w14:paraId="116191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157" w:beforeLines="50" w:after="157" w:afterLines="50" w:line="20" w:lineRule="exact"/>
        <w:ind w:firstLine="0" w:firstLineChars="0"/>
        <w:jc w:val="center"/>
        <w:textAlignment w:val="auto"/>
        <w:outlineLvl w:val="9"/>
        <w:rPr>
          <w:rFonts w:hint="default" w:ascii="Times New Roman" w:hAnsi="Times New Roman" w:cs="Times New Roman"/>
          <w:highlight w:val="none"/>
          <w:lang w:val="en-US" w:eastAsia="zh-CN"/>
        </w:rPr>
      </w:pPr>
    </w:p>
    <w:p w14:paraId="61B6F8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0" w:lineRule="exact"/>
        <w:ind w:firstLine="0" w:firstLineChars="0"/>
        <w:textAlignment w:val="auto"/>
        <w:rPr>
          <w:rFonts w:hint="default" w:ascii="Times New Roman" w:hAnsi="Times New Roman" w:cs="Times New Roman"/>
          <w:highlight w:val="none"/>
        </w:rPr>
        <w:sectPr>
          <w:pgSz w:w="11906" w:h="16838"/>
          <w:pgMar w:top="1984" w:right="1587" w:bottom="1701" w:left="1587" w:header="851" w:footer="1389"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B5E5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outlineLvl w:val="9"/>
        <w:rPr>
          <w:rFonts w:hint="default" w:ascii="Times New Roman" w:hAnsi="Times New Roman" w:eastAsia="方正小标宋简体" w:cs="Times New Roman"/>
          <w:b w:val="0"/>
          <w:bCs w:val="0"/>
          <w:color w:val="auto"/>
          <w:sz w:val="40"/>
          <w:szCs w:val="40"/>
          <w:highlight w:val="none"/>
          <w:lang w:val="en-US" w:eastAsia="zh-CN"/>
        </w:rPr>
      </w:pPr>
    </w:p>
    <w:p w14:paraId="215152C7">
      <w:pPr>
        <w:pStyle w:val="2"/>
        <w:pageBreakBefore w:val="0"/>
        <w:widowControl w:val="0"/>
        <w:kinsoku/>
        <w:wordWrap/>
        <w:overflowPunct/>
        <w:topLinePunct w:val="0"/>
        <w:autoSpaceDE/>
        <w:autoSpaceDN/>
        <w:bidi w:val="0"/>
        <w:adjustRightInd/>
        <w:snapToGrid/>
        <w:textAlignment w:val="auto"/>
        <w:rPr>
          <w:rFonts w:hint="default" w:ascii="Times New Roman" w:hAnsi="Times New Roman" w:cs="Times New Roman"/>
          <w:sz w:val="32"/>
          <w:szCs w:val="21"/>
          <w:highlight w:val="none"/>
        </w:rPr>
      </w:pPr>
      <w:bookmarkStart w:id="18" w:name="_Toc19810"/>
      <w:r>
        <w:rPr>
          <w:rFonts w:hint="default" w:ascii="Times New Roman" w:hAnsi="Times New Roman" w:cs="Times New Roman"/>
          <w:sz w:val="32"/>
          <w:szCs w:val="21"/>
          <w:highlight w:val="none"/>
          <w:lang w:val="en-US" w:eastAsia="zh-CN"/>
        </w:rPr>
        <w:t xml:space="preserve">第二章  </w:t>
      </w:r>
      <w:r>
        <w:rPr>
          <w:rFonts w:hint="default" w:ascii="Times New Roman" w:hAnsi="Times New Roman" w:cs="Times New Roman"/>
          <w:sz w:val="32"/>
          <w:szCs w:val="21"/>
          <w:highlight w:val="none"/>
        </w:rPr>
        <w:t>聚焦壮大实体经济根基</w:t>
      </w:r>
      <w:r>
        <w:rPr>
          <w:rFonts w:hint="default" w:ascii="Times New Roman" w:hAnsi="Times New Roman" w:cs="Times New Roman"/>
          <w:sz w:val="32"/>
          <w:szCs w:val="21"/>
          <w:highlight w:val="none"/>
          <w:lang w:eastAsia="zh-CN"/>
        </w:rPr>
        <w:t>，</w:t>
      </w:r>
      <w:r>
        <w:rPr>
          <w:rFonts w:hint="default" w:ascii="Times New Roman" w:hAnsi="Times New Roman" w:cs="Times New Roman"/>
          <w:sz w:val="32"/>
          <w:szCs w:val="21"/>
          <w:highlight w:val="none"/>
        </w:rPr>
        <w:t>构建现代化产业体系</w:t>
      </w:r>
      <w:bookmarkEnd w:id="18"/>
    </w:p>
    <w:p w14:paraId="3043A73C">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b w:val="0"/>
          <w:bCs w:val="0"/>
          <w:sz w:val="36"/>
          <w:szCs w:val="36"/>
          <w:highlight w:val="none"/>
        </w:rPr>
      </w:pPr>
      <w:r>
        <w:rPr>
          <w:rFonts w:hint="default" w:ascii="Times New Roman" w:hAnsi="Times New Roman" w:cs="Times New Roman"/>
          <w:b w:val="0"/>
          <w:bCs w:val="0"/>
          <w:color w:val="auto"/>
          <w:sz w:val="32"/>
          <w:szCs w:val="32"/>
          <w:highlight w:val="none"/>
          <w:lang w:val="en-US" w:eastAsia="zh-CN"/>
        </w:rPr>
        <w:t>坚持</w:t>
      </w:r>
      <w:r>
        <w:rPr>
          <w:rFonts w:hint="default" w:ascii="Times New Roman" w:hAnsi="Times New Roman" w:eastAsia="仿宋_GB2312" w:cs="Times New Roman"/>
          <w:b w:val="0"/>
          <w:bCs w:val="0"/>
          <w:color w:val="auto"/>
          <w:sz w:val="32"/>
          <w:szCs w:val="32"/>
          <w:highlight w:val="none"/>
        </w:rPr>
        <w:t>把产业发展着力点放在实体经济上，</w:t>
      </w:r>
      <w:r>
        <w:rPr>
          <w:rFonts w:hint="default" w:ascii="Times New Roman" w:hAnsi="Times New Roman" w:eastAsia="仿宋_GB2312" w:cs="Times New Roman"/>
          <w:b w:val="0"/>
          <w:bCs w:val="0"/>
          <w:color w:val="auto"/>
          <w:sz w:val="32"/>
          <w:szCs w:val="32"/>
          <w:highlight w:val="none"/>
          <w:lang w:val="en-US" w:eastAsia="zh-CN"/>
        </w:rPr>
        <w:t>因地制宜发展新质生产力，</w:t>
      </w:r>
      <w:r>
        <w:rPr>
          <w:rFonts w:hint="default" w:ascii="Times New Roman" w:hAnsi="Times New Roman" w:eastAsia="仿宋_GB2312" w:cs="Times New Roman"/>
          <w:b w:val="0"/>
          <w:bCs w:val="0"/>
          <w:color w:val="auto"/>
          <w:sz w:val="32"/>
          <w:szCs w:val="32"/>
          <w:highlight w:val="none"/>
        </w:rPr>
        <w:t>坚持工业强县战略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巩固提升</w:t>
      </w:r>
      <w:r>
        <w:rPr>
          <w:rFonts w:hint="default" w:ascii="Times New Roman" w:hAnsi="Times New Roman" w:cs="Times New Roman"/>
          <w:b w:val="0"/>
          <w:bCs w:val="0"/>
          <w:color w:val="auto"/>
          <w:sz w:val="32"/>
          <w:szCs w:val="32"/>
          <w:highlight w:val="none"/>
          <w:lang w:val="en-US" w:eastAsia="zh-CN"/>
        </w:rPr>
        <w:t>制造业</w:t>
      </w:r>
      <w:r>
        <w:rPr>
          <w:rFonts w:hint="default" w:ascii="Times New Roman" w:hAnsi="Times New Roman" w:eastAsia="仿宋_GB2312" w:cs="Times New Roman"/>
          <w:b w:val="0"/>
          <w:bCs w:val="0"/>
          <w:color w:val="auto"/>
          <w:sz w:val="32"/>
          <w:szCs w:val="32"/>
          <w:highlight w:val="none"/>
        </w:rPr>
        <w:t>主导产业优势，拉长做厚新兴</w:t>
      </w:r>
      <w:r>
        <w:rPr>
          <w:rFonts w:hint="default" w:ascii="Times New Roman" w:hAnsi="Times New Roman" w:cs="Times New Roman"/>
          <w:b w:val="0"/>
          <w:bCs w:val="0"/>
          <w:color w:val="auto"/>
          <w:sz w:val="32"/>
          <w:szCs w:val="32"/>
          <w:highlight w:val="none"/>
          <w:lang w:val="en-US" w:eastAsia="zh-CN"/>
        </w:rPr>
        <w:t>未来</w:t>
      </w:r>
      <w:r>
        <w:rPr>
          <w:rFonts w:hint="default" w:ascii="Times New Roman" w:hAnsi="Times New Roman" w:eastAsia="仿宋_GB2312" w:cs="Times New Roman"/>
          <w:b w:val="0"/>
          <w:bCs w:val="0"/>
          <w:color w:val="auto"/>
          <w:sz w:val="32"/>
          <w:szCs w:val="32"/>
          <w:highlight w:val="none"/>
        </w:rPr>
        <w:t>产业链群，积极发展现代服务业，</w:t>
      </w:r>
      <w:r>
        <w:rPr>
          <w:rFonts w:hint="default" w:ascii="Times New Roman" w:hAnsi="Times New Roman" w:eastAsia="仿宋_GB2312" w:cs="Times New Roman"/>
          <w:b w:val="0"/>
          <w:bCs w:val="0"/>
          <w:color w:val="auto"/>
          <w:sz w:val="32"/>
          <w:szCs w:val="32"/>
          <w:highlight w:val="none"/>
          <w:lang w:val="en-US" w:eastAsia="zh-CN"/>
        </w:rPr>
        <w:t>构建</w:t>
      </w:r>
      <w:r>
        <w:rPr>
          <w:rFonts w:hint="default" w:ascii="Times New Roman" w:hAnsi="Times New Roman" w:eastAsia="仿宋_GB2312" w:cs="Times New Roman"/>
          <w:b w:val="0"/>
          <w:bCs w:val="0"/>
          <w:color w:val="auto"/>
          <w:sz w:val="32"/>
          <w:szCs w:val="32"/>
          <w:highlight w:val="none"/>
        </w:rPr>
        <w:t>具有沂源特色的</w:t>
      </w:r>
      <w:r>
        <w:rPr>
          <w:rFonts w:hint="default" w:ascii="Times New Roman" w:hAnsi="Times New Roman" w:eastAsia="仿宋_GB2312" w:cs="Times New Roman"/>
          <w:b w:val="0"/>
          <w:bCs w:val="0"/>
          <w:color w:val="auto"/>
          <w:sz w:val="32"/>
          <w:szCs w:val="32"/>
          <w:highlight w:val="none"/>
          <w:lang w:val="en-US" w:eastAsia="zh-CN"/>
        </w:rPr>
        <w:t>现代化</w:t>
      </w:r>
      <w:r>
        <w:rPr>
          <w:rFonts w:hint="default" w:ascii="Times New Roman" w:hAnsi="Times New Roman" w:eastAsia="仿宋_GB2312" w:cs="Times New Roman"/>
          <w:b w:val="0"/>
          <w:bCs w:val="0"/>
          <w:color w:val="auto"/>
          <w:sz w:val="32"/>
          <w:szCs w:val="32"/>
          <w:highlight w:val="none"/>
        </w:rPr>
        <w:t>产业体系</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打造</w:t>
      </w:r>
      <w:r>
        <w:rPr>
          <w:rFonts w:hint="default" w:ascii="Times New Roman" w:hAnsi="Times New Roman" w:cs="Times New Roman"/>
          <w:b w:val="0"/>
          <w:bCs w:val="0"/>
          <w:color w:val="auto"/>
          <w:sz w:val="32"/>
          <w:szCs w:val="32"/>
          <w:highlight w:val="none"/>
          <w:lang w:val="en-US" w:eastAsia="zh-CN"/>
        </w:rPr>
        <w:t>一批高水平</w:t>
      </w:r>
      <w:r>
        <w:rPr>
          <w:rFonts w:hint="default" w:ascii="Times New Roman" w:hAnsi="Times New Roman" w:eastAsia="仿宋_GB2312" w:cs="Times New Roman"/>
          <w:b w:val="0"/>
          <w:bCs w:val="0"/>
          <w:color w:val="auto"/>
          <w:sz w:val="32"/>
          <w:szCs w:val="32"/>
          <w:highlight w:val="none"/>
          <w:lang w:val="en-US" w:eastAsia="zh-CN"/>
        </w:rPr>
        <w:t>园区平台矩阵</w:t>
      </w:r>
      <w:r>
        <w:rPr>
          <w:rFonts w:hint="default" w:ascii="Times New Roman" w:hAnsi="Times New Roman" w:eastAsia="仿宋_GB2312" w:cs="Times New Roman"/>
          <w:b w:val="0"/>
          <w:bCs w:val="0"/>
          <w:color w:val="auto"/>
          <w:sz w:val="32"/>
          <w:szCs w:val="32"/>
          <w:highlight w:val="none"/>
        </w:rPr>
        <w:t>。</w:t>
      </w:r>
      <w:bookmarkStart w:id="19" w:name="_Toc3990"/>
    </w:p>
    <w:p w14:paraId="19305026">
      <w:pPr>
        <w:pStyle w:val="3"/>
        <w:pageBreakBefore w:val="0"/>
        <w:widowControl w:val="0"/>
        <w:kinsoku/>
        <w:wordWrap/>
        <w:overflowPunct/>
        <w:topLinePunct w:val="0"/>
        <w:autoSpaceDE/>
        <w:autoSpaceDN/>
        <w:bidi w:val="0"/>
        <w:adjustRightInd/>
        <w:snapToGrid/>
        <w:textAlignment w:val="auto"/>
        <w:rPr>
          <w:rFonts w:hint="default" w:ascii="Times New Roman" w:hAnsi="Times New Roman" w:cs="Times New Roman"/>
          <w:sz w:val="32"/>
          <w:szCs w:val="22"/>
          <w:highlight w:val="none"/>
          <w:lang w:val="en-US" w:eastAsia="zh-CN"/>
        </w:rPr>
      </w:pPr>
      <w:bookmarkStart w:id="20" w:name="_Toc300_WPSOffice_Level2"/>
      <w:bookmarkStart w:id="21" w:name="_Toc2150"/>
      <w:r>
        <w:rPr>
          <w:rFonts w:hint="default" w:ascii="Times New Roman" w:hAnsi="Times New Roman" w:cs="Times New Roman"/>
          <w:sz w:val="32"/>
          <w:szCs w:val="22"/>
          <w:highlight w:val="none"/>
        </w:rPr>
        <w:t>第一节</w:t>
      </w:r>
      <w:r>
        <w:rPr>
          <w:rFonts w:hint="default" w:ascii="Times New Roman" w:hAnsi="Times New Roman" w:cs="Times New Roman"/>
          <w:sz w:val="32"/>
          <w:szCs w:val="22"/>
          <w:highlight w:val="none"/>
          <w:lang w:val="en-US" w:eastAsia="zh-CN"/>
        </w:rPr>
        <w:t xml:space="preserve">  聚力打造制造业优势产业集群</w:t>
      </w:r>
      <w:bookmarkEnd w:id="19"/>
      <w:bookmarkEnd w:id="20"/>
      <w:bookmarkEnd w:id="21"/>
    </w:p>
    <w:p w14:paraId="1499F946">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坚持把制造业高质量发展作为主攻方向，深化制造业供给侧结构性改革</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聚焦新医药、新材料、精细化工、新能源、现代装备制造</w:t>
      </w:r>
      <w:r>
        <w:rPr>
          <w:rFonts w:hint="default" w:ascii="Times New Roman" w:hAnsi="Times New Roman" w:eastAsia="仿宋_GB2312" w:cs="Times New Roman"/>
          <w:b w:val="0"/>
          <w:bCs w:val="0"/>
          <w:color w:val="auto"/>
          <w:sz w:val="32"/>
          <w:szCs w:val="32"/>
          <w:highlight w:val="none"/>
        </w:rPr>
        <w:t>，加快</w:t>
      </w:r>
      <w:r>
        <w:rPr>
          <w:rFonts w:hint="default" w:ascii="Times New Roman" w:hAnsi="Times New Roman" w:cs="Times New Roman"/>
          <w:b w:val="0"/>
          <w:bCs w:val="0"/>
          <w:color w:val="auto"/>
          <w:sz w:val="32"/>
          <w:szCs w:val="32"/>
          <w:highlight w:val="none"/>
          <w:lang w:val="en-US" w:eastAsia="zh-CN"/>
        </w:rPr>
        <w:t>培育</w:t>
      </w:r>
      <w:r>
        <w:rPr>
          <w:rFonts w:hint="default" w:ascii="Times New Roman" w:hAnsi="Times New Roman" w:eastAsia="仿宋_GB2312" w:cs="Times New Roman"/>
          <w:b w:val="0"/>
          <w:bCs w:val="0"/>
          <w:color w:val="auto"/>
          <w:sz w:val="32"/>
          <w:szCs w:val="32"/>
          <w:highlight w:val="none"/>
        </w:rPr>
        <w:t>形成特色明晰、优势明显、重点突出、链式集聚的五大</w:t>
      </w:r>
      <w:r>
        <w:rPr>
          <w:rFonts w:hint="default" w:ascii="Times New Roman" w:hAnsi="Times New Roman" w:eastAsia="仿宋_GB2312" w:cs="Times New Roman"/>
          <w:b w:val="0"/>
          <w:bCs w:val="0"/>
          <w:color w:val="auto"/>
          <w:sz w:val="32"/>
          <w:szCs w:val="32"/>
          <w:highlight w:val="none"/>
          <w:lang w:val="en-US" w:eastAsia="zh-CN"/>
        </w:rPr>
        <w:t>制造业优势</w:t>
      </w:r>
      <w:r>
        <w:rPr>
          <w:rFonts w:hint="default" w:ascii="Times New Roman" w:hAnsi="Times New Roman" w:eastAsia="仿宋_GB2312" w:cs="Times New Roman"/>
          <w:b w:val="0"/>
          <w:bCs w:val="0"/>
          <w:color w:val="auto"/>
          <w:sz w:val="32"/>
          <w:szCs w:val="32"/>
          <w:highlight w:val="none"/>
        </w:rPr>
        <w:t>产业</w:t>
      </w:r>
      <w:r>
        <w:rPr>
          <w:rFonts w:hint="default" w:ascii="Times New Roman" w:hAnsi="Times New Roman" w:eastAsia="仿宋_GB2312" w:cs="Times New Roman"/>
          <w:b w:val="0"/>
          <w:bCs w:val="0"/>
          <w:color w:val="auto"/>
          <w:sz w:val="32"/>
          <w:szCs w:val="32"/>
          <w:highlight w:val="none"/>
          <w:lang w:val="en-US" w:eastAsia="zh-CN"/>
        </w:rPr>
        <w:t>集群</w:t>
      </w:r>
      <w:r>
        <w:rPr>
          <w:rFonts w:hint="default" w:ascii="Times New Roman" w:hAnsi="Times New Roman" w:cs="Times New Roman"/>
          <w:b w:val="0"/>
          <w:bCs w:val="0"/>
          <w:color w:val="auto"/>
          <w:sz w:val="32"/>
          <w:szCs w:val="32"/>
          <w:highlight w:val="none"/>
          <w:lang w:val="en-US" w:eastAsia="zh-CN"/>
        </w:rPr>
        <w:t>。“十五五”期间，全县</w:t>
      </w:r>
      <w:r>
        <w:rPr>
          <w:rFonts w:hint="default" w:ascii="Times New Roman" w:hAnsi="Times New Roman" w:eastAsia="仿宋_GB2312" w:cs="Times New Roman"/>
          <w:b w:val="0"/>
          <w:bCs w:val="0"/>
          <w:color w:val="auto"/>
          <w:kern w:val="2"/>
          <w:sz w:val="32"/>
          <w:szCs w:val="32"/>
          <w:highlight w:val="none"/>
          <w:lang w:val="en-US" w:eastAsia="zh-CN" w:bidi="ar-SA"/>
        </w:rPr>
        <w:t>规模以上</w:t>
      </w:r>
      <w:r>
        <w:rPr>
          <w:rFonts w:hint="default" w:ascii="Times New Roman" w:hAnsi="Times New Roman" w:cs="Times New Roman"/>
          <w:b w:val="0"/>
          <w:bCs w:val="0"/>
          <w:color w:val="auto"/>
          <w:kern w:val="2"/>
          <w:sz w:val="32"/>
          <w:szCs w:val="32"/>
          <w:highlight w:val="none"/>
          <w:lang w:val="en-US" w:eastAsia="zh-CN" w:bidi="ar-SA"/>
        </w:rPr>
        <w:t>工业总产值</w:t>
      </w:r>
      <w:r>
        <w:rPr>
          <w:rFonts w:hint="default" w:ascii="Times New Roman" w:hAnsi="Times New Roman" w:eastAsia="仿宋_GB2312" w:cs="Times New Roman"/>
          <w:b w:val="0"/>
          <w:bCs w:val="0"/>
          <w:color w:val="auto"/>
          <w:kern w:val="2"/>
          <w:sz w:val="32"/>
          <w:szCs w:val="32"/>
          <w:highlight w:val="none"/>
          <w:lang w:val="en-US" w:eastAsia="zh-CN" w:bidi="ar-SA"/>
        </w:rPr>
        <w:t>年均增长7%</w:t>
      </w:r>
      <w:r>
        <w:rPr>
          <w:rFonts w:hint="default" w:ascii="Times New Roman" w:hAnsi="Times New Roman" w:cs="Times New Roman"/>
          <w:b w:val="0"/>
          <w:bCs w:val="0"/>
          <w:color w:val="auto"/>
          <w:kern w:val="2"/>
          <w:sz w:val="32"/>
          <w:szCs w:val="32"/>
          <w:highlight w:val="none"/>
          <w:lang w:val="en-US" w:eastAsia="zh-CN" w:bidi="ar-SA"/>
        </w:rPr>
        <w:t>以上</w:t>
      </w:r>
      <w:r>
        <w:rPr>
          <w:rFonts w:hint="default" w:ascii="Times New Roman" w:hAnsi="Times New Roman" w:eastAsia="仿宋_GB2312" w:cs="Times New Roman"/>
          <w:b w:val="0"/>
          <w:bCs w:val="0"/>
          <w:color w:val="auto"/>
          <w:sz w:val="32"/>
          <w:szCs w:val="32"/>
          <w:highlight w:val="none"/>
          <w:lang w:val="en-US" w:eastAsia="zh-CN"/>
        </w:rPr>
        <w:t>。</w:t>
      </w:r>
    </w:p>
    <w:p w14:paraId="6F606EF2">
      <w:pPr>
        <w:pStyle w:val="4"/>
        <w:pageBreakBefore w:val="0"/>
        <w:widowControl w:val="0"/>
        <w:kinsoku/>
        <w:wordWrap/>
        <w:overflowPunct/>
        <w:topLinePunct w:val="0"/>
        <w:autoSpaceDE/>
        <w:autoSpaceDN/>
        <w:bidi w:val="0"/>
        <w:adjustRightInd/>
        <w:snapToGrid/>
        <w:textAlignment w:val="auto"/>
        <w:rPr>
          <w:rFonts w:hint="default" w:ascii="Times New Roman" w:hAnsi="Times New Roman" w:cs="Times New Roman"/>
          <w:highlight w:val="none"/>
          <w:lang w:val="en-US" w:eastAsia="zh-CN"/>
        </w:rPr>
      </w:pPr>
      <w:bookmarkStart w:id="22" w:name="_Toc25558_WPSOffice_Level3"/>
      <w:r>
        <w:rPr>
          <w:rFonts w:hint="default" w:ascii="Times New Roman" w:hAnsi="Times New Roman" w:cs="Times New Roman"/>
          <w:highlight w:val="none"/>
          <w:lang w:val="en-US" w:eastAsia="zh-CN"/>
        </w:rPr>
        <w:t>1.新医药产业集群</w:t>
      </w:r>
      <w:bookmarkEnd w:id="22"/>
    </w:p>
    <w:p w14:paraId="01B8C82A">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bookmarkStart w:id="23" w:name="OLE_LINK2"/>
      <w:bookmarkStart w:id="24" w:name="OLE_LINK1"/>
      <w:r>
        <w:rPr>
          <w:rFonts w:hint="default" w:ascii="Times New Roman" w:hAnsi="Times New Roman" w:cs="Times New Roman"/>
          <w:b w:val="0"/>
          <w:bCs w:val="0"/>
          <w:highlight w:val="none"/>
          <w:lang w:val="en-US" w:eastAsia="zh-CN"/>
        </w:rPr>
        <w:t>牢牢把握与国药集团深度合作契机，进一步壮大化学药、原料药、</w:t>
      </w:r>
      <w:r>
        <w:rPr>
          <w:rFonts w:hint="default" w:ascii="Times New Roman" w:hAnsi="Times New Roman" w:eastAsia="仿宋_GB2312" w:cs="Times New Roman"/>
          <w:b w:val="0"/>
          <w:bCs w:val="0"/>
          <w:color w:val="auto"/>
          <w:kern w:val="2"/>
          <w:sz w:val="32"/>
          <w:szCs w:val="32"/>
          <w:highlight w:val="none"/>
          <w:lang w:val="en-US" w:eastAsia="zh-CN" w:bidi="ar-SA"/>
        </w:rPr>
        <w:t>医用包装材料</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cs="Times New Roman"/>
          <w:b w:val="0"/>
          <w:bCs w:val="0"/>
          <w:highlight w:val="none"/>
          <w:lang w:val="en-US" w:eastAsia="zh-CN"/>
        </w:rPr>
        <w:t>生物技术药、现代中医药五条新医药产业链，</w:t>
      </w:r>
      <w:r>
        <w:rPr>
          <w:rFonts w:hint="default" w:ascii="Times New Roman" w:hAnsi="Times New Roman" w:eastAsia="仿宋_GB2312" w:cs="Times New Roman"/>
          <w:b w:val="0"/>
          <w:bCs w:val="0"/>
          <w:color w:val="auto"/>
          <w:sz w:val="32"/>
          <w:szCs w:val="32"/>
          <w:highlight w:val="none"/>
          <w:lang w:val="en-US" w:eastAsia="zh-CN"/>
        </w:rPr>
        <w:t>支持骨干、链主企业扩大优势产品的市场规模，</w:t>
      </w:r>
      <w:r>
        <w:rPr>
          <w:rFonts w:hint="default" w:ascii="Times New Roman" w:hAnsi="Times New Roman" w:cs="Times New Roman"/>
          <w:b w:val="0"/>
          <w:bCs w:val="0"/>
          <w:highlight w:val="none"/>
          <w:lang w:val="en-US" w:eastAsia="zh-CN"/>
        </w:rPr>
        <w:t>立足现有产业链基础进一步引进一批医药制造业企业，依托</w:t>
      </w:r>
      <w:r>
        <w:rPr>
          <w:rFonts w:hint="default" w:ascii="Times New Roman" w:hAnsi="Times New Roman" w:cs="Times New Roman"/>
          <w:b w:val="0"/>
          <w:bCs w:val="0"/>
          <w:sz w:val="32"/>
          <w:szCs w:val="32"/>
          <w:highlight w:val="none"/>
          <w:lang w:val="en-US" w:eastAsia="zh-CN"/>
        </w:rPr>
        <w:t>药品上市许可持有人制度（MAH）、</w:t>
      </w:r>
      <w:r>
        <w:rPr>
          <w:rFonts w:hint="default" w:ascii="Times New Roman" w:hAnsi="Times New Roman" w:eastAsia="仿宋_GB2312" w:cs="Times New Roman"/>
          <w:b w:val="0"/>
          <w:bCs w:val="0"/>
          <w:kern w:val="2"/>
          <w:sz w:val="32"/>
          <w:szCs w:val="32"/>
          <w:highlight w:val="none"/>
          <w:lang w:val="en-US" w:eastAsia="zh-CN" w:bidi="ar-SA"/>
        </w:rPr>
        <w:t>合同生产组织</w:t>
      </w:r>
      <w:r>
        <w:rPr>
          <w:rFonts w:hint="default" w:ascii="Times New Roman" w:hAnsi="Times New Roman" w:cs="Times New Roman"/>
          <w:b w:val="0"/>
          <w:bCs w:val="0"/>
          <w:kern w:val="2"/>
          <w:sz w:val="32"/>
          <w:szCs w:val="32"/>
          <w:highlight w:val="none"/>
          <w:lang w:val="en-US" w:eastAsia="zh-CN" w:bidi="ar-SA"/>
        </w:rPr>
        <w:t>（CMO）深化与域外药品研发生产机构深度合作，</w:t>
      </w:r>
      <w:r>
        <w:rPr>
          <w:rFonts w:hint="default" w:ascii="Times New Roman" w:hAnsi="Times New Roman" w:cs="Times New Roman"/>
          <w:b w:val="0"/>
          <w:bCs w:val="0"/>
          <w:highlight w:val="none"/>
          <w:lang w:val="en-US" w:eastAsia="zh-CN"/>
        </w:rPr>
        <w:t>显著提高全县新医药产业集群的行业整合力、技术创新力、资源控制力、品牌影响力、人才聚集力，支持本地骨干企业在</w:t>
      </w:r>
      <w:r>
        <w:rPr>
          <w:rFonts w:hint="default" w:ascii="Times New Roman" w:hAnsi="Times New Roman" w:eastAsia="仿宋_GB2312" w:cs="Times New Roman"/>
          <w:b w:val="0"/>
          <w:bCs w:val="0"/>
          <w:kern w:val="2"/>
          <w:sz w:val="32"/>
          <w:szCs w:val="24"/>
          <w:highlight w:val="none"/>
          <w:lang w:val="en-US" w:eastAsia="zh-CN" w:bidi="ar-SA"/>
        </w:rPr>
        <w:t>稳住欧美市场的同时</w:t>
      </w:r>
      <w:r>
        <w:rPr>
          <w:rFonts w:hint="default" w:ascii="Times New Roman" w:hAnsi="Times New Roman" w:cs="Times New Roman"/>
          <w:b w:val="0"/>
          <w:bCs w:val="0"/>
          <w:kern w:val="2"/>
          <w:sz w:val="32"/>
          <w:szCs w:val="24"/>
          <w:highlight w:val="none"/>
          <w:lang w:val="en-US" w:eastAsia="zh-CN" w:bidi="ar-SA"/>
        </w:rPr>
        <w:t>，进一步拓展</w:t>
      </w:r>
      <w:r>
        <w:rPr>
          <w:rFonts w:hint="default" w:ascii="Times New Roman" w:hAnsi="Times New Roman" w:eastAsia="仿宋_GB2312" w:cs="Times New Roman"/>
          <w:b w:val="0"/>
          <w:bCs w:val="0"/>
          <w:kern w:val="2"/>
          <w:sz w:val="32"/>
          <w:szCs w:val="24"/>
          <w:highlight w:val="none"/>
          <w:lang w:val="en-US" w:eastAsia="zh-CN" w:bidi="ar-SA"/>
        </w:rPr>
        <w:t>在新兴海外市场的布局</w:t>
      </w:r>
      <w:r>
        <w:rPr>
          <w:rFonts w:hint="default" w:ascii="Times New Roman" w:hAnsi="Times New Roman" w:cs="Times New Roman"/>
          <w:b w:val="0"/>
          <w:bCs w:val="0"/>
          <w:highlight w:val="none"/>
          <w:lang w:val="en-US" w:eastAsia="zh-CN"/>
        </w:rPr>
        <w:t>。</w:t>
      </w:r>
    </w:p>
    <w:p w14:paraId="4958081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highlight w:val="none"/>
          <w:lang w:val="en-US" w:eastAsia="zh-CN"/>
        </w:rPr>
        <w:t>化学药产业。</w:t>
      </w:r>
      <w:r>
        <w:rPr>
          <w:rFonts w:hint="default" w:ascii="Times New Roman" w:hAnsi="Times New Roman" w:eastAsia="仿宋_GB2312" w:cs="Times New Roman"/>
          <w:b w:val="0"/>
          <w:bCs w:val="0"/>
          <w:color w:val="auto"/>
          <w:kern w:val="2"/>
          <w:sz w:val="32"/>
          <w:szCs w:val="32"/>
          <w:highlight w:val="none"/>
          <w:lang w:val="en-US" w:eastAsia="zh-CN" w:bidi="ar-SA"/>
        </w:rPr>
        <w:t>探索仿制药</w:t>
      </w:r>
      <w:r>
        <w:rPr>
          <w:rFonts w:hint="default" w:ascii="Times New Roman" w:hAnsi="Times New Roman" w:cs="Times New Roman"/>
          <w:b w:val="0"/>
          <w:bCs w:val="0"/>
          <w:color w:val="auto"/>
          <w:kern w:val="2"/>
          <w:sz w:val="32"/>
          <w:szCs w:val="32"/>
          <w:highlight w:val="none"/>
          <w:lang w:val="en-US" w:eastAsia="zh-CN" w:bidi="ar-SA"/>
        </w:rPr>
        <w:t>和</w:t>
      </w:r>
      <w:r>
        <w:rPr>
          <w:rFonts w:hint="default" w:ascii="Times New Roman" w:hAnsi="Times New Roman" w:eastAsia="仿宋_GB2312" w:cs="Times New Roman"/>
          <w:b w:val="0"/>
          <w:bCs w:val="0"/>
          <w:color w:val="auto"/>
          <w:kern w:val="2"/>
          <w:sz w:val="32"/>
          <w:szCs w:val="32"/>
          <w:highlight w:val="none"/>
          <w:lang w:val="en-US" w:eastAsia="zh-CN" w:bidi="ar-SA"/>
        </w:rPr>
        <w:t>原研药、</w:t>
      </w:r>
      <w:r>
        <w:rPr>
          <w:rFonts w:hint="default" w:ascii="Times New Roman" w:hAnsi="Times New Roman" w:cs="Times New Roman"/>
          <w:b w:val="0"/>
          <w:bCs w:val="0"/>
          <w:color w:val="auto"/>
          <w:kern w:val="2"/>
          <w:sz w:val="32"/>
          <w:szCs w:val="32"/>
          <w:highlight w:val="none"/>
          <w:lang w:val="en-US" w:eastAsia="zh-CN" w:bidi="ar-SA"/>
        </w:rPr>
        <w:t>原料药和</w:t>
      </w:r>
      <w:r>
        <w:rPr>
          <w:rFonts w:hint="default" w:ascii="Times New Roman" w:hAnsi="Times New Roman" w:eastAsia="仿宋_GB2312" w:cs="Times New Roman"/>
          <w:b w:val="0"/>
          <w:bCs w:val="0"/>
          <w:color w:val="auto"/>
          <w:kern w:val="2"/>
          <w:sz w:val="32"/>
          <w:szCs w:val="32"/>
          <w:highlight w:val="none"/>
          <w:lang w:val="en-US" w:eastAsia="zh-CN" w:bidi="ar-SA"/>
        </w:rPr>
        <w:t>制剂并行的发展路径，利用现代生物技术改进传统生产工艺，提升全县化学药产品高端化绿色化发展水平。进一步提升β</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内酰胺类抗生素</w:t>
      </w:r>
      <w:r>
        <w:rPr>
          <w:rFonts w:hint="default" w:ascii="Times New Roman" w:hAnsi="Times New Roman" w:cs="Times New Roman"/>
          <w:b w:val="0"/>
          <w:bCs w:val="0"/>
          <w:color w:val="auto"/>
          <w:kern w:val="2"/>
          <w:sz w:val="32"/>
          <w:szCs w:val="32"/>
          <w:highlight w:val="none"/>
          <w:lang w:val="en-US" w:eastAsia="zh-CN" w:bidi="ar-SA"/>
        </w:rPr>
        <w:t>药物产品市场竞争力</w:t>
      </w:r>
      <w:r>
        <w:rPr>
          <w:rFonts w:hint="default" w:ascii="Times New Roman" w:hAnsi="Times New Roman" w:eastAsia="仿宋_GB2312" w:cs="Times New Roman"/>
          <w:b w:val="0"/>
          <w:bCs w:val="0"/>
          <w:color w:val="auto"/>
          <w:kern w:val="2"/>
          <w:sz w:val="32"/>
          <w:szCs w:val="32"/>
          <w:highlight w:val="none"/>
          <w:lang w:val="en-US" w:eastAsia="zh-CN" w:bidi="ar-SA"/>
        </w:rPr>
        <w:t>，研发生产国内短缺的高端</w:t>
      </w:r>
      <w:bookmarkEnd w:id="23"/>
      <w:bookmarkEnd w:id="24"/>
      <w:r>
        <w:rPr>
          <w:rFonts w:hint="default" w:ascii="Times New Roman" w:hAnsi="Times New Roman" w:eastAsia="仿宋_GB2312" w:cs="Times New Roman"/>
          <w:b w:val="0"/>
          <w:bCs w:val="0"/>
          <w:color w:val="auto"/>
          <w:kern w:val="2"/>
          <w:sz w:val="32"/>
          <w:szCs w:val="32"/>
          <w:highlight w:val="none"/>
          <w:lang w:val="en-US" w:eastAsia="zh-CN" w:bidi="ar-SA"/>
        </w:rPr>
        <w:t>化学药，发展基于缓控释、靶向、透皮、黏膜、载体给药等技术的新型制剂。鼓励自主或联合研发针对心脑血管疾病、神经系统疾病、糖尿病、病毒感染等重大疾病的创新化学药物。围绕国际市场尤其是亚洲地区的市场需求，积极发展剂型先进、使用方便、市场需求大、产品质量高的出口型高端药品。</w:t>
      </w:r>
      <w:r>
        <w:rPr>
          <w:rFonts w:hint="default" w:ascii="Times New Roman" w:hAnsi="Times New Roman" w:cs="Times New Roman"/>
          <w:b w:val="0"/>
          <w:bCs w:val="0"/>
          <w:color w:val="auto"/>
          <w:kern w:val="2"/>
          <w:sz w:val="32"/>
          <w:szCs w:val="32"/>
          <w:highlight w:val="none"/>
          <w:lang w:val="en-US" w:eastAsia="zh-CN" w:bidi="ar-SA"/>
        </w:rPr>
        <w:t>推动化学药绿色化生产，</w:t>
      </w:r>
      <w:r>
        <w:rPr>
          <w:rFonts w:hint="default" w:ascii="Times New Roman" w:hAnsi="Times New Roman" w:eastAsia="仿宋_GB2312" w:cs="Times New Roman"/>
          <w:b w:val="0"/>
          <w:bCs w:val="0"/>
          <w:color w:val="auto"/>
          <w:kern w:val="2"/>
          <w:sz w:val="32"/>
          <w:szCs w:val="32"/>
          <w:highlight w:val="none"/>
          <w:lang w:val="en-US" w:eastAsia="zh-CN" w:bidi="ar-SA"/>
        </w:rPr>
        <w:t>开发高效提取纯化、生物转化、高产低耗菌种应用等清洁生产技术，鼓励建设绿色工厂，优化改善生产流程，推广节能节水节地技术装备，提高能源等资源利用效率和清洁生产水平，坚决防止发生突发环境事件。</w:t>
      </w:r>
    </w:p>
    <w:p w14:paraId="74B31A3E">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highlight w:val="none"/>
          <w:lang w:val="en-US" w:eastAsia="zh-CN"/>
        </w:rPr>
        <w:t>原料药产业。</w:t>
      </w:r>
      <w:r>
        <w:rPr>
          <w:rFonts w:hint="default" w:ascii="Times New Roman" w:hAnsi="Times New Roman" w:eastAsia="仿宋_GB2312" w:cs="Times New Roman"/>
          <w:b w:val="0"/>
          <w:bCs w:val="0"/>
          <w:color w:val="auto"/>
          <w:kern w:val="2"/>
          <w:sz w:val="32"/>
          <w:szCs w:val="32"/>
          <w:highlight w:val="none"/>
          <w:lang w:val="en-US" w:eastAsia="zh-CN" w:bidi="ar-SA"/>
        </w:rPr>
        <w:t>坚持创新驱动，补齐技术装备短板，深化医药与精细化工产业融合发展，贯通“中间体+原料药+制剂”的全产业链条，</w:t>
      </w:r>
      <w:r>
        <w:rPr>
          <w:rFonts w:hint="default" w:ascii="Times New Roman" w:hAnsi="Times New Roman" w:eastAsia="仿宋_GB2312" w:cs="Times New Roman"/>
          <w:b w:val="0"/>
          <w:bCs w:val="0"/>
          <w:color w:val="auto"/>
          <w:spacing w:val="6"/>
          <w:kern w:val="2"/>
          <w:sz w:val="32"/>
          <w:szCs w:val="32"/>
          <w:highlight w:val="none"/>
          <w:lang w:val="en-US" w:eastAsia="zh-CN" w:bidi="ar-SA"/>
        </w:rPr>
        <w:t>加快绿色低碳转型，推动全县原料药产业创新发展和先进制造水平大幅提升。顺应原料药技术革新趋势，加快合成生物技术、生物催化剂、连续流微反应、连续结晶和晶型控制、高效分离纯化、药物微量杂质控制、过程分析等先进技术开发与应用。利用现代技术改造传统生产过程，开发国际先进的微通道反应器、多肽合成仪、核酸合成仪、</w:t>
      </w:r>
      <w:r>
        <w:rPr>
          <w:rFonts w:hint="default" w:ascii="Times New Roman" w:hAnsi="Times New Roman" w:eastAsia="仿宋_GB2312" w:cs="Times New Roman"/>
          <w:b w:val="0"/>
          <w:bCs w:val="0"/>
          <w:color w:val="auto"/>
          <w:kern w:val="2"/>
          <w:sz w:val="32"/>
          <w:szCs w:val="32"/>
          <w:highlight w:val="none"/>
          <w:lang w:val="en-US" w:eastAsia="zh-CN" w:bidi="ar-SA"/>
        </w:rPr>
        <w:t>新型结晶器、高密闭性隔离器、流化床干燥器、超微粉气流粉碎机、湿法研磨均质机、膜分离系统、全自动合成反应器等高端装备。支持</w:t>
      </w:r>
      <w:r>
        <w:rPr>
          <w:rFonts w:hint="default" w:ascii="Times New Roman" w:hAnsi="Times New Roman" w:eastAsia="仿宋_GB2312" w:cs="Times New Roman"/>
          <w:b w:val="0"/>
          <w:bCs w:val="0"/>
          <w:kern w:val="2"/>
          <w:sz w:val="32"/>
          <w:szCs w:val="24"/>
          <w:highlight w:val="none"/>
          <w:lang w:val="en-US" w:eastAsia="zh-CN" w:bidi="ar-SA"/>
        </w:rPr>
        <w:t>骨干企业</w:t>
      </w:r>
      <w:r>
        <w:rPr>
          <w:rFonts w:hint="default" w:ascii="Times New Roman" w:hAnsi="Times New Roman" w:eastAsia="仿宋_GB2312" w:cs="Times New Roman"/>
          <w:b w:val="0"/>
          <w:bCs w:val="0"/>
          <w:color w:val="auto"/>
          <w:kern w:val="2"/>
          <w:sz w:val="32"/>
          <w:szCs w:val="32"/>
          <w:highlight w:val="none"/>
          <w:lang w:val="en-US" w:eastAsia="zh-CN" w:bidi="ar-SA"/>
        </w:rPr>
        <w:t>围绕原料药生产关键共性技术，打造公共研发服务平台。</w:t>
      </w:r>
    </w:p>
    <w:p w14:paraId="69F4D69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highlight w:val="none"/>
          <w:lang w:val="en-US" w:eastAsia="zh-CN"/>
        </w:rPr>
        <w:t>医用包装材料产业。</w:t>
      </w:r>
      <w:r>
        <w:rPr>
          <w:rFonts w:hint="default" w:ascii="Times New Roman" w:hAnsi="Times New Roman" w:eastAsia="仿宋_GB2312" w:cs="Times New Roman"/>
          <w:b w:val="0"/>
          <w:bCs w:val="0"/>
          <w:color w:val="auto"/>
          <w:sz w:val="32"/>
          <w:szCs w:val="32"/>
          <w:highlight w:val="none"/>
          <w:lang w:val="en-US" w:eastAsia="zh-CN"/>
        </w:rPr>
        <w:t>支持</w:t>
      </w:r>
      <w:r>
        <w:rPr>
          <w:rFonts w:hint="eastAsia" w:ascii="Times New Roman" w:hAnsi="Times New Roman" w:cs="Times New Roman"/>
          <w:b w:val="0"/>
          <w:bCs w:val="0"/>
          <w:color w:val="auto"/>
          <w:sz w:val="32"/>
          <w:szCs w:val="32"/>
          <w:highlight w:val="none"/>
          <w:lang w:val="en-US" w:eastAsia="zh-CN"/>
        </w:rPr>
        <w:t>药包材企业</w:t>
      </w:r>
      <w:r>
        <w:rPr>
          <w:rFonts w:hint="default" w:ascii="Times New Roman" w:hAnsi="Times New Roman" w:eastAsia="仿宋_GB2312" w:cs="Times New Roman"/>
          <w:b w:val="0"/>
          <w:bCs w:val="0"/>
          <w:color w:val="auto"/>
          <w:sz w:val="32"/>
          <w:szCs w:val="32"/>
          <w:highlight w:val="none"/>
          <w:lang w:val="en-US" w:eastAsia="zh-CN"/>
        </w:rPr>
        <w:t>在药用玻璃包装制品、</w:t>
      </w:r>
      <w:r>
        <w:rPr>
          <w:rFonts w:hint="default" w:ascii="Times New Roman" w:hAnsi="Times New Roman" w:eastAsia="仿宋_GB2312" w:cs="Times New Roman"/>
          <w:b w:val="0"/>
          <w:bCs w:val="0"/>
          <w:color w:val="auto"/>
          <w:kern w:val="2"/>
          <w:sz w:val="32"/>
          <w:szCs w:val="32"/>
          <w:highlight w:val="none"/>
          <w:lang w:val="en-US" w:eastAsia="zh-CN" w:bidi="ar-SA"/>
        </w:rPr>
        <w:t>食品和化妆品用玻璃包装制品、丁基胶塞及配套盖塞领域巩固提升规模优势、品种优势、科研优势和质量优势，进一步提升全球市场占有率水平</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顺应生物制剂、基因治疗</w:t>
      </w:r>
      <w:r>
        <w:rPr>
          <w:rFonts w:hint="default" w:ascii="Times New Roman" w:hAnsi="Times New Roman" w:eastAsia="仿宋_GB2312" w:cs="Times New Roman"/>
          <w:b w:val="0"/>
          <w:bCs w:val="0"/>
          <w:color w:val="auto"/>
          <w:sz w:val="32"/>
          <w:szCs w:val="32"/>
          <w:highlight w:val="none"/>
          <w:lang w:val="en-US" w:eastAsia="zh-CN"/>
        </w:rPr>
        <w:t>药物等新型药物对包装稳定性、安全性和功能性的更高要求，</w:t>
      </w:r>
      <w:r>
        <w:rPr>
          <w:rFonts w:hint="default" w:ascii="Times New Roman" w:hAnsi="Times New Roman" w:eastAsia="仿宋_GB2312" w:cs="Times New Roman"/>
          <w:b w:val="0"/>
          <w:bCs w:val="0"/>
          <w:color w:val="auto"/>
          <w:kern w:val="2"/>
          <w:sz w:val="32"/>
          <w:szCs w:val="32"/>
          <w:highlight w:val="none"/>
          <w:lang w:val="en-US" w:eastAsia="zh-CN" w:bidi="ar-SA"/>
        </w:rPr>
        <w:t>开展高阻隔性复合材料、纳米材料等高性能药品包装材料以及新型预灌封注射器、自动注射器、多室袋输液包装、低温超低温包装等新产品的研发生产。</w:t>
      </w:r>
    </w:p>
    <w:p w14:paraId="6D687C1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highlight w:val="none"/>
          <w:lang w:val="en-US" w:eastAsia="zh-CN"/>
        </w:rPr>
        <w:t>生物技术药产业。</w:t>
      </w:r>
      <w:r>
        <w:rPr>
          <w:rFonts w:hint="default" w:ascii="Times New Roman" w:hAnsi="Times New Roman" w:eastAsia="仿宋_GB2312" w:cs="Times New Roman"/>
          <w:b w:val="0"/>
          <w:bCs w:val="0"/>
          <w:color w:val="auto"/>
          <w:kern w:val="2"/>
          <w:sz w:val="32"/>
          <w:szCs w:val="32"/>
          <w:highlight w:val="none"/>
          <w:lang w:val="en-US" w:eastAsia="zh-CN" w:bidi="ar-SA"/>
        </w:rPr>
        <w:t>开展抗体药物、重组蛋白、血液制品等药物的开发，加快新型生物技术药的研发和产业化，重点发展针对肿瘤和糖尿病等重大疾病的抗体药物、重组蛋白质药物以及国内市场急需的血液制品。</w:t>
      </w:r>
      <w:r>
        <w:rPr>
          <w:rFonts w:hint="default" w:ascii="Times New Roman" w:hAnsi="Times New Roman" w:eastAsia="仿宋_GB2312" w:cs="Times New Roman"/>
          <w:b w:val="0"/>
          <w:bCs w:val="0"/>
          <w:color w:val="auto"/>
          <w:sz w:val="32"/>
          <w:szCs w:val="32"/>
          <w:highlight w:val="none"/>
          <w:lang w:val="en-US" w:eastAsia="zh-CN"/>
        </w:rPr>
        <w:t>支持</w:t>
      </w:r>
      <w:r>
        <w:rPr>
          <w:rFonts w:hint="eastAsia" w:ascii="Times New Roman" w:hAnsi="Times New Roman" w:cs="Times New Roman"/>
          <w:b w:val="0"/>
          <w:bCs w:val="0"/>
          <w:color w:val="auto"/>
          <w:sz w:val="32"/>
          <w:szCs w:val="32"/>
          <w:highlight w:val="none"/>
          <w:lang w:val="en-US" w:eastAsia="zh-CN"/>
        </w:rPr>
        <w:t>骨干药企</w:t>
      </w:r>
      <w:r>
        <w:rPr>
          <w:rFonts w:hint="default" w:ascii="Times New Roman" w:hAnsi="Times New Roman" w:eastAsia="仿宋_GB2312" w:cs="Times New Roman"/>
          <w:b w:val="0"/>
          <w:bCs w:val="0"/>
          <w:color w:val="auto"/>
          <w:sz w:val="32"/>
          <w:szCs w:val="32"/>
          <w:highlight w:val="none"/>
          <w:lang w:val="en-US" w:eastAsia="zh-CN"/>
        </w:rPr>
        <w:t>提升</w:t>
      </w:r>
      <w:r>
        <w:rPr>
          <w:rFonts w:hint="default" w:ascii="Times New Roman" w:hAnsi="Times New Roman" w:eastAsia="仿宋_GB2312" w:cs="Times New Roman"/>
          <w:b w:val="0"/>
          <w:bCs w:val="0"/>
          <w:color w:val="auto"/>
          <w:kern w:val="2"/>
          <w:sz w:val="32"/>
          <w:szCs w:val="32"/>
          <w:highlight w:val="none"/>
          <w:lang w:val="en-US" w:eastAsia="zh-CN" w:bidi="ar-SA"/>
        </w:rPr>
        <w:t>小分子药物研发创新能力，开展PD—1、PD—L1、全人源化抗体药物和生物疫苗等生物技术药产品的研发生产</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联合国内知名科研机构开展基因检测、细胞治疗等新兴领域产品开发，构建干细胞技术引进、转化、研发再创新及应用一体化平台。</w:t>
      </w:r>
    </w:p>
    <w:p w14:paraId="56C4B546">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现代中医药产业。</w:t>
      </w:r>
      <w:r>
        <w:rPr>
          <w:rFonts w:hint="default" w:ascii="Times New Roman" w:hAnsi="Times New Roman" w:eastAsia="仿宋_GB2312" w:cs="Times New Roman"/>
          <w:b w:val="0"/>
          <w:bCs w:val="0"/>
          <w:color w:val="auto"/>
          <w:kern w:val="2"/>
          <w:sz w:val="32"/>
          <w:szCs w:val="32"/>
          <w:highlight w:val="none"/>
          <w:lang w:val="en-US" w:eastAsia="zh-CN" w:bidi="ar-SA"/>
        </w:rPr>
        <w:t>充分发挥</w:t>
      </w:r>
      <w:r>
        <w:rPr>
          <w:rFonts w:hint="default" w:ascii="Times New Roman" w:hAnsi="Times New Roman" w:cs="Times New Roman"/>
          <w:b w:val="0"/>
          <w:bCs w:val="0"/>
          <w:highlight w:val="none"/>
          <w:lang w:val="en-US" w:eastAsia="zh-CN"/>
        </w:rPr>
        <w:t>资源和研发优势，推进中医典籍与大数据分析等现代科学技术融合，加强有效作用成分的研究，创新开发新型天然药物，</w:t>
      </w:r>
      <w:r>
        <w:rPr>
          <w:rFonts w:hint="default" w:ascii="Times New Roman" w:hAnsi="Times New Roman" w:eastAsia="仿宋_GB2312" w:cs="Times New Roman"/>
          <w:b w:val="0"/>
          <w:bCs w:val="0"/>
          <w:kern w:val="2"/>
          <w:sz w:val="32"/>
          <w:szCs w:val="24"/>
          <w:highlight w:val="none"/>
          <w:lang w:val="en-US" w:eastAsia="zh-CN" w:bidi="ar-SA"/>
        </w:rPr>
        <w:t>提高中药制药企业技术水平与规模效益，进一步做大做强</w:t>
      </w:r>
      <w:r>
        <w:rPr>
          <w:rFonts w:hint="default" w:ascii="Times New Roman" w:hAnsi="Times New Roman" w:cs="Times New Roman"/>
          <w:b w:val="0"/>
          <w:bCs w:val="0"/>
          <w:kern w:val="2"/>
          <w:sz w:val="32"/>
          <w:szCs w:val="24"/>
          <w:highlight w:val="none"/>
          <w:lang w:val="en-US" w:eastAsia="zh-CN" w:bidi="ar-SA"/>
        </w:rPr>
        <w:t>现代中医药</w:t>
      </w:r>
      <w:r>
        <w:rPr>
          <w:rFonts w:hint="default" w:ascii="Times New Roman" w:hAnsi="Times New Roman" w:eastAsia="仿宋_GB2312" w:cs="Times New Roman"/>
          <w:b w:val="0"/>
          <w:bCs w:val="0"/>
          <w:kern w:val="2"/>
          <w:sz w:val="32"/>
          <w:szCs w:val="24"/>
          <w:highlight w:val="none"/>
          <w:lang w:val="en-US" w:eastAsia="zh-CN" w:bidi="ar-SA"/>
        </w:rPr>
        <w:t>产业</w:t>
      </w:r>
      <w:r>
        <w:rPr>
          <w:rFonts w:hint="default" w:ascii="Times New Roman" w:hAnsi="Times New Roman" w:cs="Times New Roman"/>
          <w:b w:val="0"/>
          <w:bCs w:val="0"/>
          <w:highlight w:val="none"/>
          <w:lang w:val="en-US" w:eastAsia="zh-CN"/>
        </w:rPr>
        <w:t>。积极挖掘和研究名药名方，推动经典名药的二次开发及应用，研制一批疗效确切、安全性高、有效成分明确、作用机理清晰的中药产品。加强中药材资源就地转化，鼓励运用大孔树脂、超临界萃取、离子交换、层析分离等先进提取技术改进传统工艺，提升工艺技术水平，加快超微粉碎技术、固体分散技术、脂质体制备技术、包合技术、微型包囊技术、乳化技术等在药物开发生产中的应用，促进天然药物单体、植物提取物以及中药配方颗粒发展，带动下游相关产品深度开发。大力推广使用优良品种，围绕具有种植优势和产业优势的</w:t>
      </w:r>
      <w:r>
        <w:rPr>
          <w:rFonts w:hint="default" w:ascii="Times New Roman" w:hAnsi="Times New Roman" w:eastAsia="仿宋_GB2312" w:cs="Times New Roman"/>
          <w:b w:val="0"/>
          <w:bCs w:val="0"/>
          <w:kern w:val="2"/>
          <w:sz w:val="32"/>
          <w:szCs w:val="24"/>
          <w:highlight w:val="none"/>
          <w:lang w:val="en-US" w:eastAsia="zh-CN" w:bidi="ar-SA"/>
        </w:rPr>
        <w:t>丹参、桔梗、黄芪</w:t>
      </w:r>
      <w:r>
        <w:rPr>
          <w:rFonts w:hint="default" w:ascii="Times New Roman" w:hAnsi="Times New Roman" w:cs="Times New Roman"/>
          <w:b w:val="0"/>
          <w:bCs w:val="0"/>
          <w:kern w:val="2"/>
          <w:sz w:val="32"/>
          <w:szCs w:val="24"/>
          <w:highlight w:val="none"/>
          <w:lang w:val="en-US" w:eastAsia="zh-CN" w:bidi="ar-SA"/>
        </w:rPr>
        <w:t>、酸枣</w:t>
      </w:r>
      <w:r>
        <w:rPr>
          <w:rFonts w:hint="default" w:ascii="Times New Roman" w:hAnsi="Times New Roman" w:cs="Times New Roman"/>
          <w:b w:val="0"/>
          <w:bCs w:val="0"/>
          <w:highlight w:val="none"/>
          <w:lang w:val="en-US" w:eastAsia="zh-CN"/>
        </w:rPr>
        <w:t>等道地药材资源，推动建设中药材规模化、规范化和标准化生产基地。</w:t>
      </w:r>
    </w:p>
    <w:tbl>
      <w:tblPr>
        <w:tblStyle w:val="16"/>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6"/>
      </w:tblGrid>
      <w:tr w14:paraId="42A2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6" w:type="dxa"/>
            <w:vAlign w:val="center"/>
          </w:tcPr>
          <w:p w14:paraId="11D702CE">
            <w:pPr>
              <w:pStyle w:val="26"/>
              <w:bidi w:val="0"/>
              <w:rPr>
                <w:rFonts w:hint="default" w:ascii="Times New Roman" w:hAnsi="Times New Roman" w:cs="Times New Roman"/>
                <w:highlight w:val="none"/>
                <w:lang w:val="en-US"/>
              </w:rPr>
            </w:pPr>
            <w:r>
              <w:rPr>
                <w:rFonts w:hint="default" w:ascii="Times New Roman" w:hAnsi="Times New Roman" w:cs="Times New Roman"/>
                <w:highlight w:val="none"/>
              </w:rPr>
              <w:t>专栏1：</w:t>
            </w:r>
            <w:r>
              <w:rPr>
                <w:rFonts w:hint="default" w:ascii="Times New Roman" w:hAnsi="Times New Roman" w:cs="Times New Roman"/>
                <w:highlight w:val="none"/>
                <w:lang w:val="en-US" w:eastAsia="zh-CN"/>
              </w:rPr>
              <w:t>新医药产业重点项目</w:t>
            </w:r>
          </w:p>
        </w:tc>
      </w:tr>
      <w:tr w14:paraId="7DDF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1" w:hRule="atLeast"/>
          <w:jc w:val="center"/>
        </w:trPr>
        <w:tc>
          <w:tcPr>
            <w:tcW w:w="8536" w:type="dxa"/>
            <w:vAlign w:val="center"/>
          </w:tcPr>
          <w:p w14:paraId="6FB66B93">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山东瑞阳制药股份有限公司动物保健品产业化建设项目。预计实现年产兽药产品500吨。</w:t>
            </w:r>
          </w:p>
          <w:p w14:paraId="2C9FB1EA">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山东瑞阳生物股份有限公司生物医药扩充改造项目。预计实现年产RB0026注射剂320万支、PD—1单抗水针剂50万支、PD—L1单抗冻干粉针剂16万支。</w:t>
            </w:r>
          </w:p>
          <w:p w14:paraId="7633AC65">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山东省药用玻璃股份有限公司玻璃窑炉技术改造项目。对厂区内十台玻璃窑炉进行技术改造，购置建设风机、配电等相关设备设施。</w:t>
            </w:r>
          </w:p>
          <w:p w14:paraId="159A85CB">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山东鑫泉医药有限公司头孢活性酯副产物综合利用技术改造项目。通过改造，实现AE—活性酯生产过程中产生的副产物综合利用，年新增煤炭浮选促进剂3000吨，预计年减少危废产生量3000吨。</w:t>
            </w:r>
          </w:p>
          <w:p w14:paraId="421CAA04">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山东本草药业有限公司中药药事云平台项目。通过云智慧药房实现处方精准、选材地道的一人一方中药制剂，打造</w:t>
            </w:r>
            <w:r>
              <w:rPr>
                <w:rFonts w:hint="eastAsia" w:eastAsia="仿宋_GB2312" w:cs="Times New Roman"/>
                <w:b w:val="0"/>
                <w:bCs w:val="0"/>
                <w:kern w:val="0"/>
                <w:sz w:val="24"/>
                <w:szCs w:val="24"/>
                <w:highlight w:val="none"/>
                <w:lang w:val="en-US" w:eastAsia="zh-CN"/>
              </w:rPr>
              <w:t>3</w:t>
            </w:r>
            <w:r>
              <w:rPr>
                <w:rFonts w:hint="default" w:ascii="Times New Roman" w:hAnsi="Times New Roman" w:eastAsia="仿宋_GB2312" w:cs="Times New Roman"/>
                <w:b w:val="0"/>
                <w:bCs w:val="0"/>
                <w:kern w:val="0"/>
                <w:sz w:val="24"/>
                <w:szCs w:val="24"/>
                <w:highlight w:val="none"/>
                <w:lang w:val="en-US" w:eastAsia="zh-CN"/>
              </w:rPr>
              <w:t>个基地</w:t>
            </w:r>
            <w:r>
              <w:rPr>
                <w:rFonts w:hint="eastAsia" w:eastAsia="仿宋_GB2312" w:cs="Times New Roman"/>
                <w:b w:val="0"/>
                <w:bCs w:val="0"/>
                <w:kern w:val="0"/>
                <w:sz w:val="24"/>
                <w:szCs w:val="24"/>
                <w:highlight w:val="none"/>
                <w:lang w:val="en-US" w:eastAsia="zh-CN"/>
              </w:rPr>
              <w:t>、1</w:t>
            </w:r>
            <w:r>
              <w:rPr>
                <w:rFonts w:hint="default" w:ascii="Times New Roman" w:hAnsi="Times New Roman" w:eastAsia="仿宋_GB2312" w:cs="Times New Roman"/>
                <w:b w:val="0"/>
                <w:bCs w:val="0"/>
                <w:kern w:val="0"/>
                <w:sz w:val="24"/>
                <w:szCs w:val="24"/>
                <w:highlight w:val="none"/>
                <w:lang w:val="en-US" w:eastAsia="zh-CN"/>
              </w:rPr>
              <w:t>个平台</w:t>
            </w:r>
            <w:r>
              <w:rPr>
                <w:rFonts w:hint="eastAsia" w:eastAsia="仿宋_GB2312" w:cs="Times New Roman"/>
                <w:b w:val="0"/>
                <w:bCs w:val="0"/>
                <w:kern w:val="0"/>
                <w:sz w:val="24"/>
                <w:szCs w:val="24"/>
                <w:highlight w:val="none"/>
                <w:lang w:val="en-US" w:eastAsia="zh-CN"/>
              </w:rPr>
              <w:t>、</w:t>
            </w:r>
            <w:r>
              <w:rPr>
                <w:rFonts w:hint="default" w:ascii="Times New Roman" w:hAnsi="Times New Roman" w:eastAsia="仿宋_GB2312" w:cs="Times New Roman"/>
                <w:b w:val="0"/>
                <w:bCs w:val="0"/>
                <w:kern w:val="0"/>
                <w:sz w:val="24"/>
                <w:szCs w:val="24"/>
                <w:highlight w:val="none"/>
                <w:lang w:val="en-US" w:eastAsia="zh-CN"/>
              </w:rPr>
              <w:t>多个云药房。</w:t>
            </w:r>
          </w:p>
          <w:p w14:paraId="7F041B63">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山东本草药业有限公司中医药AI及数字化升级项目。通过AI训练挖掘传统中医经典名方，实现分子本草与数字中医相结合。</w:t>
            </w:r>
          </w:p>
          <w:p w14:paraId="629E7A09">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君道（沂源）健康科技有限公司干细胞项目。建设干细胞提取生产线以及配套研发楼、细胞生物实验室、医疗化验室、恒温仓库等设施。</w:t>
            </w:r>
          </w:p>
          <w:p w14:paraId="6F983408">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山东维璟医疗器械有限公司年产4000套色谱相系列仪器项目。建设研发中心及液相色谱仪、气相色谱仪、超级高效相色谱车间。</w:t>
            </w:r>
          </w:p>
          <w:p w14:paraId="01CA2F72">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济南贵隆医药技术有限公司亚精胺全产业链项目。新建亚精胺全产业链、黄连素与中药车间等。</w:t>
            </w:r>
          </w:p>
          <w:p w14:paraId="1ACDBB34">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山西太原振兴制药有限责任公司二类精神药品原料和制剂项目。新建胶囊剂、颗粒剂等精神类药品生产线。</w:t>
            </w:r>
          </w:p>
          <w:p w14:paraId="1FA5DBE3">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山东沣霖化工有限公司酵素口服液生产项目。预计实现年产酵素口服液1500万瓶。</w:t>
            </w:r>
          </w:p>
          <w:p w14:paraId="7607C3C4">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智联佳医智慧药房（山东）有限公司智联佳医智慧中药房项目。预计实现年产中药制剂182.5万单。</w:t>
            </w:r>
          </w:p>
        </w:tc>
      </w:tr>
    </w:tbl>
    <w:p w14:paraId="276F74CB">
      <w:pPr>
        <w:pStyle w:val="4"/>
        <w:keepNext/>
        <w:keepLines/>
        <w:pageBreakBefore w:val="0"/>
        <w:widowControl w:val="0"/>
        <w:kinsoku/>
        <w:wordWrap/>
        <w:overflowPunct/>
        <w:topLinePunct w:val="0"/>
        <w:autoSpaceDE/>
        <w:autoSpaceDN/>
        <w:bidi w:val="0"/>
        <w:adjustRightInd/>
        <w:snapToGrid/>
        <w:spacing w:before="157" w:beforeLines="50" w:line="560" w:lineRule="exact"/>
        <w:textAlignment w:val="auto"/>
        <w:rPr>
          <w:rFonts w:hint="default" w:ascii="Times New Roman" w:hAnsi="Times New Roman" w:cs="Times New Roman"/>
          <w:highlight w:val="none"/>
          <w:lang w:val="en-US" w:eastAsia="zh-CN"/>
        </w:rPr>
      </w:pPr>
      <w:bookmarkStart w:id="25" w:name="_Toc8837_WPSOffice_Level3"/>
      <w:r>
        <w:rPr>
          <w:rFonts w:hint="default" w:ascii="Times New Roman" w:hAnsi="Times New Roman" w:cs="Times New Roman"/>
          <w:highlight w:val="none"/>
          <w:lang w:val="en-US" w:eastAsia="zh-CN"/>
        </w:rPr>
        <w:t>2.新材料产业集群</w:t>
      </w:r>
      <w:bookmarkEnd w:id="25"/>
    </w:p>
    <w:p w14:paraId="70D4B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kern w:val="2"/>
          <w:sz w:val="32"/>
          <w:szCs w:val="24"/>
          <w:highlight w:val="none"/>
          <w:lang w:val="en-US" w:eastAsia="zh-CN" w:bidi="ar-SA"/>
        </w:rPr>
      </w:pPr>
      <w:r>
        <w:rPr>
          <w:rFonts w:hint="default" w:ascii="Times New Roman" w:hAnsi="Times New Roman" w:eastAsia="仿宋_GB2312" w:cs="Times New Roman"/>
          <w:b w:val="0"/>
          <w:bCs w:val="0"/>
          <w:kern w:val="2"/>
          <w:sz w:val="32"/>
          <w:szCs w:val="24"/>
          <w:highlight w:val="none"/>
          <w:lang w:val="en-US" w:eastAsia="zh-CN" w:bidi="ar-SA"/>
        </w:rPr>
        <w:t>顺应全球对环保、节能、安全和高性能材料需求的持续增长以及新材料高性能化、多功能化、绿色化的发展趋势，深入贯彻全省新材料产业科技创新行动计划，推动新材料产业向高精尖方向发展</w:t>
      </w:r>
      <w:r>
        <w:rPr>
          <w:rFonts w:hint="default" w:ascii="Times New Roman" w:hAnsi="Times New Roman" w:eastAsia="仿宋_GB2312" w:cs="Times New Roman"/>
          <w:b w:val="0"/>
          <w:bCs w:val="0"/>
          <w:color w:val="auto"/>
          <w:sz w:val="32"/>
          <w:szCs w:val="32"/>
          <w:highlight w:val="none"/>
          <w:lang w:val="en-US" w:eastAsia="zh-CN"/>
        </w:rPr>
        <w:t>，支持骨干企业</w:t>
      </w:r>
      <w:r>
        <w:rPr>
          <w:rFonts w:hint="default" w:ascii="Times New Roman" w:hAnsi="Times New Roman" w:eastAsia="仿宋_GB2312" w:cs="Times New Roman"/>
          <w:b w:val="0"/>
          <w:bCs w:val="0"/>
          <w:kern w:val="2"/>
          <w:sz w:val="32"/>
          <w:szCs w:val="24"/>
          <w:highlight w:val="none"/>
          <w:lang w:val="en-US" w:eastAsia="zh-CN" w:bidi="ar-SA"/>
        </w:rPr>
        <w:t>继续在无机非金属新材料和特色金属新材料等领域攻坚突破，构建特色鲜明、协同配套、绿色低碳的完整产业链体系。</w:t>
      </w:r>
    </w:p>
    <w:p w14:paraId="51215EC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无机非金属材料产业。</w:t>
      </w:r>
      <w:r>
        <w:rPr>
          <w:rFonts w:hint="default" w:ascii="Times New Roman" w:hAnsi="Times New Roman" w:eastAsia="仿宋_GB2312" w:cs="Times New Roman"/>
          <w:b w:val="0"/>
          <w:bCs w:val="0"/>
          <w:color w:val="auto"/>
          <w:kern w:val="2"/>
          <w:sz w:val="32"/>
          <w:szCs w:val="32"/>
          <w:highlight w:val="none"/>
          <w:lang w:val="en-US" w:eastAsia="zh-CN" w:bidi="ar-SA"/>
        </w:rPr>
        <w:t>实施“五</w:t>
      </w:r>
      <w:r>
        <w:rPr>
          <w:rFonts w:hint="default" w:ascii="Times New Roman" w:hAnsi="Times New Roman" w:cs="Times New Roman"/>
          <w:b w:val="0"/>
          <w:bCs w:val="0"/>
          <w:highlight w:val="none"/>
          <w:lang w:val="en-US" w:eastAsia="zh-CN"/>
        </w:rPr>
        <w:t>五工程”，聚焦玻璃、陶瓷、玄武岩、氧化铝、氧化锆五种纤维材料，通过新品研发、产品制造、物流运输、工程施工、线上销售五个细分通道，放大“五五工程”乘数效应，打造纤维材料之城、国家级节能保温材料产业集群</w:t>
      </w:r>
      <w:r>
        <w:rPr>
          <w:rFonts w:hint="default" w:ascii="Times New Roman" w:hAnsi="Times New Roman" w:eastAsia="仿宋_GB2312" w:cs="Times New Roman"/>
          <w:b w:val="0"/>
          <w:bCs w:val="0"/>
          <w:highlight w:val="none"/>
          <w:lang w:val="en-US" w:eastAsia="zh-CN"/>
        </w:rPr>
        <w:t>，逐步实现由现有</w:t>
      </w:r>
      <w:r>
        <w:rPr>
          <w:rFonts w:hint="default" w:ascii="Times New Roman" w:hAnsi="Times New Roman" w:eastAsia="仿宋_GB2312" w:cs="Times New Roman"/>
          <w:b w:val="0"/>
          <w:bCs w:val="0"/>
          <w:kern w:val="2"/>
          <w:sz w:val="32"/>
          <w:szCs w:val="24"/>
          <w:highlight w:val="none"/>
          <w:lang w:val="en-US" w:eastAsia="zh-CN" w:bidi="ar-SA"/>
        </w:rPr>
        <w:t>“规模领先”到“技术领先、质量领先”的跨越</w:t>
      </w:r>
      <w:r>
        <w:rPr>
          <w:rFonts w:hint="default" w:ascii="Times New Roman" w:hAnsi="Times New Roman" w:eastAsia="仿宋_GB2312" w:cs="Times New Roman"/>
          <w:b w:val="0"/>
          <w:bCs w:val="0"/>
          <w:highlight w:val="none"/>
          <w:lang w:val="en-US" w:eastAsia="zh-CN"/>
        </w:rPr>
        <w:t>。玻璃纤维方面，着力推动现有产品体系有序“瘦身”，聚焦新能源</w:t>
      </w:r>
      <w:r>
        <w:rPr>
          <w:rFonts w:hint="default" w:ascii="Times New Roman" w:hAnsi="Times New Roman" w:cs="Times New Roman"/>
          <w:b w:val="0"/>
          <w:bCs w:val="0"/>
          <w:highlight w:val="none"/>
          <w:lang w:val="en-US" w:eastAsia="zh-CN"/>
        </w:rPr>
        <w:t>汽车</w:t>
      </w:r>
      <w:r>
        <w:rPr>
          <w:rFonts w:hint="default" w:ascii="Times New Roman" w:hAnsi="Times New Roman" w:eastAsia="仿宋_GB2312" w:cs="Times New Roman"/>
          <w:b w:val="0"/>
          <w:bCs w:val="0"/>
          <w:highlight w:val="none"/>
          <w:lang w:val="en-US" w:eastAsia="zh-CN"/>
        </w:rPr>
        <w:t>、高端家具、消费电子等高附加值应用领域，加大电子级等高性能和特种玻璃纤维纱产品开发，积极打造覆盖上游原料到中游</w:t>
      </w:r>
      <w:r>
        <w:rPr>
          <w:rFonts w:hint="default" w:ascii="Times New Roman" w:hAnsi="Times New Roman" w:eastAsia="仿宋_GB2312" w:cs="Times New Roman"/>
          <w:b w:val="0"/>
          <w:bCs w:val="0"/>
          <w:kern w:val="2"/>
          <w:sz w:val="32"/>
          <w:szCs w:val="24"/>
          <w:highlight w:val="none"/>
          <w:lang w:val="en-US" w:eastAsia="zh-CN" w:bidi="ar-SA"/>
        </w:rPr>
        <w:t>玻纤生产到下游玻纤复合材料、电子基布、纤维壁布等产品的自主可控全产业链体系，支持骨干企业围绕高</w:t>
      </w:r>
      <w:r>
        <w:rPr>
          <w:rFonts w:hint="default" w:ascii="Times New Roman" w:hAnsi="Times New Roman" w:eastAsia="仿宋_GB2312" w:cs="Times New Roman"/>
          <w:b w:val="0"/>
          <w:bCs w:val="0"/>
          <w:spacing w:val="6"/>
          <w:kern w:val="2"/>
          <w:sz w:val="32"/>
          <w:szCs w:val="24"/>
          <w:highlight w:val="none"/>
          <w:lang w:val="en-US" w:eastAsia="zh-CN" w:bidi="ar-SA"/>
        </w:rPr>
        <w:t>性能纤维制备工艺、高端浸润剂配方等关键“卡脖子”技术开展联合攻关，推动生产企业加入《中国玻璃纤维及制品行业自律公约》，坚决防止“内卷式”恶性竞争。陶瓷、玄武岩、氧化铝、氧化锆纤维方面，支持现有骨干企业进一步巩固传统耐火节能材料产品市场地位，积极拓展陶瓷、玄武岩纤维在风电叶片、新能源储运、海洋工程、航空航天、特色农业以及装配式建筑、特种工程结构等领域的应用，</w:t>
      </w:r>
      <w:r>
        <w:rPr>
          <w:rFonts w:hint="default" w:ascii="Times New Roman" w:hAnsi="Times New Roman" w:eastAsia="仿宋_GB2312" w:cs="Times New Roman"/>
          <w:b w:val="0"/>
          <w:bCs w:val="0"/>
          <w:spacing w:val="6"/>
          <w:sz w:val="32"/>
          <w:highlight w:val="none"/>
          <w:lang w:val="en-US" w:eastAsia="zh-CN"/>
        </w:rPr>
        <w:t>围绕界面结合、</w:t>
      </w:r>
      <w:r>
        <w:rPr>
          <w:rFonts w:hint="default" w:ascii="Times New Roman" w:hAnsi="Times New Roman" w:eastAsia="仿宋_GB2312" w:cs="Times New Roman"/>
          <w:b w:val="0"/>
          <w:bCs w:val="0"/>
          <w:spacing w:val="6"/>
          <w:kern w:val="2"/>
          <w:sz w:val="32"/>
          <w:szCs w:val="24"/>
          <w:highlight w:val="none"/>
          <w:lang w:val="en-US" w:eastAsia="zh-CN" w:bidi="ar-SA"/>
        </w:rPr>
        <w:t>织造与成型工艺</w:t>
      </w:r>
      <w:r>
        <w:rPr>
          <w:rFonts w:hint="default" w:ascii="Times New Roman" w:hAnsi="Times New Roman" w:cs="Times New Roman"/>
          <w:b w:val="0"/>
          <w:bCs w:val="0"/>
          <w:spacing w:val="6"/>
          <w:kern w:val="2"/>
          <w:sz w:val="32"/>
          <w:szCs w:val="24"/>
          <w:highlight w:val="none"/>
          <w:lang w:val="en-US" w:eastAsia="zh-CN" w:bidi="ar-SA"/>
        </w:rPr>
        <w:t>、</w:t>
      </w:r>
      <w:r>
        <w:rPr>
          <w:rFonts w:hint="default" w:ascii="Times New Roman" w:hAnsi="Times New Roman" w:eastAsia="仿宋_GB2312" w:cs="Times New Roman"/>
          <w:b w:val="0"/>
          <w:bCs w:val="0"/>
          <w:spacing w:val="6"/>
          <w:kern w:val="2"/>
          <w:sz w:val="32"/>
          <w:szCs w:val="24"/>
          <w:highlight w:val="none"/>
          <w:lang w:val="en-US" w:eastAsia="zh-CN" w:bidi="ar-SA"/>
        </w:rPr>
        <w:t>长期性能演变规律</w:t>
      </w:r>
      <w:r>
        <w:rPr>
          <w:rFonts w:hint="default" w:ascii="Times New Roman" w:hAnsi="Times New Roman" w:cs="Times New Roman"/>
          <w:b w:val="0"/>
          <w:bCs w:val="0"/>
          <w:spacing w:val="6"/>
          <w:kern w:val="2"/>
          <w:sz w:val="32"/>
          <w:szCs w:val="24"/>
          <w:highlight w:val="none"/>
          <w:lang w:val="en-US" w:eastAsia="zh-CN" w:bidi="ar-SA"/>
        </w:rPr>
        <w:t>等业内共性技术瓶颈</w:t>
      </w:r>
      <w:r>
        <w:rPr>
          <w:rFonts w:hint="default" w:ascii="Times New Roman" w:hAnsi="Times New Roman" w:cs="Times New Roman"/>
          <w:b w:val="0"/>
          <w:bCs w:val="0"/>
          <w:spacing w:val="6"/>
          <w:sz w:val="32"/>
          <w:highlight w:val="none"/>
          <w:lang w:val="en-US" w:eastAsia="zh-CN"/>
        </w:rPr>
        <w:t>开展深度研发</w:t>
      </w:r>
      <w:r>
        <w:rPr>
          <w:rFonts w:hint="default" w:ascii="Times New Roman" w:hAnsi="Times New Roman" w:cs="Times New Roman"/>
          <w:b w:val="0"/>
          <w:bCs w:val="0"/>
          <w:highlight w:val="none"/>
          <w:lang w:val="en-US" w:eastAsia="zh-CN"/>
        </w:rPr>
        <w:t>。</w:t>
      </w:r>
    </w:p>
    <w:p w14:paraId="6B9D94E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kern w:val="2"/>
          <w:sz w:val="32"/>
          <w:szCs w:val="24"/>
          <w:highlight w:val="none"/>
          <w:lang w:val="en-US" w:eastAsia="zh-CN" w:bidi="ar-SA"/>
        </w:rPr>
      </w:pPr>
      <w:r>
        <w:rPr>
          <w:rFonts w:hint="default" w:ascii="Times New Roman" w:hAnsi="Times New Roman" w:cs="Times New Roman"/>
          <w:b w:val="0"/>
          <w:bCs w:val="0"/>
          <w:highlight w:val="none"/>
          <w:lang w:val="en-US" w:eastAsia="zh-CN"/>
        </w:rPr>
        <w:t>特色金属新材料产业。大</w:t>
      </w:r>
      <w:r>
        <w:rPr>
          <w:rFonts w:hint="default" w:ascii="Times New Roman" w:hAnsi="Times New Roman" w:eastAsia="仿宋_GB2312" w:cs="Times New Roman"/>
          <w:b w:val="0"/>
          <w:bCs w:val="0"/>
          <w:color w:val="auto"/>
          <w:kern w:val="2"/>
          <w:sz w:val="32"/>
          <w:szCs w:val="32"/>
          <w:highlight w:val="none"/>
          <w:lang w:val="en-US" w:eastAsia="zh-CN" w:bidi="ar-SA"/>
        </w:rPr>
        <w:t>力发展高</w:t>
      </w:r>
      <w:r>
        <w:rPr>
          <w:rFonts w:hint="default" w:ascii="Times New Roman" w:hAnsi="Times New Roman" w:cs="Times New Roman"/>
          <w:b w:val="0"/>
          <w:bCs w:val="0"/>
          <w:kern w:val="2"/>
          <w:sz w:val="32"/>
          <w:szCs w:val="24"/>
          <w:highlight w:val="none"/>
          <w:lang w:val="en-US" w:eastAsia="zh-CN" w:bidi="ar-SA"/>
        </w:rPr>
        <w:t>品质特种金属合金材料产品，重点开发应用于高性能电机、储氢结构件、高性能海洋装备、粉末冶金领域的“特、精、高”特种金属合金关键品种。</w:t>
      </w:r>
      <w:r>
        <w:rPr>
          <w:rFonts w:hint="default" w:ascii="Times New Roman" w:hAnsi="Times New Roman" w:eastAsia="仿宋_GB2312" w:cs="Times New Roman"/>
          <w:b w:val="0"/>
          <w:bCs w:val="0"/>
          <w:color w:val="auto"/>
          <w:sz w:val="32"/>
          <w:szCs w:val="32"/>
          <w:highlight w:val="none"/>
          <w:lang w:val="en-US" w:eastAsia="zh-CN"/>
        </w:rPr>
        <w:t>支持</w:t>
      </w:r>
      <w:r>
        <w:rPr>
          <w:rFonts w:hint="eastAsia" w:ascii="Times New Roman" w:hAnsi="Times New Roman" w:cs="Times New Roman"/>
          <w:b w:val="0"/>
          <w:bCs w:val="0"/>
          <w:color w:val="auto"/>
          <w:sz w:val="32"/>
          <w:szCs w:val="32"/>
          <w:highlight w:val="none"/>
          <w:lang w:val="en-US" w:eastAsia="zh-CN"/>
        </w:rPr>
        <w:t>骨干企业</w:t>
      </w:r>
      <w:r>
        <w:rPr>
          <w:rFonts w:hint="default" w:ascii="Times New Roman" w:hAnsi="Times New Roman" w:eastAsia="仿宋_GB2312" w:cs="Times New Roman"/>
          <w:b w:val="0"/>
          <w:bCs w:val="0"/>
          <w:color w:val="auto"/>
          <w:sz w:val="32"/>
          <w:szCs w:val="32"/>
          <w:highlight w:val="none"/>
          <w:lang w:val="en-US" w:eastAsia="zh-CN"/>
        </w:rPr>
        <w:t>进</w:t>
      </w:r>
      <w:r>
        <w:rPr>
          <w:rFonts w:hint="default" w:ascii="Times New Roman" w:hAnsi="Times New Roman" w:cs="Times New Roman"/>
          <w:b w:val="0"/>
          <w:bCs w:val="0"/>
          <w:kern w:val="2"/>
          <w:sz w:val="32"/>
          <w:szCs w:val="24"/>
          <w:highlight w:val="none"/>
          <w:lang w:val="en-US" w:eastAsia="zh-CN" w:bidi="ar-SA"/>
        </w:rPr>
        <w:t>一步延伸</w:t>
      </w:r>
      <w:r>
        <w:rPr>
          <w:rFonts w:hint="default" w:ascii="Times New Roman" w:hAnsi="Times New Roman" w:eastAsia="仿宋_GB2312" w:cs="Times New Roman"/>
          <w:b w:val="0"/>
          <w:bCs w:val="0"/>
          <w:kern w:val="2"/>
          <w:sz w:val="32"/>
          <w:szCs w:val="24"/>
          <w:highlight w:val="none"/>
          <w:lang w:val="en-US" w:eastAsia="zh-CN" w:bidi="ar-SA"/>
        </w:rPr>
        <w:t>特种合金绝缘金属</w:t>
      </w:r>
      <w:r>
        <w:rPr>
          <w:rFonts w:hint="default" w:ascii="Times New Roman" w:hAnsi="Times New Roman" w:cs="Times New Roman"/>
          <w:b w:val="0"/>
          <w:bCs w:val="0"/>
          <w:kern w:val="2"/>
          <w:sz w:val="32"/>
          <w:szCs w:val="24"/>
          <w:highlight w:val="none"/>
          <w:lang w:val="en-US" w:eastAsia="zh-CN" w:bidi="ar-SA"/>
        </w:rPr>
        <w:t>、高温母合金材料产业链，提升</w:t>
      </w:r>
      <w:r>
        <w:rPr>
          <w:rFonts w:hint="default" w:ascii="Times New Roman" w:hAnsi="Times New Roman" w:eastAsia="仿宋_GB2312" w:cs="Times New Roman"/>
          <w:b w:val="0"/>
          <w:bCs w:val="0"/>
          <w:kern w:val="2"/>
          <w:sz w:val="32"/>
          <w:szCs w:val="24"/>
          <w:highlight w:val="none"/>
          <w:lang w:val="en-US" w:eastAsia="zh-CN" w:bidi="ar-SA"/>
        </w:rPr>
        <w:t>高温合金材料、金属绝缘合金材料、金属防腐材料、高温耐磨铝合金生产规模</w:t>
      </w:r>
      <w:r>
        <w:rPr>
          <w:rFonts w:hint="default" w:ascii="Times New Roman" w:hAnsi="Times New Roman" w:cs="Times New Roman"/>
          <w:b w:val="0"/>
          <w:bCs w:val="0"/>
          <w:kern w:val="2"/>
          <w:sz w:val="32"/>
          <w:szCs w:val="24"/>
          <w:highlight w:val="none"/>
          <w:lang w:val="en-US" w:eastAsia="zh-CN" w:bidi="ar-SA"/>
        </w:rPr>
        <w:t>，提升</w:t>
      </w:r>
      <w:r>
        <w:rPr>
          <w:rFonts w:hint="default" w:ascii="Times New Roman" w:hAnsi="Times New Roman" w:eastAsia="仿宋_GB2312" w:cs="Times New Roman"/>
          <w:b w:val="0"/>
          <w:bCs w:val="0"/>
          <w:kern w:val="2"/>
          <w:sz w:val="32"/>
          <w:szCs w:val="24"/>
          <w:highlight w:val="none"/>
          <w:lang w:val="en-US" w:eastAsia="zh-CN" w:bidi="ar-SA"/>
        </w:rPr>
        <w:t>真空熔炼工艺及热处理技术</w:t>
      </w:r>
      <w:r>
        <w:rPr>
          <w:rFonts w:hint="default" w:ascii="Times New Roman" w:hAnsi="Times New Roman" w:cs="Times New Roman"/>
          <w:b w:val="0"/>
          <w:bCs w:val="0"/>
          <w:kern w:val="2"/>
          <w:sz w:val="32"/>
          <w:szCs w:val="24"/>
          <w:highlight w:val="none"/>
          <w:lang w:val="en-US" w:eastAsia="zh-CN" w:bidi="ar-SA"/>
        </w:rPr>
        <w:t>水平，</w:t>
      </w:r>
      <w:r>
        <w:rPr>
          <w:rFonts w:hint="default" w:ascii="Times New Roman" w:hAnsi="Times New Roman" w:eastAsia="仿宋_GB2312" w:cs="Times New Roman"/>
          <w:b w:val="0"/>
          <w:bCs w:val="0"/>
          <w:kern w:val="2"/>
          <w:sz w:val="32"/>
          <w:szCs w:val="24"/>
          <w:highlight w:val="none"/>
          <w:lang w:val="en-US" w:eastAsia="zh-CN" w:bidi="ar-SA"/>
        </w:rPr>
        <w:t>构建“特种冶炼—压延加工—复合材料制造”的完整产业生态</w:t>
      </w:r>
      <w:r>
        <w:rPr>
          <w:rFonts w:hint="default" w:ascii="Times New Roman" w:hAnsi="Times New Roman" w:cs="Times New Roman"/>
          <w:b w:val="0"/>
          <w:bCs w:val="0"/>
          <w:kern w:val="2"/>
          <w:sz w:val="32"/>
          <w:szCs w:val="24"/>
          <w:highlight w:val="none"/>
          <w:lang w:val="en-US" w:eastAsia="zh-CN" w:bidi="ar-SA"/>
        </w:rPr>
        <w:t>。联合国内知名高校和科研院所组建高温合金新型研发机构等科研平台，围绕先进铝合金材料、铜基新材料、贵金属功能材料以及液态金属等新型材料开展联合攻关，推动国内突破性技术在沂源县落地转化。</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1A5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vAlign w:val="center"/>
          </w:tcPr>
          <w:p w14:paraId="798B4769">
            <w:pPr>
              <w:pStyle w:val="26"/>
              <w:bidi w:val="0"/>
              <w:rPr>
                <w:rFonts w:hint="default" w:ascii="Times New Roman" w:hAnsi="Times New Roman" w:cs="Times New Roman"/>
                <w:highlight w:val="none"/>
                <w:lang w:val="en-US"/>
              </w:rPr>
            </w:pPr>
            <w:r>
              <w:rPr>
                <w:rFonts w:hint="default" w:ascii="Times New Roman" w:hAnsi="Times New Roman" w:cs="Times New Roman"/>
                <w:highlight w:val="none"/>
              </w:rPr>
              <w:t>专栏2：</w:t>
            </w:r>
            <w:r>
              <w:rPr>
                <w:rFonts w:hint="default" w:ascii="Times New Roman" w:hAnsi="Times New Roman" w:cs="Times New Roman"/>
                <w:highlight w:val="none"/>
                <w:lang w:val="en-US" w:eastAsia="zh-CN"/>
              </w:rPr>
              <w:t>新材料产业重点项目</w:t>
            </w:r>
          </w:p>
        </w:tc>
      </w:tr>
      <w:tr w14:paraId="47A2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vAlign w:val="center"/>
          </w:tcPr>
          <w:p w14:paraId="18D4D60B">
            <w:pPr>
              <w:pStyle w:val="27"/>
              <w:keepNext w:val="0"/>
              <w:keepLines w:val="0"/>
              <w:pageBreakBefore w:val="0"/>
              <w:widowControl w:val="0"/>
              <w:kinsoku/>
              <w:wordWrap/>
              <w:overflowPunct/>
              <w:topLinePunct w:val="0"/>
              <w:autoSpaceDE/>
              <w:autoSpaceDN/>
              <w:bidi w:val="0"/>
              <w:adjustRightInd/>
              <w:snapToGrid/>
              <w:spacing w:line="44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淄博卓意玻纤材料有限公司风电纱大梁板生产线项目。建设6条风电纱大梁板拉挤生产线，实现风电纱纱线产品向下端产业链延伸。</w:t>
            </w:r>
          </w:p>
          <w:p w14:paraId="7AC89B17">
            <w:pPr>
              <w:pStyle w:val="27"/>
              <w:keepNext w:val="0"/>
              <w:keepLines w:val="0"/>
              <w:pageBreakBefore w:val="0"/>
              <w:widowControl w:val="0"/>
              <w:kinsoku/>
              <w:wordWrap/>
              <w:overflowPunct/>
              <w:topLinePunct w:val="0"/>
              <w:autoSpaceDE/>
              <w:autoSpaceDN/>
              <w:bidi w:val="0"/>
              <w:adjustRightInd/>
              <w:snapToGrid/>
              <w:spacing w:line="44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山东鲁阳节能材料股份有限公司年产1200吨氧化铝纤维及其制品生产线建设项目。新建氧化铝纤维及其制品生产线3条。</w:t>
            </w:r>
          </w:p>
          <w:p w14:paraId="2E91AAE9">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山东鲁科新材料有限公司超级晶体纤维毯产业化建设项目。新增12条氧化铝纤维针刺毯生产线，预计实现年产超级晶体纤维毯5000吨。</w:t>
            </w:r>
          </w:p>
          <w:p w14:paraId="07CED721">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淄博华源新材料有限公司农业纤维及制品生产项目。预计实现年产农业纤维及制品12万吨。</w:t>
            </w:r>
          </w:p>
          <w:p w14:paraId="06505F48">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山东博克塞斯新材料科技有限公司玻纤复合材料产业化项目。生产光伏边框、支架及建筑门窗、相</w:t>
            </w:r>
            <w:r>
              <w:rPr>
                <w:rFonts w:hint="default" w:ascii="Times New Roman" w:hAnsi="Times New Roman" w:eastAsia="仿宋_GB2312" w:cs="Times New Roman"/>
                <w:b w:val="0"/>
                <w:bCs w:val="0"/>
                <w:spacing w:val="-6"/>
                <w:kern w:val="0"/>
                <w:sz w:val="24"/>
                <w:szCs w:val="24"/>
                <w:highlight w:val="none"/>
                <w:lang w:val="en-US" w:eastAsia="zh-CN"/>
              </w:rPr>
              <w:t>变防火隔热结构复材、动力电池上盖、轻量化复合材料汽车挂斗等系列产品。</w:t>
            </w:r>
          </w:p>
          <w:p w14:paraId="277C0669">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山东博克塞斯新材料科技有限公司玻璃纤维/树脂复合材料上箱体项目。预计实现年产玻璃纤维/树脂复合材料上箱体52.8万件。</w:t>
            </w:r>
          </w:p>
          <w:p w14:paraId="4D666CEF">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沂源普诺新材料有限公司新型环保材料制品项目。预计实现年产新型节能材料制品2万吨。</w:t>
            </w:r>
          </w:p>
          <w:p w14:paraId="192D195E">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中新泰合（沂源）电子材料有限公司环氧颗粒包封料项目。预计实现年产环氧颗粒包封料2000吨。</w:t>
            </w:r>
          </w:p>
          <w:p w14:paraId="3C1E554E">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恒泰军航高分子材料（山东）公司高性能陶瓷项目。生产高速飞行器用高性能前驱体。</w:t>
            </w:r>
          </w:p>
          <w:p w14:paraId="02430EA6">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淄博融迈新材料科技有限公司锂电正极材料生产线项目。预计实现年产锂电正极材料5000吨。</w:t>
            </w:r>
          </w:p>
          <w:p w14:paraId="487BDB6C">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山东省九成新材料有限公司新型节能材料制品项目。预计实现年产新型节能材料制品3万吨。</w:t>
            </w:r>
          </w:p>
          <w:p w14:paraId="45EB666A">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cs="Times New Roman"/>
                <w:b w:val="0"/>
                <w:bCs w:val="0"/>
                <w:kern w:val="0"/>
                <w:sz w:val="22"/>
                <w:szCs w:val="22"/>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淄博德源金属材料有限公司镁铝锌合金自动化升级改造项目。预计实现年产镁铝合金6000吨。</w:t>
            </w:r>
          </w:p>
        </w:tc>
      </w:tr>
    </w:tbl>
    <w:p w14:paraId="5FDA37BA">
      <w:pPr>
        <w:pStyle w:val="4"/>
        <w:keepNext/>
        <w:keepLines/>
        <w:pageBreakBefore w:val="0"/>
        <w:widowControl w:val="0"/>
        <w:kinsoku/>
        <w:wordWrap/>
        <w:overflowPunct/>
        <w:topLinePunct w:val="0"/>
        <w:autoSpaceDE/>
        <w:autoSpaceDN/>
        <w:bidi w:val="0"/>
        <w:adjustRightInd/>
        <w:snapToGrid/>
        <w:spacing w:before="157" w:beforeLines="50" w:line="560" w:lineRule="exact"/>
        <w:textAlignment w:val="auto"/>
        <w:rPr>
          <w:rFonts w:hint="default" w:ascii="Times New Roman" w:hAnsi="Times New Roman" w:cs="Times New Roman"/>
          <w:highlight w:val="none"/>
          <w:lang w:val="en-US" w:eastAsia="zh-CN"/>
        </w:rPr>
      </w:pPr>
      <w:bookmarkStart w:id="26" w:name="_Toc18530_WPSOffice_Level3"/>
      <w:r>
        <w:rPr>
          <w:rFonts w:hint="default" w:ascii="Times New Roman" w:hAnsi="Times New Roman" w:cs="Times New Roman"/>
          <w:highlight w:val="none"/>
          <w:lang w:val="en-US" w:eastAsia="zh-CN"/>
        </w:rPr>
        <w:t>3.精细化工产业集群</w:t>
      </w:r>
      <w:bookmarkEnd w:id="26"/>
    </w:p>
    <w:p w14:paraId="38A19201">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cs="Times New Roman"/>
          <w:b w:val="0"/>
          <w:bCs w:val="0"/>
          <w:szCs w:val="32"/>
          <w:highlight w:val="none"/>
          <w:lang w:val="en-US" w:eastAsia="zh-CN"/>
        </w:rPr>
        <w:t>依托化工产业园，跟踪</w:t>
      </w:r>
      <w:r>
        <w:rPr>
          <w:rFonts w:hint="default" w:ascii="Times New Roman" w:hAnsi="Times New Roman" w:eastAsia="仿宋_GB2312" w:cs="Times New Roman"/>
          <w:b w:val="0"/>
          <w:bCs w:val="0"/>
          <w:kern w:val="2"/>
          <w:sz w:val="32"/>
          <w:szCs w:val="32"/>
          <w:highlight w:val="none"/>
          <w:lang w:val="en-US" w:eastAsia="zh-CN" w:bidi="ar-SA"/>
        </w:rPr>
        <w:t>精细化学品和化工新材料</w:t>
      </w:r>
      <w:r>
        <w:rPr>
          <w:rFonts w:hint="default" w:ascii="Times New Roman" w:hAnsi="Times New Roman" w:cs="Times New Roman"/>
          <w:b w:val="0"/>
          <w:bCs w:val="0"/>
          <w:kern w:val="2"/>
          <w:sz w:val="32"/>
          <w:szCs w:val="32"/>
          <w:highlight w:val="none"/>
          <w:lang w:val="en-US" w:eastAsia="zh-CN" w:bidi="ar-SA"/>
        </w:rPr>
        <w:t>产业发展和技术演进</w:t>
      </w:r>
      <w:r>
        <w:rPr>
          <w:rFonts w:hint="default" w:ascii="Times New Roman" w:hAnsi="Times New Roman" w:eastAsia="仿宋_GB2312" w:cs="Times New Roman"/>
          <w:b w:val="0"/>
          <w:bCs w:val="0"/>
          <w:kern w:val="2"/>
          <w:sz w:val="32"/>
          <w:szCs w:val="32"/>
          <w:highlight w:val="none"/>
          <w:lang w:val="en-US" w:eastAsia="zh-CN" w:bidi="ar-SA"/>
        </w:rPr>
        <w:t>方向</w:t>
      </w:r>
      <w:r>
        <w:rPr>
          <w:rFonts w:hint="default" w:ascii="Times New Roman" w:hAnsi="Times New Roman" w:cs="Times New Roman"/>
          <w:b w:val="0"/>
          <w:bCs w:val="0"/>
          <w:kern w:val="2"/>
          <w:sz w:val="32"/>
          <w:szCs w:val="32"/>
          <w:highlight w:val="none"/>
          <w:lang w:val="en-US" w:eastAsia="zh-CN" w:bidi="ar-SA"/>
        </w:rPr>
        <w:t>，围绕助剂、可降解材料、环氧树脂材料，</w:t>
      </w:r>
      <w:r>
        <w:rPr>
          <w:rFonts w:hint="default" w:ascii="Times New Roman" w:hAnsi="Times New Roman" w:eastAsia="仿宋_GB2312" w:cs="Times New Roman"/>
          <w:b w:val="0"/>
          <w:bCs w:val="0"/>
          <w:kern w:val="2"/>
          <w:sz w:val="32"/>
          <w:szCs w:val="32"/>
          <w:highlight w:val="none"/>
          <w:lang w:val="en-US" w:eastAsia="zh-CN" w:bidi="ar-SA"/>
        </w:rPr>
        <w:t>打造现代精细化工产业体系</w:t>
      </w:r>
      <w:r>
        <w:rPr>
          <w:rFonts w:hint="default" w:ascii="Times New Roman" w:hAnsi="Times New Roman"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推动企业加快</w:t>
      </w:r>
      <w:r>
        <w:rPr>
          <w:rFonts w:hint="default" w:ascii="Times New Roman" w:hAnsi="Times New Roman" w:eastAsia="仿宋_GB2312" w:cs="Times New Roman"/>
          <w:b w:val="0"/>
          <w:bCs w:val="0"/>
          <w:kern w:val="2"/>
          <w:sz w:val="32"/>
          <w:szCs w:val="32"/>
          <w:highlight w:val="none"/>
          <w:lang w:val="en-US" w:eastAsia="zh-CN" w:bidi="ar-SA"/>
        </w:rPr>
        <w:t>向高端、精细、特色、终端方向“建延补强”。</w:t>
      </w:r>
    </w:p>
    <w:p w14:paraId="2247D24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kern w:val="2"/>
          <w:sz w:val="32"/>
          <w:szCs w:val="32"/>
          <w:highlight w:val="none"/>
          <w:lang w:val="en-US" w:eastAsia="zh-CN" w:bidi="ar-SA"/>
        </w:rPr>
      </w:pPr>
      <w:r>
        <w:rPr>
          <w:rFonts w:hint="default" w:ascii="Times New Roman" w:hAnsi="Times New Roman" w:cs="Times New Roman"/>
          <w:b w:val="0"/>
          <w:bCs w:val="0"/>
          <w:highlight w:val="none"/>
          <w:lang w:val="en-US" w:eastAsia="zh-CN"/>
        </w:rPr>
        <w:t>助剂产业。</w:t>
      </w:r>
      <w:r>
        <w:rPr>
          <w:rFonts w:hint="default" w:ascii="Times New Roman" w:hAnsi="Times New Roman" w:eastAsia="仿宋_GB2312" w:cs="Times New Roman"/>
          <w:b w:val="0"/>
          <w:bCs w:val="0"/>
          <w:color w:val="auto"/>
          <w:kern w:val="2"/>
          <w:sz w:val="32"/>
          <w:szCs w:val="32"/>
          <w:highlight w:val="none"/>
          <w:lang w:val="en-US" w:eastAsia="zh-CN" w:bidi="ar-SA"/>
        </w:rPr>
        <w:t>进一</w:t>
      </w:r>
      <w:r>
        <w:rPr>
          <w:rFonts w:hint="default" w:ascii="Times New Roman" w:hAnsi="Times New Roman" w:cs="Times New Roman"/>
          <w:b w:val="0"/>
          <w:bCs w:val="0"/>
          <w:kern w:val="2"/>
          <w:sz w:val="32"/>
          <w:szCs w:val="32"/>
          <w:highlight w:val="none"/>
          <w:lang w:val="en-US" w:eastAsia="zh-CN" w:bidi="ar-SA"/>
        </w:rPr>
        <w:t>步巩固</w:t>
      </w:r>
      <w:r>
        <w:rPr>
          <w:rFonts w:hint="eastAsia" w:ascii="Times New Roman" w:hAnsi="Times New Roman" w:cs="Times New Roman"/>
          <w:b w:val="0"/>
          <w:bCs w:val="0"/>
          <w:kern w:val="2"/>
          <w:sz w:val="32"/>
          <w:szCs w:val="32"/>
          <w:highlight w:val="none"/>
          <w:lang w:val="en-US" w:eastAsia="zh-CN" w:bidi="ar-SA"/>
        </w:rPr>
        <w:t>骨干企业</w:t>
      </w:r>
      <w:r>
        <w:rPr>
          <w:rFonts w:hint="default" w:ascii="Times New Roman" w:hAnsi="Times New Roman" w:cs="Times New Roman"/>
          <w:b w:val="0"/>
          <w:bCs w:val="0"/>
          <w:kern w:val="2"/>
          <w:sz w:val="32"/>
          <w:szCs w:val="32"/>
          <w:highlight w:val="none"/>
          <w:lang w:val="en-US" w:eastAsia="zh-CN" w:bidi="ar-SA"/>
        </w:rPr>
        <w:t>在PVC助剂领域的领军地位，</w:t>
      </w:r>
      <w:r>
        <w:rPr>
          <w:rFonts w:hint="default" w:ascii="Times New Roman" w:hAnsi="Times New Roman" w:eastAsia="仿宋_GB2312" w:cs="Times New Roman"/>
          <w:b w:val="0"/>
          <w:bCs w:val="0"/>
          <w:kern w:val="2"/>
          <w:sz w:val="32"/>
          <w:szCs w:val="32"/>
          <w:highlight w:val="none"/>
          <w:lang w:val="en-US" w:eastAsia="zh-CN" w:bidi="ar-SA"/>
        </w:rPr>
        <w:t>推动ACR</w:t>
      </w:r>
      <w:r>
        <w:rPr>
          <w:rFonts w:hint="default" w:ascii="Times New Roman" w:hAnsi="Times New Roman" w:cs="Times New Roman"/>
          <w:b w:val="0"/>
          <w:bCs w:val="0"/>
          <w:kern w:val="2"/>
          <w:sz w:val="32"/>
          <w:szCs w:val="32"/>
          <w:highlight w:val="none"/>
          <w:lang w:val="en-US" w:eastAsia="zh-CN" w:bidi="ar-SA"/>
        </w:rPr>
        <w:t>、MBS</w:t>
      </w:r>
      <w:r>
        <w:rPr>
          <w:rFonts w:hint="default" w:ascii="Times New Roman" w:hAnsi="Times New Roman" w:eastAsia="仿宋_GB2312" w:cs="Times New Roman"/>
          <w:b w:val="0"/>
          <w:bCs w:val="0"/>
          <w:kern w:val="2"/>
          <w:sz w:val="32"/>
          <w:szCs w:val="32"/>
          <w:highlight w:val="none"/>
          <w:lang w:val="en-US" w:eastAsia="zh-CN" w:bidi="ar-SA"/>
        </w:rPr>
        <w:t>等功能性助剂的优化和多功能研发，</w:t>
      </w:r>
      <w:r>
        <w:rPr>
          <w:rFonts w:hint="default" w:ascii="Times New Roman" w:hAnsi="Times New Roman" w:cs="Times New Roman"/>
          <w:b w:val="0"/>
          <w:bCs w:val="0"/>
          <w:kern w:val="2"/>
          <w:sz w:val="32"/>
          <w:szCs w:val="32"/>
          <w:highlight w:val="none"/>
          <w:lang w:val="en-US" w:eastAsia="zh-CN" w:bidi="ar-SA"/>
        </w:rPr>
        <w:t>提升抗冲改性剂全球市场占有率，力争在</w:t>
      </w:r>
      <w:r>
        <w:rPr>
          <w:rFonts w:hint="default" w:ascii="Times New Roman" w:hAnsi="Times New Roman" w:eastAsia="仿宋_GB2312" w:cs="Times New Roman"/>
          <w:b w:val="0"/>
          <w:bCs w:val="0"/>
          <w:kern w:val="2"/>
          <w:sz w:val="32"/>
          <w:szCs w:val="32"/>
          <w:highlight w:val="none"/>
          <w:lang w:val="en-US" w:eastAsia="zh-CN" w:bidi="ar-SA"/>
        </w:rPr>
        <w:t>性能、品种、稳定性</w:t>
      </w:r>
      <w:r>
        <w:rPr>
          <w:rFonts w:hint="default" w:ascii="Times New Roman" w:hAnsi="Times New Roman" w:cs="Times New Roman"/>
          <w:b w:val="0"/>
          <w:bCs w:val="0"/>
          <w:kern w:val="2"/>
          <w:sz w:val="32"/>
          <w:szCs w:val="32"/>
          <w:highlight w:val="none"/>
          <w:lang w:val="en-US" w:eastAsia="zh-CN" w:bidi="ar-SA"/>
        </w:rPr>
        <w:t>方面全面超越国外同类产品。在全球绿色转型背景下，引导相关企业</w:t>
      </w:r>
      <w:r>
        <w:rPr>
          <w:rFonts w:hint="default" w:ascii="Times New Roman" w:hAnsi="Times New Roman" w:eastAsia="仿宋_GB2312" w:cs="Times New Roman"/>
          <w:b w:val="0"/>
          <w:bCs w:val="0"/>
          <w:kern w:val="2"/>
          <w:sz w:val="32"/>
          <w:szCs w:val="32"/>
          <w:highlight w:val="none"/>
          <w:lang w:val="en-US" w:eastAsia="zh-CN" w:bidi="ar-SA"/>
        </w:rPr>
        <w:t>依托山东省PVC工程技术研究中心</w:t>
      </w:r>
      <w:r>
        <w:rPr>
          <w:rFonts w:hint="default" w:ascii="Times New Roman" w:hAnsi="Times New Roman" w:cs="Times New Roman"/>
          <w:b w:val="0"/>
          <w:bCs w:val="0"/>
          <w:kern w:val="2"/>
          <w:sz w:val="32"/>
          <w:szCs w:val="32"/>
          <w:highlight w:val="none"/>
          <w:lang w:val="en-US" w:eastAsia="zh-CN" w:bidi="ar-SA"/>
        </w:rPr>
        <w:t>等科研机构</w:t>
      </w:r>
      <w:r>
        <w:rPr>
          <w:rFonts w:hint="default" w:ascii="Times New Roman" w:hAnsi="Times New Roman" w:eastAsia="仿宋_GB2312" w:cs="Times New Roman"/>
          <w:b w:val="0"/>
          <w:bCs w:val="0"/>
          <w:kern w:val="2"/>
          <w:sz w:val="32"/>
          <w:szCs w:val="32"/>
          <w:highlight w:val="none"/>
          <w:lang w:val="en-US" w:eastAsia="zh-CN" w:bidi="ar-SA"/>
        </w:rPr>
        <w:t>，</w:t>
      </w:r>
      <w:r>
        <w:rPr>
          <w:rFonts w:hint="default" w:ascii="Times New Roman" w:hAnsi="Times New Roman" w:cs="Times New Roman"/>
          <w:b w:val="0"/>
          <w:bCs w:val="0"/>
          <w:kern w:val="2"/>
          <w:sz w:val="32"/>
          <w:szCs w:val="32"/>
          <w:highlight w:val="none"/>
          <w:lang w:val="en-US" w:eastAsia="zh-CN" w:bidi="ar-SA"/>
        </w:rPr>
        <w:t>开展生物基助剂、耐高温助剂等新型助剂的研发攻关，运用人工智能技术开展助剂配方优化，提高产品研发效率。支持助剂生产企业与专用设备制造企业实施供需结对攻关，开发微通道反应器、特种分离设备、专用机泵、阀门、控制系统等重要装备及零部件</w:t>
      </w:r>
      <w:r>
        <w:rPr>
          <w:rFonts w:hint="eastAsia" w:ascii="Times New Roman" w:hAnsi="Times New Roman" w:cs="Times New Roman"/>
          <w:b w:val="0"/>
          <w:bCs w:val="0"/>
          <w:kern w:val="2"/>
          <w:sz w:val="32"/>
          <w:szCs w:val="32"/>
          <w:highlight w:val="none"/>
          <w:lang w:val="en-US" w:eastAsia="zh-CN" w:bidi="ar-SA"/>
        </w:rPr>
        <w:t>；</w:t>
      </w:r>
      <w:r>
        <w:rPr>
          <w:rFonts w:hint="default" w:ascii="Times New Roman" w:hAnsi="Times New Roman" w:cs="Times New Roman"/>
          <w:b w:val="0"/>
          <w:bCs w:val="0"/>
          <w:kern w:val="2"/>
          <w:sz w:val="32"/>
          <w:szCs w:val="32"/>
          <w:highlight w:val="none"/>
          <w:lang w:val="en-US" w:eastAsia="zh-CN" w:bidi="ar-SA"/>
        </w:rPr>
        <w:t>自主开发工艺参数在线监测、物性结构在线快速识别判定、全流程智能控制系统、故障诊断与预测性维护等过程控制软件，提升生产过程智慧化水平。</w:t>
      </w:r>
    </w:p>
    <w:p w14:paraId="18DC81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kern w:val="2"/>
          <w:sz w:val="32"/>
          <w:szCs w:val="32"/>
          <w:highlight w:val="none"/>
          <w:lang w:val="en-US" w:eastAsia="zh-CN" w:bidi="ar-SA"/>
        </w:rPr>
      </w:pPr>
      <w:r>
        <w:rPr>
          <w:rFonts w:hint="default" w:ascii="Times New Roman" w:hAnsi="Times New Roman" w:cs="Times New Roman"/>
          <w:b w:val="0"/>
          <w:bCs w:val="0"/>
          <w:spacing w:val="6"/>
          <w:sz w:val="32"/>
          <w:highlight w:val="none"/>
          <w:lang w:val="en-US" w:eastAsia="zh-CN"/>
        </w:rPr>
        <w:t>可降解材料产业。牢</w:t>
      </w:r>
      <w:r>
        <w:rPr>
          <w:rFonts w:hint="default" w:ascii="Times New Roman" w:hAnsi="Times New Roman" w:eastAsia="仿宋_GB2312" w:cs="Times New Roman"/>
          <w:b w:val="0"/>
          <w:bCs w:val="0"/>
          <w:color w:val="auto"/>
          <w:spacing w:val="6"/>
          <w:kern w:val="2"/>
          <w:sz w:val="32"/>
          <w:szCs w:val="32"/>
          <w:highlight w:val="none"/>
          <w:lang w:val="en-US" w:eastAsia="zh-CN" w:bidi="ar-SA"/>
        </w:rPr>
        <w:t>牢把握宏</w:t>
      </w:r>
      <w:r>
        <w:rPr>
          <w:rFonts w:hint="default" w:ascii="Times New Roman" w:hAnsi="Times New Roman" w:cs="Times New Roman"/>
          <w:b w:val="0"/>
          <w:bCs w:val="0"/>
          <w:spacing w:val="6"/>
          <w:kern w:val="2"/>
          <w:sz w:val="32"/>
          <w:szCs w:val="32"/>
          <w:highlight w:val="none"/>
          <w:lang w:val="en-US" w:eastAsia="zh-CN" w:bidi="ar-SA"/>
        </w:rPr>
        <w:t>观</w:t>
      </w:r>
      <w:r>
        <w:rPr>
          <w:rFonts w:hint="default" w:ascii="Times New Roman" w:hAnsi="Times New Roman" w:eastAsia="仿宋_GB2312" w:cs="Times New Roman"/>
          <w:b w:val="0"/>
          <w:bCs w:val="0"/>
          <w:spacing w:val="6"/>
          <w:kern w:val="2"/>
          <w:sz w:val="32"/>
          <w:szCs w:val="32"/>
          <w:highlight w:val="none"/>
          <w:lang w:val="en-US" w:eastAsia="zh-CN" w:bidi="ar-SA"/>
        </w:rPr>
        <w:t>政策从“</w:t>
      </w:r>
      <w:r>
        <w:rPr>
          <w:rFonts w:hint="default" w:ascii="Times New Roman" w:hAnsi="Times New Roman" w:cs="Times New Roman"/>
          <w:b w:val="0"/>
          <w:bCs w:val="0"/>
          <w:spacing w:val="6"/>
          <w:kern w:val="2"/>
          <w:sz w:val="32"/>
          <w:szCs w:val="32"/>
          <w:highlight w:val="none"/>
          <w:lang w:val="en-US" w:eastAsia="zh-CN" w:bidi="ar-SA"/>
        </w:rPr>
        <w:t>不可降解材料</w:t>
      </w:r>
      <w:r>
        <w:rPr>
          <w:rFonts w:hint="default" w:ascii="Times New Roman" w:hAnsi="Times New Roman" w:eastAsia="仿宋_GB2312" w:cs="Times New Roman"/>
          <w:b w:val="0"/>
          <w:bCs w:val="0"/>
          <w:spacing w:val="6"/>
          <w:kern w:val="2"/>
          <w:sz w:val="32"/>
          <w:szCs w:val="32"/>
          <w:highlight w:val="none"/>
          <w:lang w:val="en-US" w:eastAsia="zh-CN" w:bidi="ar-SA"/>
        </w:rPr>
        <w:t>限制使用”向“</w:t>
      </w:r>
      <w:r>
        <w:rPr>
          <w:rFonts w:hint="default" w:ascii="Times New Roman" w:hAnsi="Times New Roman" w:cs="Times New Roman"/>
          <w:b w:val="0"/>
          <w:bCs w:val="0"/>
          <w:spacing w:val="6"/>
          <w:kern w:val="2"/>
          <w:sz w:val="32"/>
          <w:szCs w:val="32"/>
          <w:highlight w:val="none"/>
          <w:lang w:val="en-US" w:eastAsia="zh-CN" w:bidi="ar-SA"/>
        </w:rPr>
        <w:t>可降解材料</w:t>
      </w:r>
      <w:r>
        <w:rPr>
          <w:rFonts w:hint="default" w:ascii="Times New Roman" w:hAnsi="Times New Roman" w:eastAsia="仿宋_GB2312" w:cs="Times New Roman"/>
          <w:b w:val="0"/>
          <w:bCs w:val="0"/>
          <w:spacing w:val="6"/>
          <w:kern w:val="2"/>
          <w:sz w:val="32"/>
          <w:szCs w:val="32"/>
          <w:highlight w:val="none"/>
          <w:lang w:val="en-US" w:eastAsia="zh-CN" w:bidi="ar-SA"/>
        </w:rPr>
        <w:t>全生命周期管理”</w:t>
      </w:r>
      <w:r>
        <w:rPr>
          <w:rFonts w:hint="default" w:ascii="Times New Roman" w:hAnsi="Times New Roman" w:cs="Times New Roman"/>
          <w:b w:val="0"/>
          <w:bCs w:val="0"/>
          <w:spacing w:val="6"/>
          <w:kern w:val="2"/>
          <w:sz w:val="32"/>
          <w:szCs w:val="32"/>
          <w:highlight w:val="none"/>
          <w:lang w:val="en-US" w:eastAsia="zh-CN" w:bidi="ar-SA"/>
        </w:rPr>
        <w:t>转变的战略机遇，全面提升PLA、PBAT等生物降解材料生产技术水平，针对PBAT全行业产能过剩情况，加快推进瑞丰高分子PBAT/PETG材料联产等重大项目，支持可降解材料企业向医疗器械、3D打印等高附加值下游行业拓展，进一步优化产品结构、</w:t>
      </w:r>
      <w:r>
        <w:rPr>
          <w:rFonts w:hint="default" w:ascii="Times New Roman" w:hAnsi="Times New Roman" w:eastAsia="仿宋_GB2312" w:cs="Times New Roman"/>
          <w:b w:val="0"/>
          <w:bCs w:val="0"/>
          <w:spacing w:val="6"/>
          <w:kern w:val="2"/>
          <w:sz w:val="32"/>
          <w:szCs w:val="32"/>
          <w:highlight w:val="none"/>
          <w:lang w:val="en-US" w:eastAsia="zh-CN" w:bidi="ar-SA"/>
        </w:rPr>
        <w:t>降低综合成本</w:t>
      </w:r>
      <w:r>
        <w:rPr>
          <w:rFonts w:hint="default" w:ascii="Times New Roman" w:hAnsi="Times New Roman" w:cs="Times New Roman"/>
          <w:b w:val="0"/>
          <w:bCs w:val="0"/>
          <w:spacing w:val="6"/>
          <w:kern w:val="2"/>
          <w:sz w:val="32"/>
          <w:szCs w:val="32"/>
          <w:highlight w:val="none"/>
          <w:lang w:val="en-US" w:eastAsia="zh-CN" w:bidi="ar-SA"/>
        </w:rPr>
        <w:t>、提高利润水平。推动可降解材料产业与助剂产业融合发展，开发PLA用纳米纤维素助剂、</w:t>
      </w:r>
      <w:r>
        <w:rPr>
          <w:rFonts w:hint="default" w:ascii="Times New Roman" w:hAnsi="Times New Roman" w:eastAsia="仿宋_GB2312" w:cs="Times New Roman"/>
          <w:b w:val="0"/>
          <w:bCs w:val="0"/>
          <w:spacing w:val="6"/>
          <w:kern w:val="2"/>
          <w:sz w:val="32"/>
          <w:szCs w:val="32"/>
          <w:highlight w:val="none"/>
          <w:lang w:val="en-US" w:eastAsia="zh-CN" w:bidi="ar-SA"/>
        </w:rPr>
        <w:t>PBAT/PBS共混</w:t>
      </w:r>
      <w:r>
        <w:rPr>
          <w:rFonts w:hint="default" w:ascii="Times New Roman" w:hAnsi="Times New Roman" w:cs="Times New Roman"/>
          <w:b w:val="0"/>
          <w:bCs w:val="0"/>
          <w:spacing w:val="6"/>
          <w:kern w:val="2"/>
          <w:sz w:val="32"/>
          <w:szCs w:val="32"/>
          <w:highlight w:val="none"/>
          <w:lang w:val="en-US" w:eastAsia="zh-CN" w:bidi="ar-SA"/>
        </w:rPr>
        <w:t>改性、极性基团</w:t>
      </w:r>
      <w:r>
        <w:rPr>
          <w:rFonts w:hint="default" w:ascii="Times New Roman" w:hAnsi="Times New Roman" w:eastAsia="仿宋_GB2312" w:cs="Times New Roman"/>
          <w:b w:val="0"/>
          <w:bCs w:val="0"/>
          <w:spacing w:val="6"/>
          <w:kern w:val="2"/>
          <w:sz w:val="32"/>
          <w:szCs w:val="32"/>
          <w:highlight w:val="none"/>
          <w:lang w:val="en-US" w:eastAsia="zh-CN" w:bidi="ar-SA"/>
        </w:rPr>
        <w:t>化学接枝</w:t>
      </w:r>
      <w:r>
        <w:rPr>
          <w:rFonts w:hint="default" w:ascii="Times New Roman" w:hAnsi="Times New Roman" w:cs="Times New Roman"/>
          <w:b w:val="0"/>
          <w:bCs w:val="0"/>
          <w:spacing w:val="6"/>
          <w:kern w:val="2"/>
          <w:sz w:val="32"/>
          <w:szCs w:val="32"/>
          <w:highlight w:val="none"/>
          <w:lang w:val="en-US" w:eastAsia="zh-CN" w:bidi="ar-SA"/>
        </w:rPr>
        <w:t>等改性技术，显著提升传统PLA、PBAT稳定性和机械强度。针对可降解材料技术迭代速度快，技术路线选择难度大等特点，支</w:t>
      </w:r>
      <w:r>
        <w:rPr>
          <w:rFonts w:hint="default" w:ascii="Times New Roman" w:hAnsi="Times New Roman" w:eastAsia="仿宋_GB2312" w:cs="Times New Roman"/>
          <w:b w:val="0"/>
          <w:bCs w:val="0"/>
          <w:color w:val="auto"/>
          <w:sz w:val="32"/>
          <w:szCs w:val="32"/>
          <w:highlight w:val="none"/>
          <w:lang w:val="en-US" w:eastAsia="zh-CN"/>
        </w:rPr>
        <w:t>持</w:t>
      </w:r>
      <w:r>
        <w:rPr>
          <w:rFonts w:hint="eastAsia" w:ascii="Times New Roman" w:hAnsi="Times New Roman" w:cs="Times New Roman"/>
          <w:b w:val="0"/>
          <w:bCs w:val="0"/>
          <w:color w:val="auto"/>
          <w:sz w:val="32"/>
          <w:szCs w:val="32"/>
          <w:highlight w:val="none"/>
          <w:lang w:val="en-US" w:eastAsia="zh-CN"/>
        </w:rPr>
        <w:t>企业</w:t>
      </w:r>
      <w:r>
        <w:rPr>
          <w:rFonts w:hint="default" w:ascii="Times New Roman" w:hAnsi="Times New Roman" w:eastAsia="仿宋_GB2312" w:cs="Times New Roman"/>
          <w:b w:val="0"/>
          <w:bCs w:val="0"/>
          <w:color w:val="auto"/>
          <w:sz w:val="32"/>
          <w:szCs w:val="32"/>
          <w:highlight w:val="none"/>
          <w:lang w:val="en-US" w:eastAsia="zh-CN"/>
        </w:rPr>
        <w:t>建</w:t>
      </w:r>
      <w:r>
        <w:rPr>
          <w:rFonts w:hint="default" w:ascii="Times New Roman" w:hAnsi="Times New Roman" w:eastAsia="仿宋_GB2312" w:cs="Times New Roman"/>
          <w:b w:val="0"/>
          <w:bCs w:val="0"/>
          <w:spacing w:val="6"/>
          <w:kern w:val="2"/>
          <w:sz w:val="32"/>
          <w:szCs w:val="32"/>
          <w:highlight w:val="none"/>
          <w:lang w:val="en-US" w:eastAsia="zh-CN" w:bidi="ar-SA"/>
        </w:rPr>
        <w:t>立“技术路线动态评估模型”</w:t>
      </w:r>
      <w:r>
        <w:rPr>
          <w:rFonts w:hint="default" w:ascii="Times New Roman" w:hAnsi="Times New Roman" w:cs="Times New Roman"/>
          <w:b w:val="0"/>
          <w:bCs w:val="0"/>
          <w:spacing w:val="6"/>
          <w:kern w:val="2"/>
          <w:sz w:val="32"/>
          <w:szCs w:val="32"/>
          <w:highlight w:val="none"/>
          <w:lang w:val="en-US" w:eastAsia="zh-CN" w:bidi="ar-SA"/>
        </w:rPr>
        <w:t>，前瞻布局</w:t>
      </w:r>
      <w:r>
        <w:rPr>
          <w:rFonts w:hint="default" w:ascii="Times New Roman" w:hAnsi="Times New Roman" w:eastAsia="仿宋_GB2312" w:cs="Times New Roman"/>
          <w:b w:val="0"/>
          <w:bCs w:val="0"/>
          <w:spacing w:val="6"/>
          <w:kern w:val="2"/>
          <w:sz w:val="32"/>
          <w:szCs w:val="32"/>
          <w:highlight w:val="none"/>
          <w:lang w:val="en-US" w:eastAsia="zh-CN" w:bidi="ar-SA"/>
        </w:rPr>
        <w:t>生物基合成、碳捕集利用等颠覆性技术，</w:t>
      </w:r>
      <w:r>
        <w:rPr>
          <w:rFonts w:hint="default" w:ascii="Times New Roman" w:hAnsi="Times New Roman" w:cs="Times New Roman"/>
          <w:b w:val="0"/>
          <w:bCs w:val="0"/>
          <w:spacing w:val="6"/>
          <w:kern w:val="2"/>
          <w:sz w:val="32"/>
          <w:szCs w:val="32"/>
          <w:highlight w:val="none"/>
          <w:lang w:val="en-US" w:eastAsia="zh-CN" w:bidi="ar-SA"/>
        </w:rPr>
        <w:t>抢占产业发展“制高点”。</w:t>
      </w:r>
    </w:p>
    <w:p w14:paraId="0067860E">
      <w:pPr>
        <w:pStyle w:val="2"/>
        <w:keepNext/>
        <w:keepLines/>
        <w:pageBreakBefore w:val="0"/>
        <w:widowControl w:val="0"/>
        <w:kinsoku/>
        <w:wordWrap/>
        <w:overflowPunct/>
        <w:topLinePunct w:val="0"/>
        <w:autoSpaceDE/>
        <w:autoSpaceDN/>
        <w:bidi w:val="0"/>
        <w:adjustRightInd/>
        <w:snapToGrid/>
        <w:spacing w:after="0" w:afterLines="0"/>
        <w:textAlignment w:val="auto"/>
        <w:rPr>
          <w:rFonts w:hint="default"/>
          <w:highlight w:val="none"/>
          <w:lang w:val="en-US" w:eastAsia="zh-CN"/>
        </w:rPr>
      </w:pPr>
    </w:p>
    <w:tbl>
      <w:tblPr>
        <w:tblStyle w:val="16"/>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6"/>
      </w:tblGrid>
      <w:tr w14:paraId="635B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6" w:type="dxa"/>
            <w:vAlign w:val="center"/>
          </w:tcPr>
          <w:p w14:paraId="062C8D76">
            <w:pPr>
              <w:pStyle w:val="26"/>
              <w:bidi w:val="0"/>
              <w:rPr>
                <w:rFonts w:hint="default" w:ascii="Times New Roman" w:hAnsi="Times New Roman" w:cs="Times New Roman"/>
                <w:highlight w:val="none"/>
                <w:lang w:val="en-US"/>
              </w:rPr>
            </w:pPr>
            <w:r>
              <w:rPr>
                <w:rFonts w:hint="default" w:ascii="Times New Roman" w:hAnsi="Times New Roman" w:cs="Times New Roman"/>
                <w:highlight w:val="none"/>
              </w:rPr>
              <w:t>专栏</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w:t>
            </w:r>
            <w:r>
              <w:rPr>
                <w:rFonts w:hint="default" w:ascii="Times New Roman" w:hAnsi="Times New Roman" w:cs="Times New Roman"/>
                <w:highlight w:val="none"/>
                <w:lang w:val="en-US" w:eastAsia="zh-CN"/>
              </w:rPr>
              <w:t>精细化工产业重点项目</w:t>
            </w:r>
          </w:p>
        </w:tc>
      </w:tr>
      <w:tr w14:paraId="04F0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5" w:hRule="atLeast"/>
          <w:jc w:val="center"/>
        </w:trPr>
        <w:tc>
          <w:tcPr>
            <w:tcW w:w="8566" w:type="dxa"/>
            <w:vAlign w:val="center"/>
          </w:tcPr>
          <w:p w14:paraId="62512F6A">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山东瑞丰高分子材料股份有限公司应用于工程塑料高端改性材料项目。采用公司自主研发工艺，预计</w:t>
            </w:r>
            <w:r>
              <w:rPr>
                <w:rFonts w:hint="eastAsia" w:eastAsia="仿宋_GB2312" w:cs="Times New Roman"/>
                <w:b w:val="0"/>
                <w:bCs w:val="0"/>
                <w:kern w:val="0"/>
                <w:sz w:val="24"/>
                <w:szCs w:val="24"/>
                <w:highlight w:val="none"/>
                <w:lang w:val="en-US" w:eastAsia="zh-CN"/>
              </w:rPr>
              <w:t>实现</w:t>
            </w:r>
            <w:r>
              <w:rPr>
                <w:rFonts w:hint="default" w:ascii="Times New Roman" w:hAnsi="Times New Roman" w:eastAsia="仿宋_GB2312" w:cs="Times New Roman"/>
                <w:b w:val="0"/>
                <w:bCs w:val="0"/>
                <w:kern w:val="0"/>
                <w:sz w:val="24"/>
                <w:szCs w:val="24"/>
                <w:highlight w:val="none"/>
                <w:lang w:val="en-US" w:eastAsia="zh-CN"/>
              </w:rPr>
              <w:t>年产工程塑料高端改性材料6万吨。</w:t>
            </w:r>
          </w:p>
          <w:p w14:paraId="06E9F2E5">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山东星宇高分子材料有限公司环保PVC热稳定剂项目。预计实现年产环保PVC热稳定剂71000吨。</w:t>
            </w:r>
          </w:p>
          <w:p w14:paraId="193D4C39">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山东睿和新材料有限公司年产10万吨环保型钙锌稳定剂项目。建设生产车间、库房、研发实验用房等，上料机、反应釜、冷却压片机等设备96（台）套。</w:t>
            </w:r>
          </w:p>
          <w:p w14:paraId="6A71092C">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山东和琪正材料科技有限公司年产1万吨PVC钙锌稳定剂和多功能助剂项目。建设生产车间及配套附属设施。</w:t>
            </w:r>
          </w:p>
          <w:p w14:paraId="6057A856">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山东和隆新材料科技有限公司环保抗菌生物基PVC复合助剂项目。预计实现年产高效环保抗菌生物基PVC复合助剂10万吨。</w:t>
            </w:r>
          </w:p>
          <w:p w14:paraId="16274E86">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宋体" w:cs="Times New Roman"/>
                <w:b w:val="0"/>
                <w:bCs w:val="0"/>
                <w:kern w:val="0"/>
                <w:sz w:val="22"/>
                <w:szCs w:val="22"/>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华宸弘邦新材料（山东）有限公司聚氨酯助剂项目。预计实现年产聚氨酯助剂20700吨。</w:t>
            </w:r>
          </w:p>
        </w:tc>
      </w:tr>
    </w:tbl>
    <w:p w14:paraId="7F0ABE6E">
      <w:pPr>
        <w:pStyle w:val="4"/>
        <w:keepNext/>
        <w:keepLines/>
        <w:pageBreakBefore w:val="0"/>
        <w:widowControl w:val="0"/>
        <w:kinsoku/>
        <w:wordWrap/>
        <w:overflowPunct/>
        <w:topLinePunct w:val="0"/>
        <w:autoSpaceDE/>
        <w:autoSpaceDN/>
        <w:bidi w:val="0"/>
        <w:adjustRightInd/>
        <w:snapToGrid/>
        <w:spacing w:before="157" w:beforeLines="50" w:line="560" w:lineRule="exact"/>
        <w:textAlignment w:val="auto"/>
        <w:rPr>
          <w:rFonts w:hint="default" w:ascii="Times New Roman" w:hAnsi="Times New Roman" w:cs="Times New Roman"/>
          <w:highlight w:val="none"/>
          <w:lang w:val="en-US" w:eastAsia="zh-CN"/>
        </w:rPr>
      </w:pPr>
      <w:bookmarkStart w:id="27" w:name="_Toc12094_WPSOffice_Level3"/>
      <w:r>
        <w:rPr>
          <w:rFonts w:hint="default" w:ascii="Times New Roman" w:hAnsi="Times New Roman" w:cs="Times New Roman"/>
          <w:highlight w:val="none"/>
          <w:lang w:val="en-US" w:eastAsia="zh-CN"/>
        </w:rPr>
        <w:t>4.新能源产业集群</w:t>
      </w:r>
      <w:bookmarkEnd w:id="27"/>
    </w:p>
    <w:p w14:paraId="751D736F">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pP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顺应能</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源供给侧结构性改革趋势，围绕实现碳达峰、碳中和战略目标</w:t>
      </w:r>
      <w:r>
        <w:rPr>
          <w:rFonts w:hint="default" w:ascii="Times New Roman" w:hAnsi="Times New Roman" w:cs="Times New Roman"/>
          <w:b w:val="0"/>
          <w:bCs w:val="0"/>
          <w:color w:val="000000"/>
          <w:spacing w:val="6"/>
          <w:kern w:val="36"/>
          <w:sz w:val="32"/>
          <w:szCs w:val="32"/>
          <w:highlight w:val="none"/>
          <w:u w:val="none"/>
          <w:lang w:val="en-US" w:eastAsia="zh-CN" w:bidi="ar-SA"/>
        </w:rPr>
        <w:t>，重点聚焦光伏</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w:t>
      </w:r>
      <w:r>
        <w:rPr>
          <w:rFonts w:hint="default" w:ascii="Times New Roman" w:hAnsi="Times New Roman" w:cs="Times New Roman"/>
          <w:b w:val="0"/>
          <w:bCs w:val="0"/>
          <w:color w:val="000000"/>
          <w:spacing w:val="6"/>
          <w:kern w:val="36"/>
          <w:sz w:val="32"/>
          <w:szCs w:val="32"/>
          <w:highlight w:val="none"/>
          <w:u w:val="none"/>
          <w:lang w:val="en-US" w:eastAsia="zh-CN" w:bidi="ar-SA"/>
        </w:rPr>
        <w:t>风能、储能、氢能等</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重点领域</w:t>
      </w:r>
      <w:r>
        <w:rPr>
          <w:rFonts w:hint="default" w:ascii="Times New Roman" w:hAnsi="Times New Roman" w:cs="Times New Roman"/>
          <w:b w:val="0"/>
          <w:bCs w:val="0"/>
          <w:color w:val="000000"/>
          <w:spacing w:val="6"/>
          <w:kern w:val="36"/>
          <w:sz w:val="32"/>
          <w:szCs w:val="32"/>
          <w:highlight w:val="none"/>
          <w:u w:val="none"/>
          <w:lang w:val="en-US" w:eastAsia="zh-CN" w:bidi="ar-SA"/>
        </w:rPr>
        <w:t>，打造“发电—装备—管理”全链条，</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培育一批拥有自主知识产权、具有较大市场份额的高附加值产品</w:t>
      </w:r>
      <w:r>
        <w:rPr>
          <w:rFonts w:hint="default" w:ascii="Times New Roman" w:hAnsi="Times New Roman" w:cs="Times New Roman"/>
          <w:b w:val="0"/>
          <w:bCs w:val="0"/>
          <w:color w:val="000000"/>
          <w:spacing w:val="6"/>
          <w:kern w:val="36"/>
          <w:sz w:val="32"/>
          <w:szCs w:val="32"/>
          <w:highlight w:val="none"/>
          <w:u w:val="none"/>
          <w:lang w:val="en-US" w:eastAsia="zh-CN" w:bidi="ar-SA"/>
        </w:rPr>
        <w:t>，打造沂源县智慧能源综合管理平台，探索符合县域经济特点的新能源产业发展路径</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w:t>
      </w:r>
    </w:p>
    <w:p w14:paraId="52347D1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pPr>
      <w:r>
        <w:rPr>
          <w:rFonts w:hint="default" w:ascii="Times New Roman" w:hAnsi="Times New Roman" w:cs="Times New Roman"/>
          <w:b w:val="0"/>
          <w:bCs w:val="0"/>
          <w:highlight w:val="none"/>
          <w:lang w:val="en-US" w:eastAsia="zh-CN"/>
        </w:rPr>
        <w:t>新能源储能和发电。</w:t>
      </w:r>
      <w:r>
        <w:rPr>
          <w:rFonts w:hint="default" w:ascii="Times New Roman" w:hAnsi="Times New Roman" w:cs="Times New Roman"/>
          <w:b w:val="0"/>
          <w:bCs w:val="0"/>
          <w:color w:val="000000"/>
          <w:spacing w:val="0"/>
          <w:kern w:val="36"/>
          <w:sz w:val="32"/>
          <w:szCs w:val="32"/>
          <w:highlight w:val="none"/>
          <w:u w:val="none"/>
          <w:lang w:val="en-US" w:eastAsia="zh-CN" w:bidi="ar-SA"/>
        </w:rPr>
        <w:t>大力发展储能产业，全面启动建设</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华电</w:t>
      </w:r>
      <w:r>
        <w:rPr>
          <w:rFonts w:hint="default" w:ascii="Times New Roman" w:hAnsi="Times New Roman" w:cs="Times New Roman"/>
          <w:b w:val="0"/>
          <w:bCs w:val="0"/>
          <w:color w:val="000000"/>
          <w:spacing w:val="0"/>
          <w:kern w:val="36"/>
          <w:sz w:val="32"/>
          <w:szCs w:val="32"/>
          <w:highlight w:val="none"/>
          <w:u w:val="none"/>
          <w:lang w:val="en-US" w:eastAsia="zh-CN" w:bidi="ar-SA"/>
        </w:rPr>
        <w:t>石桥</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抽水蓄能电站项目</w:t>
      </w:r>
      <w:r>
        <w:rPr>
          <w:rFonts w:hint="default" w:ascii="Times New Roman" w:hAnsi="Times New Roman" w:cs="Times New Roman"/>
          <w:b w:val="0"/>
          <w:bCs w:val="0"/>
          <w:color w:val="000000"/>
          <w:spacing w:val="0"/>
          <w:kern w:val="36"/>
          <w:sz w:val="32"/>
          <w:szCs w:val="32"/>
          <w:highlight w:val="none"/>
          <w:u w:val="none"/>
          <w:lang w:val="en-US" w:eastAsia="zh-CN" w:bidi="ar-SA"/>
        </w:rPr>
        <w:t>，推动</w:t>
      </w:r>
      <w:r>
        <w:rPr>
          <w:rFonts w:hint="default" w:ascii="Times New Roman" w:hAnsi="Times New Roman" w:cs="Times New Roman"/>
          <w:b w:val="0"/>
          <w:bCs w:val="0"/>
          <w:highlight w:val="none"/>
          <w:lang w:val="en-US" w:eastAsia="zh-CN"/>
        </w:rPr>
        <w:t>建设</w:t>
      </w:r>
      <w:r>
        <w:rPr>
          <w:rFonts w:hint="default" w:ascii="Times New Roman" w:hAnsi="Times New Roman" w:cs="Times New Roman"/>
          <w:b w:val="0"/>
          <w:bCs w:val="0"/>
          <w:highlight w:val="none"/>
        </w:rPr>
        <w:t>电化学储能电站，</w:t>
      </w:r>
      <w:r>
        <w:rPr>
          <w:rFonts w:hint="default" w:ascii="Times New Roman" w:hAnsi="Times New Roman" w:cs="Times New Roman"/>
          <w:b w:val="0"/>
          <w:bCs w:val="0"/>
          <w:highlight w:val="none"/>
          <w:lang w:val="en-US" w:eastAsia="zh-CN"/>
        </w:rPr>
        <w:t>积极</w:t>
      </w:r>
      <w:r>
        <w:rPr>
          <w:rFonts w:hint="default" w:ascii="Times New Roman" w:hAnsi="Times New Roman" w:cs="Times New Roman"/>
          <w:b w:val="0"/>
          <w:bCs w:val="0"/>
          <w:highlight w:val="none"/>
        </w:rPr>
        <w:t>探索压缩空气储能</w:t>
      </w:r>
      <w:r>
        <w:rPr>
          <w:rFonts w:hint="default" w:ascii="Times New Roman" w:hAnsi="Times New Roman" w:cs="Times New Roman"/>
          <w:b w:val="0"/>
          <w:bCs w:val="0"/>
          <w:highlight w:val="none"/>
          <w:lang w:val="en-US" w:eastAsia="zh-CN"/>
        </w:rPr>
        <w:t>技术应用</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推动完善储能上下游产业链条。</w:t>
      </w:r>
      <w:r>
        <w:rPr>
          <w:rFonts w:hint="default" w:ascii="Times New Roman" w:hAnsi="Times New Roman" w:cs="Times New Roman"/>
          <w:b w:val="0"/>
          <w:bCs w:val="0"/>
          <w:color w:val="000000"/>
          <w:spacing w:val="0"/>
          <w:kern w:val="36"/>
          <w:sz w:val="32"/>
          <w:szCs w:val="32"/>
          <w:highlight w:val="none"/>
          <w:u w:val="none"/>
          <w:lang w:val="en-US" w:eastAsia="zh-CN" w:bidi="ar-SA"/>
        </w:rPr>
        <w:t>规范发展光伏发电项目，有序发展“光伏+储能”等分布式光伏项目。加快推进“千乡万村驭风行动”试点项目，推动华能山东发电有限公司风电项目按期投产达效。推进“氢进万家”科技示范工程，规划建设集加油、充换电、加氢、加气等于一体的综合能源服务港，扩大重点领域氢能示范应用。合理发展地热产业，</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完善地热发电、烘干、供暖（制冷）、理疗、洗浴、温室种植养殖等产业链多能互补方式，提高地热能利用稳定性和覆盖面。</w:t>
      </w:r>
    </w:p>
    <w:p w14:paraId="1646C52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pPr>
      <w:r>
        <w:rPr>
          <w:rFonts w:hint="default" w:ascii="Times New Roman" w:hAnsi="Times New Roman" w:cs="Times New Roman"/>
          <w:b w:val="0"/>
          <w:bCs w:val="0"/>
          <w:highlight w:val="none"/>
          <w:lang w:val="en-US" w:eastAsia="zh-CN"/>
        </w:rPr>
        <w:t>新能源装备制造。重</w:t>
      </w:r>
      <w:r>
        <w:rPr>
          <w:rFonts w:hint="default" w:ascii="Times New Roman" w:hAnsi="Times New Roman" w:eastAsia="仿宋_GB2312" w:cs="Times New Roman"/>
          <w:b w:val="0"/>
          <w:bCs w:val="0"/>
          <w:color w:val="auto"/>
          <w:kern w:val="2"/>
          <w:sz w:val="32"/>
          <w:szCs w:val="32"/>
          <w:highlight w:val="none"/>
          <w:lang w:val="en-US" w:eastAsia="zh-CN" w:bidi="ar-SA"/>
        </w:rPr>
        <w:t>点发展储能</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装备、动力电池、新能源汽车零配件</w:t>
      </w:r>
      <w:r>
        <w:rPr>
          <w:rFonts w:hint="default" w:ascii="Times New Roman" w:hAnsi="Times New Roman" w:cs="Times New Roman"/>
          <w:b w:val="0"/>
          <w:bCs w:val="0"/>
          <w:color w:val="000000"/>
          <w:spacing w:val="0"/>
          <w:kern w:val="36"/>
          <w:sz w:val="32"/>
          <w:szCs w:val="32"/>
          <w:highlight w:val="none"/>
          <w:u w:val="none"/>
          <w:lang w:val="en-US" w:eastAsia="zh-CN" w:bidi="ar-SA"/>
        </w:rPr>
        <w:t>、光伏风电配件</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等</w:t>
      </w:r>
      <w:r>
        <w:rPr>
          <w:rFonts w:hint="default" w:ascii="Times New Roman" w:hAnsi="Times New Roman" w:cs="Times New Roman"/>
          <w:b w:val="0"/>
          <w:bCs w:val="0"/>
          <w:color w:val="000000"/>
          <w:spacing w:val="0"/>
          <w:kern w:val="36"/>
          <w:sz w:val="32"/>
          <w:szCs w:val="32"/>
          <w:highlight w:val="none"/>
          <w:u w:val="none"/>
          <w:lang w:val="en-US" w:eastAsia="zh-CN" w:bidi="ar-SA"/>
        </w:rPr>
        <w:t>新能源装备产业。大力发展风电光伏装备制造业，依托新材料领域技术产品优势，</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重点发展风电叶片、超高塔筒</w:t>
      </w:r>
      <w:r>
        <w:rPr>
          <w:rFonts w:hint="default" w:ascii="Times New Roman" w:hAnsi="Times New Roman" w:cs="Times New Roman"/>
          <w:b w:val="0"/>
          <w:bCs w:val="0"/>
          <w:color w:val="000000"/>
          <w:spacing w:val="0"/>
          <w:kern w:val="36"/>
          <w:sz w:val="32"/>
          <w:szCs w:val="32"/>
          <w:highlight w:val="none"/>
          <w:u w:val="none"/>
          <w:lang w:val="en-US" w:eastAsia="zh-CN" w:bidi="ar-SA"/>
        </w:rPr>
        <w:t>、</w:t>
      </w:r>
      <w:r>
        <w:rPr>
          <w:rFonts w:hint="default" w:ascii="Times New Roman" w:hAnsi="Times New Roman" w:cs="Times New Roman"/>
          <w:b w:val="0"/>
          <w:bCs w:val="0"/>
          <w:color w:val="000000"/>
          <w:spacing w:val="6"/>
          <w:kern w:val="36"/>
          <w:sz w:val="32"/>
          <w:szCs w:val="32"/>
          <w:highlight w:val="none"/>
          <w:u w:val="none"/>
          <w:lang w:val="en-US" w:eastAsia="zh-CN" w:bidi="ar-SA"/>
        </w:rPr>
        <w:t>光伏板基材和支撑结构、电子级树脂以及</w:t>
      </w:r>
      <w:r>
        <w:rPr>
          <w:rFonts w:hint="default" w:ascii="Times New Roman" w:hAnsi="Times New Roman" w:cs="Times New Roman"/>
          <w:b w:val="0"/>
          <w:bCs w:val="0"/>
          <w:spacing w:val="6"/>
          <w:kern w:val="2"/>
          <w:sz w:val="32"/>
          <w:szCs w:val="24"/>
          <w:highlight w:val="none"/>
          <w:lang w:val="en-US" w:eastAsia="zh-CN" w:bidi="ar-SA"/>
        </w:rPr>
        <w:t>储氢结构件</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等</w:t>
      </w:r>
      <w:r>
        <w:rPr>
          <w:rFonts w:hint="default" w:ascii="Times New Roman" w:hAnsi="Times New Roman" w:cs="Times New Roman"/>
          <w:b w:val="0"/>
          <w:bCs w:val="0"/>
          <w:color w:val="000000"/>
          <w:spacing w:val="6"/>
          <w:kern w:val="36"/>
          <w:sz w:val="32"/>
          <w:szCs w:val="32"/>
          <w:highlight w:val="none"/>
          <w:u w:val="none"/>
          <w:lang w:val="en-US" w:eastAsia="zh-CN" w:bidi="ar-SA"/>
        </w:rPr>
        <w:t>关键</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零部件</w:t>
      </w:r>
      <w:r>
        <w:rPr>
          <w:rFonts w:hint="default" w:ascii="Times New Roman" w:hAnsi="Times New Roman" w:cs="Times New Roman"/>
          <w:b w:val="0"/>
          <w:bCs w:val="0"/>
          <w:color w:val="000000"/>
          <w:spacing w:val="6"/>
          <w:kern w:val="36"/>
          <w:sz w:val="32"/>
          <w:szCs w:val="32"/>
          <w:highlight w:val="none"/>
          <w:u w:val="none"/>
          <w:lang w:val="en-US" w:eastAsia="zh-CN" w:bidi="ar-SA"/>
        </w:rPr>
        <w:t>产品，打造新能源装备制造集聚区</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w:t>
      </w:r>
      <w:r>
        <w:rPr>
          <w:rFonts w:hint="default" w:ascii="Times New Roman" w:hAnsi="Times New Roman" w:cs="Times New Roman"/>
          <w:b w:val="0"/>
          <w:bCs w:val="0"/>
          <w:color w:val="000000"/>
          <w:spacing w:val="0"/>
          <w:kern w:val="36"/>
          <w:sz w:val="32"/>
          <w:szCs w:val="32"/>
          <w:highlight w:val="none"/>
          <w:u w:val="none"/>
          <w:lang w:val="en-US" w:eastAsia="zh-CN" w:bidi="ar-SA"/>
        </w:rPr>
        <w:t>培育壮大氢能装备产业，统筹推进氢能“制、储、输、用”全链条发展。</w:t>
      </w:r>
      <w:r>
        <w:rPr>
          <w:rFonts w:hint="default" w:ascii="Times New Roman" w:hAnsi="Times New Roman" w:cs="Times New Roman"/>
          <w:b w:val="0"/>
          <w:bCs w:val="0"/>
          <w:color w:val="000000"/>
          <w:spacing w:val="6"/>
          <w:kern w:val="36"/>
          <w:sz w:val="32"/>
          <w:szCs w:val="32"/>
          <w:highlight w:val="none"/>
          <w:u w:val="none"/>
          <w:lang w:val="en-US" w:eastAsia="zh-CN" w:bidi="ar-SA"/>
        </w:rPr>
        <w:t>积极发展</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动力电池</w:t>
      </w:r>
      <w:r>
        <w:rPr>
          <w:rFonts w:hint="default" w:ascii="Times New Roman" w:hAnsi="Times New Roman" w:cs="Times New Roman"/>
          <w:b w:val="0"/>
          <w:bCs w:val="0"/>
          <w:color w:val="000000"/>
          <w:spacing w:val="6"/>
          <w:kern w:val="36"/>
          <w:sz w:val="32"/>
          <w:szCs w:val="32"/>
          <w:highlight w:val="none"/>
          <w:u w:val="none"/>
          <w:lang w:val="en-US" w:eastAsia="zh-CN" w:bidi="ar-SA"/>
        </w:rPr>
        <w:t>相关产业</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，大力发展高能量密度、低成本、高安全性和长循环寿命动力电池</w:t>
      </w:r>
      <w:r>
        <w:rPr>
          <w:rFonts w:hint="default" w:ascii="Times New Roman" w:hAnsi="Times New Roman" w:cs="Times New Roman"/>
          <w:b w:val="0"/>
          <w:bCs w:val="0"/>
          <w:color w:val="000000"/>
          <w:spacing w:val="6"/>
          <w:kern w:val="36"/>
          <w:sz w:val="32"/>
          <w:szCs w:val="32"/>
          <w:highlight w:val="none"/>
          <w:u w:val="none"/>
          <w:lang w:val="en-US" w:eastAsia="zh-CN" w:bidi="ar-SA"/>
        </w:rPr>
        <w:t>，依托</w:t>
      </w:r>
      <w:r>
        <w:rPr>
          <w:rFonts w:hint="eastAsia" w:ascii="Times New Roman" w:hAnsi="Times New Roman" w:cs="Times New Roman"/>
          <w:b w:val="0"/>
          <w:bCs w:val="0"/>
          <w:color w:val="000000"/>
          <w:spacing w:val="6"/>
          <w:kern w:val="36"/>
          <w:sz w:val="32"/>
          <w:szCs w:val="32"/>
          <w:highlight w:val="none"/>
          <w:u w:val="none"/>
          <w:lang w:val="en-US" w:eastAsia="zh-CN" w:bidi="ar-SA"/>
        </w:rPr>
        <w:t>相关</w:t>
      </w:r>
      <w:r>
        <w:rPr>
          <w:rFonts w:hint="default" w:ascii="Times New Roman" w:hAnsi="Times New Roman" w:cs="Times New Roman"/>
          <w:b w:val="0"/>
          <w:bCs w:val="0"/>
          <w:color w:val="000000"/>
          <w:spacing w:val="6"/>
          <w:kern w:val="36"/>
          <w:sz w:val="32"/>
          <w:szCs w:val="32"/>
          <w:highlight w:val="none"/>
          <w:u w:val="none"/>
          <w:lang w:val="en-US" w:eastAsia="zh-CN" w:bidi="ar-SA"/>
        </w:rPr>
        <w:t>企业构建新能源汽车动力电池箱体材料全产业链，加大动力电池</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正负极、电解液、</w:t>
      </w:r>
      <w:r>
        <w:rPr>
          <w:rFonts w:hint="default" w:ascii="Times New Roman" w:hAnsi="Times New Roman" w:cs="Times New Roman"/>
          <w:b w:val="0"/>
          <w:bCs w:val="0"/>
          <w:color w:val="000000"/>
          <w:spacing w:val="6"/>
          <w:kern w:val="36"/>
          <w:sz w:val="32"/>
          <w:szCs w:val="32"/>
          <w:highlight w:val="none"/>
          <w:u w:val="none"/>
          <w:lang w:val="en-US" w:eastAsia="zh-CN" w:bidi="ar-SA"/>
        </w:rPr>
        <w:t>隔膜、</w:t>
      </w:r>
      <w:r>
        <w:rPr>
          <w:rFonts w:hint="default" w:ascii="Times New Roman" w:hAnsi="Times New Roman" w:eastAsia="仿宋_GB2312" w:cs="Times New Roman"/>
          <w:b w:val="0"/>
          <w:bCs w:val="0"/>
          <w:color w:val="000000"/>
          <w:spacing w:val="6"/>
          <w:kern w:val="36"/>
          <w:sz w:val="32"/>
          <w:szCs w:val="32"/>
          <w:highlight w:val="none"/>
          <w:u w:val="none"/>
          <w:lang w:val="en-US" w:eastAsia="zh-CN" w:bidi="ar-SA"/>
        </w:rPr>
        <w:t>电池管理系统、电池回收与再利用等领域优势企业引进培育力度，促进动力电池与材料、零部件、整车、回收再利用等产业协同</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发展。</w:t>
      </w:r>
    </w:p>
    <w:p w14:paraId="5BEC0C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lang w:val="en-US" w:eastAsia="zh-CN"/>
        </w:rPr>
        <w:t>智慧能源平台。构</w:t>
      </w:r>
      <w:r>
        <w:rPr>
          <w:rFonts w:hint="default" w:ascii="Times New Roman" w:hAnsi="Times New Roman" w:eastAsia="仿宋_GB2312" w:cs="Times New Roman"/>
          <w:b w:val="0"/>
          <w:bCs w:val="0"/>
          <w:color w:val="auto"/>
          <w:kern w:val="2"/>
          <w:sz w:val="32"/>
          <w:szCs w:val="32"/>
          <w:highlight w:val="none"/>
          <w:lang w:val="en-US" w:eastAsia="zh-CN" w:bidi="ar-SA"/>
        </w:rPr>
        <w:t>建覆盖绿电、</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储能、平台、电网</w:t>
      </w:r>
      <w:r>
        <w:rPr>
          <w:rFonts w:hint="default" w:ascii="Times New Roman" w:hAnsi="Times New Roman" w:cs="Times New Roman"/>
          <w:b w:val="0"/>
          <w:bCs w:val="0"/>
          <w:color w:val="000000"/>
          <w:spacing w:val="0"/>
          <w:kern w:val="36"/>
          <w:sz w:val="32"/>
          <w:szCs w:val="32"/>
          <w:highlight w:val="none"/>
          <w:u w:val="none"/>
          <w:lang w:val="en-US" w:eastAsia="zh-CN" w:bidi="ar-SA"/>
        </w:rPr>
        <w:t>的智慧能源系统</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w:t>
      </w:r>
      <w:r>
        <w:rPr>
          <w:rFonts w:hint="default" w:ascii="Times New Roman" w:hAnsi="Times New Roman" w:cs="Times New Roman"/>
          <w:b w:val="0"/>
          <w:bCs w:val="0"/>
          <w:highlight w:val="none"/>
        </w:rPr>
        <w:t>整合分布式光伏、风电、储能等设施</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构建“源网荷储+绿电直供”体系，实现绿电余缺互济</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color w:val="000000"/>
          <w:spacing w:val="0"/>
          <w:kern w:val="36"/>
          <w:sz w:val="32"/>
          <w:szCs w:val="32"/>
          <w:highlight w:val="none"/>
          <w:u w:val="none"/>
          <w:lang w:val="en-US" w:eastAsia="zh-CN" w:bidi="ar-SA"/>
        </w:rPr>
        <w:t>进一步优化重点园区</w:t>
      </w:r>
      <w:r>
        <w:rPr>
          <w:rFonts w:hint="default" w:ascii="Times New Roman" w:hAnsi="Times New Roman" w:eastAsia="仿宋_GB2312" w:cs="Times New Roman"/>
          <w:b w:val="0"/>
          <w:bCs w:val="0"/>
          <w:color w:val="000000"/>
          <w:spacing w:val="0"/>
          <w:kern w:val="36"/>
          <w:sz w:val="32"/>
          <w:szCs w:val="32"/>
          <w:highlight w:val="none"/>
          <w:u w:val="none"/>
          <w:lang w:val="en-US" w:eastAsia="zh-CN" w:bidi="ar-SA"/>
        </w:rPr>
        <w:t>能源供应体系。</w:t>
      </w:r>
      <w:r>
        <w:rPr>
          <w:rFonts w:hint="default" w:ascii="Times New Roman" w:hAnsi="Times New Roman" w:cs="Times New Roman"/>
          <w:b w:val="0"/>
          <w:bCs w:val="0"/>
          <w:highlight w:val="none"/>
        </w:rPr>
        <w:t>建设覆盖工业园区、商业楼宇、新能源场站、公共建筑等各类用能场景的智慧能源综合管理平台，</w:t>
      </w:r>
      <w:r>
        <w:rPr>
          <w:rFonts w:hint="default" w:ascii="Times New Roman" w:hAnsi="Times New Roman" w:cs="Times New Roman"/>
          <w:b w:val="0"/>
          <w:bCs w:val="0"/>
          <w:color w:val="auto"/>
          <w:highlight w:val="none"/>
        </w:rPr>
        <w:t>实现用能数据的实时监测、智能分析和合理调控，为企业降本增效</w:t>
      </w:r>
      <w:r>
        <w:rPr>
          <w:rFonts w:hint="default" w:ascii="Times New Roman" w:hAnsi="Times New Roman" w:cs="Times New Roman"/>
          <w:b w:val="0"/>
          <w:bCs w:val="0"/>
          <w:highlight w:val="none"/>
        </w:rPr>
        <w:t>、降碳增绿。在此基础上，构建能源数据湖，集成实时监控、设备台账与碳排核算三大功能模块，对内支撑精准负荷预测与故障预警，对外赋能区块链碳管理、虚拟电厂及微电网交易等多元应用。</w:t>
      </w:r>
    </w:p>
    <w:p w14:paraId="1DFD98FC">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sz w:val="32"/>
          <w:highlight w:val="none"/>
          <w:lang w:val="en-US" w:eastAsia="zh-CN"/>
        </w:rPr>
      </w:pPr>
      <w:bookmarkStart w:id="28" w:name="_Toc14018_WPSOffice_Level3"/>
      <w:r>
        <w:rPr>
          <w:rFonts w:hint="default" w:ascii="Times New Roman" w:hAnsi="Times New Roman" w:cs="Times New Roman"/>
          <w:highlight w:val="none"/>
          <w:lang w:val="en-US" w:eastAsia="zh-CN"/>
        </w:rPr>
        <w:t>5</w:t>
      </w:r>
      <w:r>
        <w:rPr>
          <w:rFonts w:hint="default" w:ascii="Times New Roman" w:hAnsi="Times New Roman" w:cs="Times New Roman"/>
          <w:spacing w:val="0"/>
          <w:sz w:val="32"/>
          <w:highlight w:val="none"/>
          <w:lang w:val="en-US" w:eastAsia="zh-CN"/>
        </w:rPr>
        <w:t>.现代装备制造产业集群</w:t>
      </w:r>
      <w:bookmarkEnd w:id="28"/>
    </w:p>
    <w:p w14:paraId="41E8256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0"/>
          <w:sz w:val="32"/>
          <w:szCs w:val="32"/>
          <w:highlight w:val="none"/>
          <w:lang w:val="en-US" w:eastAsia="zh-CN"/>
        </w:rPr>
      </w:pPr>
      <w:r>
        <w:rPr>
          <w:rFonts w:hint="default" w:ascii="Times New Roman" w:hAnsi="Times New Roman" w:cs="Times New Roman"/>
          <w:b w:val="0"/>
          <w:bCs w:val="0"/>
          <w:spacing w:val="0"/>
          <w:sz w:val="32"/>
          <w:szCs w:val="32"/>
          <w:highlight w:val="none"/>
          <w:lang w:val="en-US" w:eastAsia="zh-CN"/>
        </w:rPr>
        <w:t>依托现有机械工业基础，基于现有产业特点，以市场为导向，以创新为动力，以资本为纽带，用需求引产业，用资源谋产业，用应用场景换产业，分别向产业链上下游延伸发展，培育发展壮大具有现有产业特色的现代装备制造产业集群。</w:t>
      </w:r>
    </w:p>
    <w:p w14:paraId="23C27E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0"/>
          <w:sz w:val="32"/>
          <w:highlight w:val="none"/>
          <w:lang w:val="en-US" w:eastAsia="zh-CN"/>
        </w:rPr>
      </w:pPr>
      <w:r>
        <w:rPr>
          <w:rFonts w:hint="default" w:ascii="Times New Roman" w:hAnsi="Times New Roman" w:cs="Times New Roman"/>
          <w:b w:val="0"/>
          <w:bCs w:val="0"/>
          <w:highlight w:val="none"/>
          <w:lang w:val="en-US" w:eastAsia="zh-CN"/>
        </w:rPr>
        <w:t>传统机械制造业转型升级。支</w:t>
      </w:r>
      <w:r>
        <w:rPr>
          <w:rFonts w:hint="default" w:ascii="Times New Roman" w:hAnsi="Times New Roman" w:eastAsia="仿宋_GB2312" w:cs="Times New Roman"/>
          <w:b w:val="0"/>
          <w:bCs w:val="0"/>
          <w:color w:val="auto"/>
          <w:spacing w:val="0"/>
          <w:kern w:val="2"/>
          <w:sz w:val="32"/>
          <w:szCs w:val="32"/>
          <w:highlight w:val="none"/>
          <w:lang w:val="en-US" w:eastAsia="zh-CN" w:bidi="ar-SA"/>
        </w:rPr>
        <w:t>持</w:t>
      </w:r>
      <w:r>
        <w:rPr>
          <w:rFonts w:hint="default" w:ascii="Times New Roman" w:hAnsi="Times New Roman" w:cs="Times New Roman"/>
          <w:b w:val="0"/>
          <w:bCs w:val="0"/>
          <w:spacing w:val="0"/>
          <w:sz w:val="32"/>
          <w:szCs w:val="32"/>
          <w:highlight w:val="none"/>
          <w:lang w:val="en-US" w:eastAsia="zh-CN"/>
        </w:rPr>
        <w:t>骨干企业</w:t>
      </w:r>
      <w:r>
        <w:rPr>
          <w:rFonts w:hint="default" w:ascii="Times New Roman" w:hAnsi="Times New Roman" w:cs="Times New Roman"/>
          <w:b w:val="0"/>
          <w:bCs w:val="0"/>
          <w:spacing w:val="0"/>
          <w:sz w:val="32"/>
          <w:szCs w:val="32"/>
          <w:highlight w:val="none"/>
        </w:rPr>
        <w:t>加强技术创新投入，</w:t>
      </w:r>
      <w:r>
        <w:rPr>
          <w:rFonts w:hint="default" w:ascii="Times New Roman" w:hAnsi="Times New Roman" w:cs="Times New Roman"/>
          <w:b w:val="0"/>
          <w:bCs w:val="0"/>
          <w:spacing w:val="0"/>
          <w:sz w:val="32"/>
          <w:highlight w:val="none"/>
          <w:lang w:val="en-US" w:eastAsia="zh-CN"/>
        </w:rPr>
        <w:t>提升农用机械设备及配件、汽车零部件、机电设备零部件加工制造水平，</w:t>
      </w:r>
      <w:r>
        <w:rPr>
          <w:rFonts w:hint="default" w:ascii="Times New Roman" w:hAnsi="Times New Roman" w:cs="Times New Roman"/>
          <w:b w:val="0"/>
          <w:bCs w:val="0"/>
          <w:spacing w:val="0"/>
          <w:sz w:val="32"/>
          <w:szCs w:val="32"/>
          <w:highlight w:val="none"/>
        </w:rPr>
        <w:t>加快设备更新、工艺升级、数字赋能、管理创新，推动传统</w:t>
      </w:r>
      <w:r>
        <w:rPr>
          <w:rFonts w:hint="default" w:ascii="Times New Roman" w:hAnsi="Times New Roman" w:cs="Times New Roman"/>
          <w:b w:val="0"/>
          <w:bCs w:val="0"/>
          <w:spacing w:val="0"/>
          <w:sz w:val="32"/>
          <w:szCs w:val="32"/>
          <w:highlight w:val="none"/>
          <w:lang w:val="en-US" w:eastAsia="zh-CN"/>
        </w:rPr>
        <w:t>机械制造业</w:t>
      </w:r>
      <w:r>
        <w:rPr>
          <w:rFonts w:hint="default" w:ascii="Times New Roman" w:hAnsi="Times New Roman" w:cs="Times New Roman"/>
          <w:b w:val="0"/>
          <w:bCs w:val="0"/>
          <w:spacing w:val="0"/>
          <w:sz w:val="32"/>
          <w:szCs w:val="32"/>
          <w:highlight w:val="none"/>
        </w:rPr>
        <w:t>向创新驱动转变。加强技术、工艺、装备、产品等领域国家及行业先进技术标准应用，以先进标准引领企业产品质量提升，积极</w:t>
      </w:r>
      <w:r>
        <w:rPr>
          <w:rFonts w:hint="default" w:ascii="Times New Roman" w:hAnsi="Times New Roman" w:cs="Times New Roman"/>
          <w:b w:val="0"/>
          <w:bCs w:val="0"/>
          <w:spacing w:val="0"/>
          <w:sz w:val="32"/>
          <w:szCs w:val="32"/>
          <w:highlight w:val="none"/>
          <w:lang w:eastAsia="zh-CN"/>
        </w:rPr>
        <w:t>参与</w:t>
      </w:r>
      <w:r>
        <w:rPr>
          <w:rFonts w:hint="default" w:ascii="Times New Roman" w:hAnsi="Times New Roman" w:cs="Times New Roman"/>
          <w:b w:val="0"/>
          <w:bCs w:val="0"/>
          <w:spacing w:val="0"/>
          <w:sz w:val="32"/>
          <w:szCs w:val="32"/>
          <w:highlight w:val="none"/>
        </w:rPr>
        <w:t>重点行业标准制定、推广，充分应用能耗能效、污染物排放、绿色产品评价、资源循环利用等方面国家标准，促进</w:t>
      </w:r>
      <w:r>
        <w:rPr>
          <w:rFonts w:hint="default" w:ascii="Times New Roman" w:hAnsi="Times New Roman" w:cs="Times New Roman"/>
          <w:b w:val="0"/>
          <w:bCs w:val="0"/>
          <w:spacing w:val="0"/>
          <w:sz w:val="32"/>
          <w:szCs w:val="32"/>
          <w:highlight w:val="none"/>
          <w:lang w:val="en-US" w:eastAsia="zh-CN"/>
        </w:rPr>
        <w:t>机械制造领域</w:t>
      </w:r>
      <w:r>
        <w:rPr>
          <w:rFonts w:hint="default" w:ascii="Times New Roman" w:hAnsi="Times New Roman" w:cs="Times New Roman"/>
          <w:b w:val="0"/>
          <w:bCs w:val="0"/>
          <w:spacing w:val="0"/>
          <w:sz w:val="32"/>
          <w:szCs w:val="32"/>
          <w:highlight w:val="none"/>
        </w:rPr>
        <w:t>先进技术与装备规模化应用。</w:t>
      </w:r>
    </w:p>
    <w:p w14:paraId="6A8EE203">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cs="Times New Roman"/>
          <w:b w:val="0"/>
          <w:bCs w:val="0"/>
          <w:spacing w:val="0"/>
          <w:sz w:val="32"/>
          <w:highlight w:val="none"/>
          <w:lang w:val="en-US" w:eastAsia="zh-CN"/>
        </w:rPr>
      </w:pPr>
      <w:r>
        <w:rPr>
          <w:rFonts w:hint="default" w:ascii="Times New Roman" w:hAnsi="Times New Roman" w:cs="Times New Roman"/>
          <w:b w:val="0"/>
          <w:bCs w:val="0"/>
          <w:highlight w:val="none"/>
          <w:lang w:val="en-US" w:eastAsia="zh-CN"/>
        </w:rPr>
        <w:t>高端装备制造业。依</w:t>
      </w:r>
      <w:r>
        <w:rPr>
          <w:rFonts w:hint="default" w:ascii="Times New Roman" w:hAnsi="Times New Roman" w:eastAsia="仿宋_GB2312" w:cs="Times New Roman"/>
          <w:b w:val="0"/>
          <w:bCs w:val="0"/>
          <w:color w:val="auto"/>
          <w:spacing w:val="0"/>
          <w:kern w:val="2"/>
          <w:sz w:val="32"/>
          <w:szCs w:val="32"/>
          <w:highlight w:val="none"/>
          <w:lang w:val="en-US" w:eastAsia="zh-CN" w:bidi="ar-SA"/>
        </w:rPr>
        <w:t>托现有产</w:t>
      </w:r>
      <w:r>
        <w:rPr>
          <w:rFonts w:hint="default" w:ascii="Times New Roman" w:hAnsi="Times New Roman" w:cs="Times New Roman"/>
          <w:b w:val="0"/>
          <w:bCs w:val="0"/>
          <w:spacing w:val="0"/>
          <w:sz w:val="32"/>
          <w:highlight w:val="none"/>
          <w:lang w:val="en-US" w:eastAsia="zh-CN"/>
        </w:rPr>
        <w:t>业基础，</w:t>
      </w:r>
      <w:r>
        <w:rPr>
          <w:rFonts w:hint="default" w:ascii="Times New Roman" w:hAnsi="Times New Roman" w:cs="Times New Roman"/>
          <w:b w:val="0"/>
          <w:bCs w:val="0"/>
          <w:spacing w:val="0"/>
          <w:sz w:val="32"/>
          <w:highlight w:val="none"/>
        </w:rPr>
        <w:t>重点发展</w:t>
      </w:r>
      <w:r>
        <w:rPr>
          <w:rFonts w:hint="default" w:ascii="Times New Roman" w:hAnsi="Times New Roman" w:cs="Times New Roman"/>
          <w:b w:val="0"/>
          <w:bCs w:val="0"/>
          <w:spacing w:val="0"/>
          <w:sz w:val="32"/>
          <w:highlight w:val="none"/>
          <w:lang w:val="en-US" w:eastAsia="zh-CN"/>
        </w:rPr>
        <w:t>智能农业装备、能源装备、新</w:t>
      </w:r>
      <w:r>
        <w:rPr>
          <w:rFonts w:hint="default" w:ascii="Times New Roman" w:hAnsi="Times New Roman" w:cs="Times New Roman"/>
          <w:b w:val="0"/>
          <w:bCs w:val="0"/>
          <w:spacing w:val="0"/>
          <w:sz w:val="32"/>
          <w:highlight w:val="none"/>
        </w:rPr>
        <w:t>能源汽车关键零部件，形成重点引领、优势突出的高端装备产业体系</w:t>
      </w:r>
      <w:r>
        <w:rPr>
          <w:rFonts w:hint="default" w:ascii="Times New Roman" w:hAnsi="Times New Roman" w:eastAsia="仿宋_GB2312" w:cs="Times New Roman"/>
          <w:b w:val="0"/>
          <w:bCs w:val="0"/>
          <w:color w:val="auto"/>
          <w:spacing w:val="0"/>
          <w:kern w:val="2"/>
          <w:sz w:val="32"/>
          <w:szCs w:val="32"/>
          <w:highlight w:val="none"/>
          <w:lang w:val="en-US" w:eastAsia="zh-CN" w:bidi="ar-SA"/>
        </w:rPr>
        <w:t>。智能农业装备方面，围</w:t>
      </w:r>
      <w:r>
        <w:rPr>
          <w:rFonts w:hint="default" w:ascii="Times New Roman" w:hAnsi="Times New Roman" w:cs="Times New Roman"/>
          <w:b w:val="0"/>
          <w:bCs w:val="0"/>
          <w:spacing w:val="0"/>
          <w:kern w:val="2"/>
          <w:sz w:val="32"/>
          <w:szCs w:val="24"/>
          <w:highlight w:val="none"/>
          <w:lang w:val="en-US" w:eastAsia="zh-CN" w:bidi="ar-SA"/>
        </w:rPr>
        <w:t>绕特色农业应用场景，依托</w:t>
      </w:r>
      <w:r>
        <w:rPr>
          <w:rFonts w:hint="default" w:ascii="Times New Roman" w:hAnsi="Times New Roman" w:eastAsia="仿宋_GB2312" w:cs="Times New Roman"/>
          <w:b w:val="0"/>
          <w:bCs w:val="0"/>
          <w:spacing w:val="0"/>
          <w:kern w:val="2"/>
          <w:sz w:val="32"/>
          <w:szCs w:val="24"/>
          <w:highlight w:val="none"/>
          <w:lang w:val="en-US" w:eastAsia="zh-CN" w:bidi="ar-SA"/>
        </w:rPr>
        <w:t>“AI视觉+边缘计算”</w:t>
      </w:r>
      <w:r>
        <w:rPr>
          <w:rFonts w:hint="default" w:ascii="Times New Roman" w:hAnsi="Times New Roman" w:cs="Times New Roman"/>
          <w:b w:val="0"/>
          <w:bCs w:val="0"/>
          <w:spacing w:val="0"/>
          <w:kern w:val="2"/>
          <w:sz w:val="32"/>
          <w:szCs w:val="24"/>
          <w:highlight w:val="none"/>
          <w:lang w:val="en-US" w:eastAsia="zh-CN" w:bidi="ar-SA"/>
        </w:rPr>
        <w:t>发展</w:t>
      </w:r>
      <w:r>
        <w:rPr>
          <w:rFonts w:hint="default" w:ascii="Times New Roman" w:hAnsi="Times New Roman" w:eastAsia="仿宋_GB2312" w:cs="Times New Roman"/>
          <w:b w:val="0"/>
          <w:bCs w:val="0"/>
          <w:spacing w:val="0"/>
          <w:kern w:val="2"/>
          <w:sz w:val="32"/>
          <w:szCs w:val="24"/>
          <w:highlight w:val="none"/>
          <w:lang w:val="en-US" w:eastAsia="zh-CN" w:bidi="ar-SA"/>
        </w:rPr>
        <w:t>巡检、施肥、喷药、采摘</w:t>
      </w:r>
      <w:r>
        <w:rPr>
          <w:rFonts w:hint="default" w:ascii="Times New Roman" w:hAnsi="Times New Roman" w:cs="Times New Roman"/>
          <w:b w:val="0"/>
          <w:bCs w:val="0"/>
          <w:spacing w:val="0"/>
          <w:kern w:val="2"/>
          <w:sz w:val="32"/>
          <w:szCs w:val="24"/>
          <w:highlight w:val="none"/>
          <w:lang w:val="en-US" w:eastAsia="zh-CN" w:bidi="ar-SA"/>
        </w:rPr>
        <w:t>机器人等智慧农机产品，</w:t>
      </w:r>
      <w:r>
        <w:rPr>
          <w:rFonts w:hint="default" w:ascii="Times New Roman" w:hAnsi="Times New Roman" w:cs="Times New Roman"/>
          <w:b w:val="0"/>
          <w:bCs w:val="0"/>
          <w:spacing w:val="0"/>
          <w:sz w:val="32"/>
          <w:highlight w:val="none"/>
        </w:rPr>
        <w:t>应用数字网络、人工智能、远程控制等先进技术</w:t>
      </w:r>
      <w:r>
        <w:rPr>
          <w:rFonts w:hint="eastAsia"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rPr>
        <w:t>实现</w:t>
      </w:r>
      <w:r>
        <w:rPr>
          <w:rFonts w:hint="default" w:ascii="Times New Roman" w:hAnsi="Times New Roman" w:cs="Times New Roman"/>
          <w:b w:val="0"/>
          <w:bCs w:val="0"/>
          <w:spacing w:val="0"/>
          <w:sz w:val="32"/>
          <w:highlight w:val="none"/>
          <w:lang w:val="en-US" w:eastAsia="zh-CN"/>
        </w:rPr>
        <w:t>农机</w:t>
      </w:r>
      <w:r>
        <w:rPr>
          <w:rFonts w:hint="default" w:ascii="Times New Roman" w:hAnsi="Times New Roman" w:cs="Times New Roman"/>
          <w:b w:val="0"/>
          <w:bCs w:val="0"/>
          <w:spacing w:val="0"/>
          <w:sz w:val="32"/>
          <w:highlight w:val="none"/>
        </w:rPr>
        <w:t>故障及作业性能远程监测、实时诊断和自动控制，促进</w:t>
      </w:r>
      <w:r>
        <w:rPr>
          <w:rFonts w:hint="default" w:ascii="Times New Roman" w:hAnsi="Times New Roman" w:cs="Times New Roman"/>
          <w:b w:val="0"/>
          <w:bCs w:val="0"/>
          <w:spacing w:val="0"/>
          <w:sz w:val="32"/>
          <w:highlight w:val="none"/>
          <w:lang w:val="en-US" w:eastAsia="zh-CN"/>
        </w:rPr>
        <w:t>农机</w:t>
      </w:r>
      <w:r>
        <w:rPr>
          <w:rFonts w:hint="default" w:ascii="Times New Roman" w:hAnsi="Times New Roman" w:cs="Times New Roman"/>
          <w:b w:val="0"/>
          <w:bCs w:val="0"/>
          <w:spacing w:val="0"/>
          <w:sz w:val="32"/>
          <w:highlight w:val="none"/>
        </w:rPr>
        <w:t>装备向高端化、智能化、大型化、多功能化发展。</w:t>
      </w:r>
      <w:r>
        <w:rPr>
          <w:rFonts w:hint="default" w:ascii="Times New Roman" w:hAnsi="Times New Roman" w:eastAsia="仿宋_GB2312" w:cs="Times New Roman"/>
          <w:b w:val="0"/>
          <w:bCs w:val="0"/>
          <w:color w:val="auto"/>
          <w:spacing w:val="0"/>
          <w:kern w:val="2"/>
          <w:sz w:val="32"/>
          <w:szCs w:val="32"/>
          <w:highlight w:val="none"/>
          <w:lang w:val="en-US" w:eastAsia="zh-CN" w:bidi="ar-SA"/>
        </w:rPr>
        <w:t>能源装备方面，依托新材料领域产品优势，将新型清洁能源产业急</w:t>
      </w:r>
      <w:r>
        <w:rPr>
          <w:rFonts w:hint="default" w:ascii="Times New Roman" w:hAnsi="Times New Roman" w:cs="Times New Roman"/>
          <w:b w:val="0"/>
          <w:bCs w:val="0"/>
          <w:spacing w:val="0"/>
          <w:sz w:val="32"/>
          <w:highlight w:val="none"/>
          <w:lang w:val="en-US" w:eastAsia="zh-CN"/>
        </w:rPr>
        <w:t>需装备作为重点招引方向，将东里绿动力产业园打造成为区域</w:t>
      </w:r>
      <w:r>
        <w:rPr>
          <w:rFonts w:hint="default" w:ascii="Times New Roman" w:hAnsi="Times New Roman" w:cs="Times New Roman"/>
          <w:b w:val="0"/>
          <w:bCs w:val="0"/>
          <w:spacing w:val="0"/>
          <w:sz w:val="32"/>
          <w:highlight w:val="none"/>
        </w:rPr>
        <w:t>能源装备研发制造基地。</w:t>
      </w:r>
      <w:r>
        <w:rPr>
          <w:rFonts w:hint="default" w:ascii="Times New Roman" w:hAnsi="Times New Roman" w:eastAsia="仿宋_GB2312" w:cs="Times New Roman"/>
          <w:b w:val="0"/>
          <w:bCs w:val="0"/>
          <w:color w:val="auto"/>
          <w:spacing w:val="0"/>
          <w:kern w:val="2"/>
          <w:sz w:val="32"/>
          <w:szCs w:val="32"/>
          <w:highlight w:val="none"/>
          <w:lang w:val="en-US" w:eastAsia="zh-CN" w:bidi="ar-SA"/>
        </w:rPr>
        <w:t>新能源汽车关键零部件方面，加快</w:t>
      </w:r>
      <w:r>
        <w:rPr>
          <w:rFonts w:hint="default" w:ascii="Times New Roman" w:hAnsi="Times New Roman" w:cs="Times New Roman"/>
          <w:b w:val="0"/>
          <w:bCs w:val="0"/>
          <w:spacing w:val="0"/>
          <w:sz w:val="32"/>
          <w:highlight w:val="none"/>
        </w:rPr>
        <w:t>发展新能源汽车用动力电池、驱动电机、精密减速器、电控系统、电池管理系统、混合动力汽车用动力耦合及传动装置等新能源汽车关键零部件</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lang w:val="en-US" w:eastAsia="zh-CN"/>
        </w:rPr>
        <w:t>提升</w:t>
      </w:r>
      <w:r>
        <w:rPr>
          <w:rFonts w:hint="default" w:ascii="Times New Roman" w:hAnsi="Times New Roman" w:cs="Times New Roman"/>
          <w:b w:val="0"/>
          <w:bCs w:val="0"/>
          <w:spacing w:val="0"/>
          <w:sz w:val="32"/>
          <w:highlight w:val="none"/>
        </w:rPr>
        <w:t>车身及汽车关键零部件轻量化材料及成形技术</w:t>
      </w:r>
      <w:r>
        <w:rPr>
          <w:rFonts w:hint="default" w:ascii="Times New Roman" w:hAnsi="Times New Roman" w:cs="Times New Roman"/>
          <w:b w:val="0"/>
          <w:bCs w:val="0"/>
          <w:spacing w:val="0"/>
          <w:sz w:val="32"/>
          <w:highlight w:val="none"/>
          <w:lang w:val="en-US" w:eastAsia="zh-CN"/>
        </w:rPr>
        <w:t>水平</w:t>
      </w:r>
      <w:r>
        <w:rPr>
          <w:rFonts w:hint="default" w:ascii="Times New Roman" w:hAnsi="Times New Roman" w:cs="Times New Roman"/>
          <w:b w:val="0"/>
          <w:bCs w:val="0"/>
          <w:spacing w:val="0"/>
          <w:sz w:val="32"/>
          <w:highlight w:val="none"/>
          <w:lang w:eastAsia="zh-CN"/>
        </w:rPr>
        <w:t>，</w:t>
      </w:r>
      <w:r>
        <w:rPr>
          <w:rFonts w:hint="default" w:ascii="Times New Roman" w:hAnsi="Times New Roman" w:cs="Times New Roman"/>
          <w:b w:val="0"/>
          <w:bCs w:val="0"/>
          <w:spacing w:val="0"/>
          <w:sz w:val="32"/>
          <w:highlight w:val="none"/>
        </w:rPr>
        <w:t>构建支撑新能源汽车发展的高水平配套体系。</w:t>
      </w:r>
      <w:r>
        <w:rPr>
          <w:rFonts w:hint="default" w:ascii="Times New Roman" w:hAnsi="Times New Roman" w:cs="Times New Roman"/>
          <w:b w:val="0"/>
          <w:bCs w:val="0"/>
          <w:spacing w:val="0"/>
          <w:sz w:val="32"/>
          <w:highlight w:val="none"/>
          <w:lang w:val="en-US" w:eastAsia="zh-CN"/>
        </w:rPr>
        <w:t>包装装备方面，加快推进鲁创自动化集装袋产业化项目，打造全国重要的集装袋自动化生产基地。精密零部件方面，聚焦高精度叶轮、叶片，打造高档数控机床产业化与精密</w:t>
      </w:r>
      <w:r>
        <w:rPr>
          <w:rFonts w:hint="default" w:ascii="Times New Roman" w:hAnsi="Times New Roman" w:cs="Times New Roman"/>
          <w:b w:val="0"/>
          <w:bCs w:val="0"/>
          <w:spacing w:val="-6"/>
          <w:sz w:val="32"/>
          <w:highlight w:val="none"/>
          <w:lang w:val="en-US" w:eastAsia="zh-CN"/>
        </w:rPr>
        <w:t>零部件制造基地。工业机器人方面，发展可应用于核电（抗辐射）、桥梁（大跨度）等高端场景的自动化切割及焊接机器人。</w:t>
      </w:r>
    </w:p>
    <w:tbl>
      <w:tblPr>
        <w:tblStyle w:val="16"/>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7"/>
      </w:tblGrid>
      <w:tr w14:paraId="18EF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47" w:type="dxa"/>
            <w:vAlign w:val="center"/>
          </w:tcPr>
          <w:p w14:paraId="77144AE0">
            <w:pPr>
              <w:pStyle w:val="26"/>
              <w:bidi w:val="0"/>
              <w:rPr>
                <w:rFonts w:hint="default" w:ascii="Times New Roman" w:hAnsi="Times New Roman" w:cs="Times New Roman"/>
                <w:highlight w:val="none"/>
              </w:rPr>
            </w:pPr>
            <w:r>
              <w:rPr>
                <w:rFonts w:hint="default" w:ascii="Times New Roman" w:hAnsi="Times New Roman" w:cs="Times New Roman"/>
                <w:highlight w:val="none"/>
              </w:rPr>
              <w:t>专栏</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w:t>
            </w:r>
            <w:r>
              <w:rPr>
                <w:rFonts w:hint="default" w:ascii="Times New Roman" w:hAnsi="Times New Roman" w:cs="Times New Roman"/>
                <w:highlight w:val="none"/>
                <w:lang w:val="en-US" w:eastAsia="zh-CN"/>
              </w:rPr>
              <w:t>制造业提升</w:t>
            </w:r>
            <w:r>
              <w:rPr>
                <w:rFonts w:hint="default" w:ascii="Times New Roman" w:hAnsi="Times New Roman" w:cs="Times New Roman"/>
                <w:highlight w:val="none"/>
              </w:rPr>
              <w:t>行动</w:t>
            </w:r>
          </w:p>
        </w:tc>
      </w:tr>
      <w:tr w14:paraId="62AD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8547" w:type="dxa"/>
            <w:vAlign w:val="center"/>
          </w:tcPr>
          <w:p w14:paraId="43907F61">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推动融合发展。加强源头技术供给，加快推动创新突破和融合应用，促进</w:t>
            </w:r>
            <w:r>
              <w:rPr>
                <w:rFonts w:hint="default" w:ascii="Times New Roman" w:hAnsi="Times New Roman" w:eastAsia="仿宋_GB2312" w:cs="Times New Roman"/>
                <w:b w:val="0"/>
                <w:bCs w:val="0"/>
                <w:kern w:val="0"/>
                <w:sz w:val="24"/>
                <w:szCs w:val="24"/>
                <w:highlight w:val="none"/>
                <w:lang w:val="en-US" w:eastAsia="zh-CN"/>
              </w:rPr>
              <w:t>五大优势产业集群</w:t>
            </w:r>
            <w:r>
              <w:rPr>
                <w:rFonts w:hint="default" w:ascii="Times New Roman" w:hAnsi="Times New Roman" w:eastAsia="仿宋_GB2312" w:cs="Times New Roman"/>
                <w:b w:val="0"/>
                <w:bCs w:val="0"/>
                <w:kern w:val="0"/>
                <w:sz w:val="24"/>
                <w:szCs w:val="24"/>
                <w:highlight w:val="none"/>
              </w:rPr>
              <w:t>与前沿科技深度融合；立足县域特色优势产业，发挥</w:t>
            </w:r>
            <w:r>
              <w:rPr>
                <w:rFonts w:hint="default" w:ascii="Times New Roman" w:hAnsi="Times New Roman" w:eastAsia="仿宋_GB2312" w:cs="Times New Roman"/>
                <w:b w:val="0"/>
                <w:bCs w:val="0"/>
                <w:kern w:val="0"/>
                <w:sz w:val="24"/>
                <w:szCs w:val="24"/>
                <w:highlight w:val="none"/>
                <w:lang w:val="en-US" w:eastAsia="zh-CN"/>
              </w:rPr>
              <w:t>骨干</w:t>
            </w:r>
            <w:r>
              <w:rPr>
                <w:rFonts w:hint="default" w:ascii="Times New Roman" w:hAnsi="Times New Roman" w:eastAsia="仿宋_GB2312" w:cs="Times New Roman"/>
                <w:b w:val="0"/>
                <w:bCs w:val="0"/>
                <w:kern w:val="0"/>
                <w:sz w:val="24"/>
                <w:szCs w:val="24"/>
                <w:highlight w:val="none"/>
              </w:rPr>
              <w:t>企业引领作用，吸引集聚一批优质中小企业，促进产业链上下游协作配套，积极培育中小企业特色产业集群。</w:t>
            </w:r>
          </w:p>
          <w:p w14:paraId="213364AC">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lang w:val="en-US" w:eastAsia="zh-CN"/>
              </w:rPr>
              <w:t>创新</w:t>
            </w:r>
            <w:r>
              <w:rPr>
                <w:rFonts w:hint="default" w:ascii="Times New Roman" w:hAnsi="Times New Roman" w:eastAsia="仿宋_GB2312" w:cs="Times New Roman"/>
                <w:b w:val="0"/>
                <w:bCs w:val="0"/>
                <w:kern w:val="0"/>
                <w:sz w:val="24"/>
                <w:szCs w:val="24"/>
                <w:highlight w:val="none"/>
              </w:rPr>
              <w:t>应用场景。打造新技术场景创新应用生态，以场景为牵引</w:t>
            </w:r>
            <w:r>
              <w:rPr>
                <w:rFonts w:hint="default" w:ascii="Times New Roman" w:hAnsi="Times New Roman" w:eastAsia="仿宋_GB2312" w:cs="Times New Roman"/>
                <w:b w:val="0"/>
                <w:bCs w:val="0"/>
                <w:kern w:val="0"/>
                <w:sz w:val="24"/>
                <w:szCs w:val="24"/>
                <w:highlight w:val="none"/>
                <w:lang w:eastAsia="zh-CN"/>
              </w:rPr>
              <w:t>，</w:t>
            </w:r>
            <w:r>
              <w:rPr>
                <w:rFonts w:hint="default" w:ascii="Times New Roman" w:hAnsi="Times New Roman" w:eastAsia="仿宋_GB2312" w:cs="Times New Roman"/>
                <w:b w:val="0"/>
                <w:bCs w:val="0"/>
                <w:kern w:val="0"/>
                <w:sz w:val="24"/>
                <w:szCs w:val="24"/>
                <w:highlight w:val="none"/>
                <w:lang w:val="en-US" w:eastAsia="zh-CN"/>
              </w:rPr>
              <w:t>以</w:t>
            </w:r>
            <w:r>
              <w:rPr>
                <w:rFonts w:hint="default" w:ascii="Times New Roman" w:hAnsi="Times New Roman" w:eastAsia="仿宋_GB2312" w:cs="Times New Roman"/>
                <w:b w:val="0"/>
                <w:bCs w:val="0"/>
                <w:kern w:val="0"/>
                <w:sz w:val="24"/>
                <w:szCs w:val="24"/>
                <w:highlight w:val="none"/>
              </w:rPr>
              <w:t>应用为导向，实施应用场景招商，定期发布前沿赛道产业应用场景机会清单，谋划和打造一批具有</w:t>
            </w:r>
            <w:r>
              <w:rPr>
                <w:rFonts w:hint="default" w:ascii="Times New Roman" w:hAnsi="Times New Roman" w:eastAsia="仿宋_GB2312" w:cs="Times New Roman"/>
                <w:b w:val="0"/>
                <w:bCs w:val="0"/>
                <w:kern w:val="0"/>
                <w:sz w:val="24"/>
                <w:szCs w:val="24"/>
                <w:highlight w:val="none"/>
                <w:lang w:val="en-US" w:eastAsia="zh-CN"/>
              </w:rPr>
              <w:t>沂源</w:t>
            </w:r>
            <w:r>
              <w:rPr>
                <w:rFonts w:hint="default" w:ascii="Times New Roman" w:hAnsi="Times New Roman" w:eastAsia="仿宋_GB2312" w:cs="Times New Roman"/>
                <w:b w:val="0"/>
                <w:bCs w:val="0"/>
                <w:kern w:val="0"/>
                <w:sz w:val="24"/>
                <w:szCs w:val="24"/>
                <w:highlight w:val="none"/>
              </w:rPr>
              <w:t>特色的超级场景，形成一批具有推广价值和带动作用的示范场景，加快形成大规模商业应用，构筑制造业新增长极。</w:t>
            </w:r>
          </w:p>
          <w:p w14:paraId="003FE896">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lang w:val="en-US" w:eastAsia="zh-CN"/>
              </w:rPr>
              <w:t>推动技术改造</w:t>
            </w:r>
            <w:r>
              <w:rPr>
                <w:rFonts w:hint="default" w:ascii="Times New Roman" w:hAnsi="Times New Roman" w:eastAsia="仿宋_GB2312" w:cs="Times New Roman"/>
                <w:b w:val="0"/>
                <w:bCs w:val="0"/>
                <w:kern w:val="0"/>
                <w:sz w:val="24"/>
                <w:szCs w:val="24"/>
                <w:highlight w:val="none"/>
              </w:rPr>
              <w:t>。全力争取设备奖补、贷款贴息等技改支持政策，搭建技改对接服务平台，分行业梳理一批高质量技改典型案例、遴选一批高水平技改服务商，为企业量身定制技术改造和设备更新方案，推动生产换线、机器换人、设备换芯，促进产业基础高级化和产业链现代化。</w:t>
            </w:r>
          </w:p>
          <w:p w14:paraId="4EA1FB73">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lang w:val="en-US" w:eastAsia="zh-CN"/>
              </w:rPr>
              <w:t>实现绿色</w:t>
            </w:r>
            <w:r>
              <w:rPr>
                <w:rFonts w:hint="default" w:ascii="Times New Roman" w:hAnsi="Times New Roman" w:eastAsia="仿宋_GB2312" w:cs="Times New Roman"/>
                <w:b w:val="0"/>
                <w:bCs w:val="0"/>
                <w:kern w:val="0"/>
                <w:sz w:val="24"/>
                <w:szCs w:val="24"/>
                <w:highlight w:val="none"/>
              </w:rPr>
              <w:t>发展。实施高耗能、高排放项目精准管理，引导企业开展设备更新、工艺升级、流程优化，以节能降碳和绿色转型为牵引，大力推广合同能源管理、合同节水管理、环境污染第三方治理等模式，支持传统产业向绿色低碳方向发展。</w:t>
            </w:r>
          </w:p>
          <w:p w14:paraId="652229AA">
            <w:pPr>
              <w:pStyle w:val="27"/>
              <w:keepNext w:val="0"/>
              <w:keepLines w:val="0"/>
              <w:pageBreakBefore w:val="0"/>
              <w:widowControl w:val="0"/>
              <w:kinsoku/>
              <w:wordWrap/>
              <w:overflowPunct/>
              <w:topLinePunct w:val="0"/>
              <w:autoSpaceDE/>
              <w:autoSpaceDN/>
              <w:bidi w:val="0"/>
              <w:adjustRightInd/>
              <w:snapToGrid/>
              <w:spacing w:line="400" w:lineRule="exact"/>
              <w:ind w:firstLine="422"/>
              <w:jc w:val="both"/>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kern w:val="0"/>
                <w:sz w:val="24"/>
                <w:szCs w:val="24"/>
                <w:highlight w:val="none"/>
                <w:lang w:val="en-US" w:eastAsia="zh-CN"/>
              </w:rPr>
              <w:t>推动实数融合。</w:t>
            </w:r>
            <w:r>
              <w:rPr>
                <w:rFonts w:hint="default" w:ascii="Times New Roman" w:hAnsi="Times New Roman" w:eastAsia="仿宋_GB2312" w:cs="Times New Roman"/>
                <w:b w:val="0"/>
                <w:bCs w:val="0"/>
                <w:kern w:val="36"/>
                <w:sz w:val="24"/>
                <w:szCs w:val="24"/>
                <w:highlight w:val="none"/>
                <w:lang w:val="en-US" w:eastAsia="zh-CN"/>
              </w:rPr>
              <w:t>聚焦基础设施夯底座、数据要素激活力、数字技术强应用、数字转型释潜力，深入实施“工赋沂源”行动，</w:t>
            </w:r>
            <w:r>
              <w:rPr>
                <w:rFonts w:hint="default" w:ascii="Times New Roman" w:hAnsi="Times New Roman" w:eastAsia="仿宋_GB2312" w:cs="Times New Roman"/>
                <w:b w:val="0"/>
                <w:bCs w:val="0"/>
                <w:kern w:val="0"/>
                <w:sz w:val="24"/>
                <w:szCs w:val="24"/>
                <w:highlight w:val="none"/>
                <w:lang w:val="en-US" w:eastAsia="zh-CN"/>
              </w:rPr>
              <w:t>扎实推动工业企业智改数转网联，</w:t>
            </w:r>
            <w:r>
              <w:rPr>
                <w:rFonts w:hint="default" w:ascii="Times New Roman" w:hAnsi="Times New Roman" w:eastAsia="仿宋_GB2312" w:cs="Times New Roman"/>
                <w:b w:val="0"/>
                <w:bCs w:val="0"/>
                <w:kern w:val="36"/>
                <w:sz w:val="24"/>
                <w:szCs w:val="24"/>
                <w:highlight w:val="none"/>
                <w:lang w:val="en-US" w:eastAsia="zh-CN"/>
              </w:rPr>
              <w:t>加快培育工业互联网平台，推动数字化车间建设，打造新一代信息技术融合应用典型场景，建设一批智能车间、智慧工厂，将人工智能深度融入工业各环节，打通供需信息壁垒，全面推动数字经济发展提质增效。</w:t>
            </w:r>
          </w:p>
        </w:tc>
      </w:tr>
    </w:tbl>
    <w:p w14:paraId="60BB1911">
      <w:pPr>
        <w:pStyle w:val="3"/>
        <w:keepNext/>
        <w:keepLines/>
        <w:pageBreakBefore w:val="0"/>
        <w:widowControl w:val="0"/>
        <w:kinsoku/>
        <w:wordWrap/>
        <w:overflowPunct/>
        <w:topLinePunct w:val="0"/>
        <w:autoSpaceDE/>
        <w:autoSpaceDN/>
        <w:bidi w:val="0"/>
        <w:adjustRightInd/>
        <w:snapToGrid/>
        <w:spacing w:before="313" w:beforeLines="100" w:line="560" w:lineRule="exact"/>
        <w:textAlignment w:val="auto"/>
        <w:rPr>
          <w:rFonts w:hint="default" w:ascii="Times New Roman" w:hAnsi="Times New Roman" w:cs="Times New Roman"/>
          <w:highlight w:val="none"/>
        </w:rPr>
      </w:pPr>
      <w:bookmarkStart w:id="29" w:name="_Toc31596"/>
      <w:bookmarkStart w:id="30" w:name="_Toc25558_WPSOffice_Level2"/>
      <w:r>
        <w:rPr>
          <w:rFonts w:hint="default" w:ascii="Times New Roman" w:hAnsi="Times New Roman" w:cs="Times New Roman"/>
          <w:sz w:val="32"/>
          <w:szCs w:val="22"/>
          <w:highlight w:val="none"/>
        </w:rPr>
        <w:t>第二节  进一步壮大现代服务业产业规模</w:t>
      </w:r>
      <w:bookmarkEnd w:id="29"/>
      <w:bookmarkEnd w:id="30"/>
    </w:p>
    <w:p w14:paraId="011EEB0F">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rPr>
        <w:t>以现代服务业供给侧结构性改革为主线，推动生产性服务业专业化高端化发展，提升丰富生活</w:t>
      </w:r>
      <w:r>
        <w:rPr>
          <w:rFonts w:hint="default" w:ascii="Times New Roman" w:hAnsi="Times New Roman" w:cs="Times New Roman"/>
          <w:b w:val="0"/>
          <w:bCs w:val="0"/>
          <w:color w:val="auto"/>
          <w:sz w:val="32"/>
          <w:szCs w:val="32"/>
          <w:highlight w:val="none"/>
          <w:lang w:val="en-US" w:eastAsia="zh-CN"/>
        </w:rPr>
        <w:t>性</w:t>
      </w:r>
      <w:r>
        <w:rPr>
          <w:rFonts w:hint="default" w:ascii="Times New Roman" w:hAnsi="Times New Roman" w:eastAsia="仿宋_GB2312" w:cs="Times New Roman"/>
          <w:b w:val="0"/>
          <w:bCs w:val="0"/>
          <w:color w:val="auto"/>
          <w:sz w:val="32"/>
          <w:szCs w:val="32"/>
          <w:highlight w:val="none"/>
        </w:rPr>
        <w:t>服务业品质内涵</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进一步壮大</w:t>
      </w:r>
      <w:r>
        <w:rPr>
          <w:rFonts w:hint="default" w:ascii="Times New Roman" w:hAnsi="Times New Roman" w:eastAsia="仿宋_GB2312" w:cs="Times New Roman"/>
          <w:b w:val="0"/>
          <w:bCs w:val="0"/>
          <w:color w:val="auto"/>
          <w:sz w:val="32"/>
          <w:szCs w:val="32"/>
          <w:highlight w:val="none"/>
          <w:lang w:val="en-US" w:eastAsia="zh-CN"/>
        </w:rPr>
        <w:t>现代服务业</w:t>
      </w:r>
      <w:r>
        <w:rPr>
          <w:rFonts w:hint="default" w:ascii="Times New Roman" w:hAnsi="Times New Roman" w:eastAsia="仿宋_GB2312" w:cs="Times New Roman"/>
          <w:b w:val="0"/>
          <w:bCs w:val="0"/>
          <w:color w:val="auto"/>
          <w:sz w:val="32"/>
          <w:szCs w:val="32"/>
          <w:highlight w:val="none"/>
        </w:rPr>
        <w:t>产业规模，</w:t>
      </w:r>
      <w:r>
        <w:rPr>
          <w:rFonts w:hint="default" w:ascii="Times New Roman" w:hAnsi="Times New Roman" w:cs="Times New Roman"/>
          <w:b w:val="0"/>
          <w:bCs w:val="0"/>
          <w:color w:val="auto"/>
          <w:sz w:val="32"/>
          <w:szCs w:val="32"/>
          <w:highlight w:val="none"/>
          <w:lang w:val="en-US" w:eastAsia="zh-CN"/>
        </w:rPr>
        <w:t>重点打造现代物流、金融、电子商务、商贸服务、健康服务等产业，</w:t>
      </w:r>
      <w:r>
        <w:rPr>
          <w:rFonts w:hint="default" w:ascii="Times New Roman" w:hAnsi="Times New Roman" w:eastAsia="仿宋_GB2312" w:cs="Times New Roman"/>
          <w:b w:val="0"/>
          <w:bCs w:val="0"/>
          <w:color w:val="auto"/>
          <w:kern w:val="2"/>
          <w:sz w:val="32"/>
          <w:szCs w:val="32"/>
          <w:highlight w:val="none"/>
          <w:lang w:val="en-US" w:eastAsia="zh-CN" w:bidi="ar-SA"/>
        </w:rPr>
        <w:t>全面提升全县现代服务业发展综合竞争力。</w:t>
      </w:r>
    </w:p>
    <w:p w14:paraId="58F12A66">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eastAsia="zh-CN"/>
        </w:rPr>
      </w:pPr>
      <w:bookmarkStart w:id="31" w:name="_Toc23453_WPSOffice_Level3"/>
      <w:r>
        <w:rPr>
          <w:rFonts w:hint="default" w:ascii="Times New Roman" w:hAnsi="Times New Roman" w:cs="Times New Roman"/>
          <w:highlight w:val="none"/>
        </w:rPr>
        <w:t>1</w:t>
      </w:r>
      <w:r>
        <w:rPr>
          <w:rFonts w:hint="default" w:ascii="Times New Roman" w:hAnsi="Times New Roman" w:cs="Times New Roman"/>
          <w:highlight w:val="none"/>
          <w:lang w:val="en-US" w:eastAsia="zh-CN"/>
        </w:rPr>
        <w:t>.现代物流业</w:t>
      </w:r>
      <w:bookmarkEnd w:id="31"/>
    </w:p>
    <w:p w14:paraId="50F4E54E">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szCs w:val="32"/>
          <w:highlight w:val="none"/>
          <w:lang w:eastAsia="zh-CN"/>
        </w:rPr>
      </w:pPr>
      <w:r>
        <w:rPr>
          <w:rFonts w:hint="default" w:ascii="Times New Roman" w:hAnsi="Times New Roman" w:cs="Times New Roman"/>
          <w:b w:val="0"/>
          <w:bCs w:val="0"/>
          <w:szCs w:val="32"/>
          <w:highlight w:val="none"/>
        </w:rPr>
        <w:t>依托日益完善的综合交通运输体系和快速</w:t>
      </w:r>
      <w:r>
        <w:rPr>
          <w:rFonts w:hint="default" w:ascii="Times New Roman" w:hAnsi="Times New Roman" w:cs="Times New Roman"/>
          <w:b w:val="0"/>
          <w:bCs w:val="0"/>
          <w:szCs w:val="32"/>
          <w:highlight w:val="none"/>
          <w:lang w:val="en-US" w:eastAsia="zh-CN"/>
        </w:rPr>
        <w:t>提升</w:t>
      </w:r>
      <w:r>
        <w:rPr>
          <w:rFonts w:hint="default" w:ascii="Times New Roman" w:hAnsi="Times New Roman" w:cs="Times New Roman"/>
          <w:b w:val="0"/>
          <w:bCs w:val="0"/>
          <w:szCs w:val="32"/>
          <w:highlight w:val="none"/>
        </w:rPr>
        <w:t>的产业优势，构建设施完善、服务高效、管理智能的现代物流产业体系，建成具有生产组织中枢功能、服务民生消费功能、商务营运功能、物流服务创新功能的</w:t>
      </w:r>
      <w:r>
        <w:rPr>
          <w:rFonts w:hint="default" w:ascii="Times New Roman" w:hAnsi="Times New Roman" w:cs="Times New Roman"/>
          <w:b w:val="0"/>
          <w:bCs w:val="0"/>
          <w:szCs w:val="32"/>
          <w:highlight w:val="none"/>
          <w:lang w:val="en-US" w:eastAsia="zh-CN"/>
        </w:rPr>
        <w:t>鲁中地区重要物流节点</w:t>
      </w:r>
      <w:r>
        <w:rPr>
          <w:rFonts w:hint="default" w:ascii="Times New Roman" w:hAnsi="Times New Roman" w:cs="Times New Roman"/>
          <w:b w:val="0"/>
          <w:bCs w:val="0"/>
          <w:szCs w:val="32"/>
          <w:highlight w:val="none"/>
          <w:lang w:eastAsia="zh-CN"/>
        </w:rPr>
        <w:t>。</w:t>
      </w:r>
    </w:p>
    <w:p w14:paraId="3078565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Cs w:val="32"/>
          <w:highlight w:val="none"/>
          <w:lang w:eastAsia="zh-CN"/>
        </w:rPr>
      </w:pPr>
      <w:r>
        <w:rPr>
          <w:rFonts w:hint="default" w:ascii="Times New Roman" w:hAnsi="Times New Roman" w:cs="Times New Roman"/>
          <w:b w:val="0"/>
          <w:bCs w:val="0"/>
          <w:highlight w:val="none"/>
          <w:lang w:val="en-US" w:eastAsia="zh-CN"/>
        </w:rPr>
        <w:t>打造鲁中地区供应链枢纽。推动</w:t>
      </w:r>
      <w:r>
        <w:rPr>
          <w:rFonts w:hint="default" w:ascii="Times New Roman" w:hAnsi="Times New Roman" w:cs="Times New Roman"/>
          <w:b w:val="0"/>
          <w:bCs w:val="0"/>
          <w:szCs w:val="32"/>
          <w:highlight w:val="none"/>
        </w:rPr>
        <w:t>物流业务向供应链上下游延伸，</w:t>
      </w:r>
      <w:r>
        <w:rPr>
          <w:rFonts w:hint="default" w:ascii="Times New Roman" w:hAnsi="Times New Roman" w:cs="Times New Roman"/>
          <w:b w:val="0"/>
          <w:bCs w:val="0"/>
          <w:szCs w:val="32"/>
          <w:highlight w:val="none"/>
          <w:lang w:val="en-US" w:eastAsia="zh-CN"/>
        </w:rPr>
        <w:t>加快全县</w:t>
      </w:r>
      <w:r>
        <w:rPr>
          <w:rFonts w:hint="default" w:ascii="Times New Roman" w:hAnsi="Times New Roman" w:cs="Times New Roman"/>
          <w:b w:val="0"/>
          <w:bCs w:val="0"/>
          <w:szCs w:val="32"/>
          <w:highlight w:val="none"/>
        </w:rPr>
        <w:t>物流业由服务产业发展向服务生产组织转变。</w:t>
      </w:r>
      <w:r>
        <w:rPr>
          <w:rFonts w:hint="default" w:ascii="Times New Roman" w:hAnsi="Times New Roman" w:cs="Times New Roman"/>
          <w:b w:val="0"/>
          <w:bCs w:val="0"/>
          <w:szCs w:val="32"/>
          <w:highlight w:val="none"/>
          <w:lang w:val="en-US" w:eastAsia="zh-CN"/>
        </w:rPr>
        <w:t>建设</w:t>
      </w:r>
      <w:r>
        <w:rPr>
          <w:rFonts w:hint="default" w:ascii="Times New Roman" w:hAnsi="Times New Roman" w:cs="Times New Roman"/>
          <w:b w:val="0"/>
          <w:bCs w:val="0"/>
          <w:szCs w:val="32"/>
          <w:highlight w:val="none"/>
        </w:rPr>
        <w:t>鲁中数智供应链服务平台，</w:t>
      </w:r>
      <w:r>
        <w:rPr>
          <w:rFonts w:hint="default" w:ascii="Times New Roman" w:hAnsi="Times New Roman" w:cs="Times New Roman"/>
          <w:b w:val="0"/>
          <w:bCs w:val="0"/>
          <w:szCs w:val="32"/>
          <w:highlight w:val="none"/>
          <w:lang w:eastAsia="zh-CN"/>
        </w:rPr>
        <w:t>推广适合重点产业</w:t>
      </w:r>
      <w:r>
        <w:rPr>
          <w:rFonts w:hint="default" w:ascii="Times New Roman" w:hAnsi="Times New Roman" w:cs="Times New Roman"/>
          <w:b w:val="0"/>
          <w:bCs w:val="0"/>
          <w:szCs w:val="32"/>
          <w:highlight w:val="none"/>
          <w:lang w:val="en-US" w:eastAsia="zh-CN"/>
        </w:rPr>
        <w:t>发展</w:t>
      </w:r>
      <w:r>
        <w:rPr>
          <w:rFonts w:hint="default" w:ascii="Times New Roman" w:hAnsi="Times New Roman" w:cs="Times New Roman"/>
          <w:b w:val="0"/>
          <w:bCs w:val="0"/>
          <w:szCs w:val="32"/>
          <w:highlight w:val="none"/>
          <w:lang w:eastAsia="zh-CN"/>
        </w:rPr>
        <w:t>的供应链新技术和新模式，</w:t>
      </w:r>
      <w:r>
        <w:rPr>
          <w:rFonts w:hint="default" w:ascii="Times New Roman" w:hAnsi="Times New Roman" w:cs="Times New Roman"/>
          <w:b w:val="0"/>
          <w:bCs w:val="0"/>
          <w:szCs w:val="32"/>
          <w:highlight w:val="none"/>
        </w:rPr>
        <w:t>形成完整的金融供应链、物流仓储、运营服务体系</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lang w:val="en-US" w:eastAsia="zh-CN"/>
        </w:rPr>
        <w:t>打造鲁中地区供应链枢纽</w:t>
      </w:r>
      <w:r>
        <w:rPr>
          <w:rFonts w:hint="default" w:ascii="Times New Roman" w:hAnsi="Times New Roman" w:cs="Times New Roman"/>
          <w:b w:val="0"/>
          <w:bCs w:val="0"/>
          <w:szCs w:val="32"/>
          <w:highlight w:val="none"/>
        </w:rPr>
        <w:t>。支持</w:t>
      </w:r>
      <w:r>
        <w:rPr>
          <w:rFonts w:hint="default" w:ascii="Times New Roman" w:hAnsi="Times New Roman" w:cs="Times New Roman"/>
          <w:b w:val="0"/>
          <w:bCs w:val="0"/>
          <w:szCs w:val="32"/>
          <w:highlight w:val="none"/>
          <w:lang w:val="en-US" w:eastAsia="zh-CN"/>
        </w:rPr>
        <w:t>物流</w:t>
      </w:r>
      <w:r>
        <w:rPr>
          <w:rFonts w:hint="default" w:ascii="Times New Roman" w:hAnsi="Times New Roman" w:cs="Times New Roman"/>
          <w:b w:val="0"/>
          <w:bCs w:val="0"/>
          <w:szCs w:val="32"/>
          <w:highlight w:val="none"/>
        </w:rPr>
        <w:t>企业</w:t>
      </w:r>
      <w:r>
        <w:rPr>
          <w:rFonts w:hint="default" w:ascii="Times New Roman" w:hAnsi="Times New Roman" w:cs="Times New Roman"/>
          <w:b w:val="0"/>
          <w:bCs w:val="0"/>
          <w:szCs w:val="32"/>
          <w:highlight w:val="none"/>
          <w:lang w:val="en-US" w:eastAsia="zh-CN"/>
        </w:rPr>
        <w:t>与制造业企业共建供应链体系，</w:t>
      </w:r>
      <w:r>
        <w:rPr>
          <w:rFonts w:hint="default" w:ascii="Times New Roman" w:hAnsi="Times New Roman" w:cs="Times New Roman"/>
          <w:b w:val="0"/>
          <w:bCs w:val="0"/>
          <w:szCs w:val="32"/>
          <w:highlight w:val="none"/>
        </w:rPr>
        <w:t>促进现代流通与产业链深度融合，培育</w:t>
      </w:r>
      <w:r>
        <w:rPr>
          <w:rFonts w:hint="default" w:ascii="Times New Roman" w:hAnsi="Times New Roman" w:cs="Times New Roman"/>
          <w:b w:val="0"/>
          <w:bCs w:val="0"/>
          <w:szCs w:val="32"/>
          <w:highlight w:val="none"/>
          <w:lang w:val="en-US" w:eastAsia="zh-CN"/>
        </w:rPr>
        <w:t>引进</w:t>
      </w:r>
      <w:r>
        <w:rPr>
          <w:rFonts w:hint="default" w:ascii="Times New Roman" w:hAnsi="Times New Roman" w:cs="Times New Roman"/>
          <w:b w:val="0"/>
          <w:bCs w:val="0"/>
          <w:szCs w:val="32"/>
          <w:highlight w:val="none"/>
        </w:rPr>
        <w:t>一批具有</w:t>
      </w:r>
      <w:r>
        <w:rPr>
          <w:rFonts w:hint="default" w:ascii="Times New Roman" w:hAnsi="Times New Roman" w:cs="Times New Roman"/>
          <w:b w:val="0"/>
          <w:bCs w:val="0"/>
          <w:szCs w:val="32"/>
          <w:highlight w:val="none"/>
          <w:lang w:val="en-US" w:eastAsia="zh-CN"/>
        </w:rPr>
        <w:t>国内领先水平</w:t>
      </w:r>
      <w:r>
        <w:rPr>
          <w:rFonts w:hint="default" w:ascii="Times New Roman" w:hAnsi="Times New Roman" w:cs="Times New Roman"/>
          <w:b w:val="0"/>
          <w:bCs w:val="0"/>
          <w:szCs w:val="32"/>
          <w:highlight w:val="none"/>
        </w:rPr>
        <w:t>的物流供应链创新示范企业。</w:t>
      </w:r>
    </w:p>
    <w:p w14:paraId="5ED5924E">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推动物流服务模式创新升级。引导传统物流企业向多功能集成服务商转型，依托数字化、平台化升级，拓展金融、数据等增值服务，逐步由单一运输仓储向“仓储+干支线运输+末端配送”一体化服务延伸，探索“物流+贸易+金融”融合发展路径。积极培育新兴流通服务业态，加强大数据、人工智能、物联网等信息技术应用，加快发展嵌入式物流、仓配一体化物流、第四方物流等现代服务模式。加大智能仓储设备、物流机器人、车载及手持终端等装备在仓储、运输、配送全流程推广应用</w:t>
      </w:r>
      <w:r>
        <w:rPr>
          <w:rFonts w:hint="eastAsia" w:ascii="Times New Roman" w:hAnsi="Times New Roman" w:cs="Times New Roman"/>
          <w:b w:val="0"/>
          <w:bCs w:val="0"/>
          <w:highlight w:val="none"/>
          <w:lang w:val="en-US" w:eastAsia="zh-CN"/>
        </w:rPr>
        <w:t>力度</w:t>
      </w:r>
      <w:r>
        <w:rPr>
          <w:rFonts w:hint="default" w:ascii="Times New Roman" w:hAnsi="Times New Roman" w:cs="Times New Roman"/>
          <w:b w:val="0"/>
          <w:bCs w:val="0"/>
          <w:highlight w:val="none"/>
          <w:lang w:val="en-US" w:eastAsia="zh-CN"/>
        </w:rPr>
        <w:t>，全面提升物流运行效率和服务能级。</w:t>
      </w:r>
    </w:p>
    <w:p w14:paraId="4CF1EA1E">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highlight w:val="none"/>
          <w:lang w:val="en-US" w:eastAsia="zh-CN"/>
        </w:rPr>
        <w:t>积极发展多种物流业态。立足</w:t>
      </w:r>
      <w:r>
        <w:rPr>
          <w:rFonts w:hint="default" w:ascii="Times New Roman" w:hAnsi="Times New Roman" w:cs="Times New Roman"/>
          <w:b w:val="0"/>
          <w:bCs w:val="0"/>
          <w:szCs w:val="32"/>
          <w:highlight w:val="none"/>
        </w:rPr>
        <w:t>林果、蔬菜产业优势，整合现有冷链物流企业，大力发展“冷链配送＋连锁零售”“生产基地＋电商＋冷链快递＋智能菜柜”等新模式</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依托大数据、云计算、物联网、5G等技术</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构建县、镇、村三级电商物流扁平化网络节点，探索“电商产业园+物流园”融合发展新模式，在全县范围内形成层次清晰、衔接有序、高效便捷的电商物流网络体系。加快</w:t>
      </w:r>
      <w:r>
        <w:rPr>
          <w:rFonts w:hint="default" w:ascii="Times New Roman" w:hAnsi="Times New Roman" w:cs="Times New Roman"/>
          <w:b w:val="0"/>
          <w:bCs w:val="0"/>
          <w:szCs w:val="32"/>
          <w:highlight w:val="none"/>
          <w:lang w:val="en-US" w:eastAsia="zh-CN"/>
        </w:rPr>
        <w:t>打造</w:t>
      </w:r>
      <w:r>
        <w:rPr>
          <w:rFonts w:hint="default" w:ascii="Times New Roman" w:hAnsi="Times New Roman" w:cs="Times New Roman"/>
          <w:b w:val="0"/>
          <w:bCs w:val="0"/>
          <w:szCs w:val="32"/>
          <w:highlight w:val="none"/>
        </w:rPr>
        <w:t>智慧物流产业链，建设物流快递共同配送中心。鼓励现有物流园区开展信息化智能化改造，推广应用智能装备，完善智能快递箱、冷链智能自提柜等设施。积极发展农村物流，依托</w:t>
      </w:r>
      <w:r>
        <w:rPr>
          <w:rFonts w:hint="default" w:ascii="Times New Roman" w:hAnsi="Times New Roman" w:cs="Times New Roman"/>
          <w:b w:val="0"/>
          <w:bCs w:val="0"/>
          <w:szCs w:val="32"/>
          <w:highlight w:val="none"/>
          <w:lang w:val="en-US" w:eastAsia="zh-CN"/>
        </w:rPr>
        <w:t>民生综合体、</w:t>
      </w:r>
      <w:r>
        <w:rPr>
          <w:rFonts w:hint="default" w:ascii="Times New Roman" w:hAnsi="Times New Roman" w:cs="Times New Roman"/>
          <w:b w:val="0"/>
          <w:bCs w:val="0"/>
          <w:szCs w:val="32"/>
          <w:highlight w:val="none"/>
        </w:rPr>
        <w:t>农家店、农村商超、快递网点、农产品购销代办站等设施，推进三级农村物流节点体系建设，实现农村物流“最初一公里”“最后一公里”有序集散和高效配送。</w:t>
      </w:r>
    </w:p>
    <w:p w14:paraId="159D80AF">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lang w:val="en-US" w:eastAsia="zh-CN"/>
        </w:rPr>
      </w:pPr>
      <w:r>
        <w:rPr>
          <w:rFonts w:hint="default" w:ascii="Times New Roman" w:hAnsi="Times New Roman" w:cs="Times New Roman"/>
          <w:b w:val="0"/>
          <w:bCs w:val="0"/>
          <w:highlight w:val="none"/>
          <w:lang w:val="en-US" w:eastAsia="zh-CN"/>
        </w:rPr>
        <w:t>培育引进大型物流企业。依托南部物流园区位优势和功能定位，加大头部企业招引力度，瞄准京东、阿里巴巴、腾讯、新发地等国内知名物流企业及平台公司，积极引进其分公司、区域分拨中心或配送中心落户。同时，培育壮大本地物流企业，鼓励通过联盟合作、收购兼并等方式整合资源，着力</w:t>
      </w:r>
      <w:r>
        <w:rPr>
          <w:rFonts w:hint="eastAsia" w:ascii="Times New Roman" w:hAnsi="Times New Roman" w:cs="Times New Roman"/>
          <w:b w:val="0"/>
          <w:bCs w:val="0"/>
          <w:color w:val="auto"/>
          <w:highlight w:val="none"/>
          <w:lang w:val="en-US" w:eastAsia="zh-CN"/>
        </w:rPr>
        <w:t>培育</w:t>
      </w:r>
      <w:r>
        <w:rPr>
          <w:rFonts w:hint="default" w:ascii="Times New Roman" w:hAnsi="Times New Roman" w:cs="Times New Roman"/>
          <w:b w:val="0"/>
          <w:bCs w:val="0"/>
          <w:highlight w:val="none"/>
          <w:lang w:val="en-US" w:eastAsia="zh-CN"/>
        </w:rPr>
        <w:t>一批规模大、技术水平高、具有核心竞争力的龙头企业和细分市场领军企业。</w:t>
      </w:r>
    </w:p>
    <w:p w14:paraId="7880E348">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32" w:name="_Toc11207_WPSOffice_Level3"/>
      <w:r>
        <w:rPr>
          <w:rFonts w:hint="default" w:ascii="Times New Roman" w:hAnsi="Times New Roman" w:cs="Times New Roman"/>
          <w:highlight w:val="none"/>
          <w:lang w:val="en-US" w:eastAsia="zh-CN"/>
        </w:rPr>
        <w:t>2.金融业</w:t>
      </w:r>
      <w:bookmarkEnd w:id="32"/>
    </w:p>
    <w:p w14:paraId="6FB71CB9">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szCs w:val="32"/>
          <w:highlight w:val="none"/>
        </w:rPr>
        <w:t>大力培育金融服务主体，聚力发展新金融业态，进一步扩大融资规模，优化融资结构，提升金融服务实体经济能力，推动金融业高质量发展，加快构建现代化、普惠化、便利化的金融服务体系，为</w:t>
      </w:r>
      <w:r>
        <w:rPr>
          <w:rFonts w:hint="default" w:ascii="Times New Roman" w:hAnsi="Times New Roman" w:cs="Times New Roman"/>
          <w:b w:val="0"/>
          <w:bCs w:val="0"/>
          <w:szCs w:val="32"/>
          <w:highlight w:val="none"/>
          <w:lang w:val="en-US" w:eastAsia="zh-CN"/>
        </w:rPr>
        <w:t>全县</w:t>
      </w:r>
      <w:r>
        <w:rPr>
          <w:rFonts w:hint="default" w:ascii="Times New Roman" w:hAnsi="Times New Roman" w:cs="Times New Roman"/>
          <w:b w:val="0"/>
          <w:bCs w:val="0"/>
          <w:szCs w:val="32"/>
          <w:highlight w:val="none"/>
        </w:rPr>
        <w:t>经济社会高质量发展提供强力金融支撑。</w:t>
      </w:r>
    </w:p>
    <w:p w14:paraId="6E5D0DC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lang w:eastAsia="zh-CN"/>
        </w:rPr>
      </w:pPr>
      <w:r>
        <w:rPr>
          <w:rFonts w:hint="default" w:ascii="Times New Roman" w:hAnsi="Times New Roman" w:cs="Times New Roman"/>
          <w:b w:val="0"/>
          <w:bCs w:val="0"/>
          <w:highlight w:val="none"/>
          <w:lang w:val="en-US" w:eastAsia="zh-CN"/>
        </w:rPr>
        <w:t>创新金融产品和服务模式。推进金融产品、业务和服务创新，鼓励发展科技金融、绿色金融、消</w:t>
      </w:r>
      <w:r>
        <w:rPr>
          <w:rFonts w:hint="default" w:ascii="Times New Roman" w:hAnsi="Times New Roman" w:cs="Times New Roman"/>
          <w:b w:val="0"/>
          <w:bCs w:val="0"/>
          <w:szCs w:val="32"/>
          <w:highlight w:val="none"/>
        </w:rPr>
        <w:t>费金融、</w:t>
      </w:r>
      <w:r>
        <w:rPr>
          <w:rFonts w:hint="default" w:ascii="Times New Roman" w:hAnsi="Times New Roman" w:cs="Times New Roman"/>
          <w:b w:val="0"/>
          <w:bCs w:val="0"/>
          <w:szCs w:val="32"/>
          <w:highlight w:val="none"/>
          <w:lang w:val="en-US" w:eastAsia="zh-CN"/>
        </w:rPr>
        <w:t>数字金融、养老金融</w:t>
      </w:r>
      <w:r>
        <w:rPr>
          <w:rFonts w:hint="default" w:ascii="Times New Roman" w:hAnsi="Times New Roman" w:cs="Times New Roman"/>
          <w:b w:val="0"/>
          <w:bCs w:val="0"/>
          <w:szCs w:val="32"/>
          <w:highlight w:val="none"/>
        </w:rPr>
        <w:t>等金融产品和专营机构。发展创新创业金融</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发挥产业投资母基金的导向作用，做大科创基金、种子基金、天使基金规模，加大对种子期、初创期企业支持力度。鼓励发展绿色金融，推动金融资源向环保、节能、清洁能源、绿色交通和绿色建筑等领域倾斜，完善壮大绿色金融体系</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拓展金融科技应用场景，鼓励金融机构发展更加全程化、个性化、专业化的科技金融服务。积极推动领军企业在境内外资本市场上市挂牌，支持企业通过上市、发行债券扩大直接融资规模</w:t>
      </w:r>
      <w:r>
        <w:rPr>
          <w:rFonts w:hint="default" w:ascii="Times New Roman" w:hAnsi="Times New Roman" w:cs="Times New Roman"/>
          <w:b w:val="0"/>
          <w:bCs w:val="0"/>
          <w:szCs w:val="32"/>
          <w:highlight w:val="none"/>
          <w:lang w:eastAsia="zh-CN"/>
        </w:rPr>
        <w:t>。</w:t>
      </w:r>
    </w:p>
    <w:p w14:paraId="1181BDB3">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highlight w:val="none"/>
          <w:lang w:val="en-US" w:eastAsia="zh-CN"/>
        </w:rPr>
        <w:t>大力发展普惠金融。支持</w:t>
      </w:r>
      <w:r>
        <w:rPr>
          <w:rFonts w:hint="default" w:ascii="Times New Roman" w:hAnsi="Times New Roman" w:cs="Times New Roman"/>
          <w:b w:val="0"/>
          <w:bCs w:val="0"/>
          <w:szCs w:val="32"/>
          <w:highlight w:val="none"/>
        </w:rPr>
        <w:t>金融机构创新金融产品，扎根基层、服务社区，为小微企业、</w:t>
      </w:r>
      <w:r>
        <w:rPr>
          <w:rFonts w:hint="default" w:ascii="Times New Roman" w:hAnsi="Times New Roman" w:cs="Times New Roman"/>
          <w:b w:val="0"/>
          <w:bCs w:val="0"/>
          <w:szCs w:val="32"/>
          <w:highlight w:val="none"/>
          <w:lang w:eastAsia="zh-CN"/>
        </w:rPr>
        <w:t>“三农”</w:t>
      </w:r>
      <w:r>
        <w:rPr>
          <w:rFonts w:hint="default" w:ascii="Times New Roman" w:hAnsi="Times New Roman" w:cs="Times New Roman"/>
          <w:b w:val="0"/>
          <w:bCs w:val="0"/>
          <w:szCs w:val="32"/>
          <w:highlight w:val="none"/>
        </w:rPr>
        <w:t>和城镇居民提供针对性强、便利性高的金融产品</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大力推广建立农村“普惠金融服务站”，发展农村小额信贷业务，增强金融服务农村经济发展能力。大力发展现代保险服务业，继续推动农业保险、大病保险、消费信贷保险、安全责任保险等发展，不断拓宽保险的覆盖面和渗透度，为</w:t>
      </w:r>
      <w:r>
        <w:rPr>
          <w:rFonts w:hint="default" w:ascii="Times New Roman" w:hAnsi="Times New Roman" w:cs="Times New Roman"/>
          <w:b w:val="0"/>
          <w:bCs w:val="0"/>
          <w:szCs w:val="32"/>
          <w:highlight w:val="none"/>
          <w:lang w:val="en-US" w:eastAsia="zh-CN"/>
        </w:rPr>
        <w:t>全县</w:t>
      </w:r>
      <w:r>
        <w:rPr>
          <w:rFonts w:hint="default" w:ascii="Times New Roman" w:hAnsi="Times New Roman" w:cs="Times New Roman"/>
          <w:b w:val="0"/>
          <w:bCs w:val="0"/>
          <w:szCs w:val="32"/>
          <w:highlight w:val="none"/>
        </w:rPr>
        <w:t>经济社会发展提供全方位保险支持。</w:t>
      </w:r>
    </w:p>
    <w:p w14:paraId="555B3BEF">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33" w:name="_Toc27723_WPSOffice_Level3"/>
      <w:r>
        <w:rPr>
          <w:rFonts w:hint="default" w:ascii="Times New Roman" w:hAnsi="Times New Roman" w:cs="Times New Roman"/>
          <w:highlight w:val="none"/>
          <w:lang w:val="en-US" w:eastAsia="zh-CN"/>
        </w:rPr>
        <w:t>3.电子商务产业</w:t>
      </w:r>
      <w:bookmarkEnd w:id="33"/>
    </w:p>
    <w:p w14:paraId="3EFE74BE">
      <w:pPr>
        <w:pageBreakBefore w:val="0"/>
        <w:widowControl w:val="0"/>
        <w:kinsoku/>
        <w:wordWrap/>
        <w:overflowPunct/>
        <w:topLinePunct w:val="0"/>
        <w:autoSpaceDE/>
        <w:autoSpaceDN/>
        <w:bidi w:val="0"/>
        <w:adjustRightInd/>
        <w:snapToGrid/>
        <w:spacing w:line="560" w:lineRule="exact"/>
        <w:ind w:firstLine="600"/>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坚持以服务企业、带动产业、稳定外贸、促进消费为导向，依托</w:t>
      </w:r>
      <w:r>
        <w:rPr>
          <w:rFonts w:hint="default" w:ascii="Times New Roman" w:hAnsi="Times New Roman" w:cs="Times New Roman"/>
          <w:b w:val="0"/>
          <w:bCs w:val="0"/>
          <w:highlight w:val="none"/>
          <w:lang w:val="en-US" w:eastAsia="zh-CN"/>
        </w:rPr>
        <w:t>沂源县</w:t>
      </w:r>
      <w:r>
        <w:rPr>
          <w:rFonts w:hint="default" w:ascii="Times New Roman" w:hAnsi="Times New Roman" w:cs="Times New Roman"/>
          <w:b w:val="0"/>
          <w:bCs w:val="0"/>
          <w:highlight w:val="none"/>
        </w:rPr>
        <w:t>特色产业优势，</w:t>
      </w:r>
      <w:r>
        <w:rPr>
          <w:rFonts w:hint="default" w:ascii="Times New Roman" w:hAnsi="Times New Roman" w:cs="Times New Roman"/>
          <w:b w:val="0"/>
          <w:bCs w:val="0"/>
          <w:highlight w:val="none"/>
          <w:lang w:val="en-US" w:eastAsia="zh-CN"/>
        </w:rPr>
        <w:t>不断</w:t>
      </w:r>
      <w:r>
        <w:rPr>
          <w:rFonts w:hint="default" w:ascii="Times New Roman" w:hAnsi="Times New Roman" w:cs="Times New Roman"/>
          <w:b w:val="0"/>
          <w:bCs w:val="0"/>
          <w:highlight w:val="none"/>
        </w:rPr>
        <w:t>壮大电子商务产业规模，</w:t>
      </w:r>
      <w:r>
        <w:rPr>
          <w:rFonts w:hint="default" w:ascii="Times New Roman" w:hAnsi="Times New Roman" w:cs="Times New Roman"/>
          <w:b w:val="0"/>
          <w:bCs w:val="0"/>
          <w:color w:val="000000" w:themeColor="text1"/>
          <w:highlight w:val="none"/>
          <w14:textFill>
            <w14:solidFill>
              <w14:schemeClr w14:val="tx1"/>
            </w14:solidFill>
          </w14:textFill>
        </w:rPr>
        <w:t>提升发展传统网络零售，培育发展跨境电商、生活服务电商、电商服务、工业电商等电商业态，构建完善的电子商务生态链，</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建设鲁中地区</w:t>
      </w:r>
      <w:r>
        <w:rPr>
          <w:rFonts w:hint="default" w:ascii="Times New Roman" w:hAnsi="Times New Roman" w:cs="Times New Roman"/>
          <w:b w:val="0"/>
          <w:bCs w:val="0"/>
          <w:color w:val="000000" w:themeColor="text1"/>
          <w:highlight w:val="none"/>
          <w14:textFill>
            <w14:solidFill>
              <w14:schemeClr w14:val="tx1"/>
            </w14:solidFill>
          </w14:textFill>
        </w:rPr>
        <w:t>电子商务产业强县。</w:t>
      </w:r>
    </w:p>
    <w:p w14:paraId="7119A678">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highlight w:val="none"/>
          <w:lang w:val="en-US" w:eastAsia="zh-CN"/>
        </w:rPr>
        <w:t>提升传统电商发展水平。培育壮大</w:t>
      </w:r>
      <w:r>
        <w:rPr>
          <w:rFonts w:hint="default" w:ascii="Times New Roman" w:hAnsi="Times New Roman" w:cs="Times New Roman"/>
          <w:b w:val="0"/>
          <w:bCs w:val="0"/>
          <w:szCs w:val="32"/>
          <w:highlight w:val="none"/>
        </w:rPr>
        <w:t>一批具有较大影响力的电子商务品牌和较强带动能力的电子商务示范企业</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支持具备成</w:t>
      </w:r>
      <w:r>
        <w:rPr>
          <w:rFonts w:hint="default" w:ascii="Times New Roman" w:hAnsi="Times New Roman" w:cs="Times New Roman"/>
          <w:b w:val="0"/>
          <w:bCs w:val="0"/>
          <w:color w:val="000000" w:themeColor="text1"/>
          <w:highlight w:val="none"/>
          <w14:textFill>
            <w14:solidFill>
              <w14:schemeClr w14:val="tx1"/>
            </w14:solidFill>
          </w14:textFill>
        </w:rPr>
        <w:t>长潜力的电商企业做大规模、做强品牌</w:t>
      </w:r>
      <w:r>
        <w:rPr>
          <w:rFonts w:hint="default" w:ascii="Times New Roman" w:hAnsi="Times New Roman" w:cs="Times New Roman"/>
          <w:b w:val="0"/>
          <w:bCs w:val="0"/>
          <w:szCs w:val="32"/>
          <w:highlight w:val="none"/>
        </w:rPr>
        <w:t>，</w:t>
      </w:r>
      <w:r>
        <w:rPr>
          <w:rFonts w:hint="default" w:ascii="Times New Roman" w:hAnsi="Times New Roman" w:cs="Times New Roman"/>
          <w:b w:val="0"/>
          <w:bCs w:val="0"/>
          <w:color w:val="000000" w:themeColor="text1"/>
          <w:highlight w:val="none"/>
          <w14:textFill>
            <w14:solidFill>
              <w14:schemeClr w14:val="tx1"/>
            </w14:solidFill>
          </w14:textFill>
        </w:rPr>
        <w:t>扶持中小型电商企业实现差异化运营，推动本地中小电商企业接轨电商新模式、新做法</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szCs w:val="32"/>
          <w:highlight w:val="none"/>
        </w:rPr>
        <w:t>着力引进国内知名电商企业建立区域性交易平台，鼓励打造集交易、融资、培训、创新、创业等多功能为一体的电子商务创新创业载体平台。</w:t>
      </w:r>
      <w:r>
        <w:rPr>
          <w:rFonts w:hint="default" w:ascii="Times New Roman" w:hAnsi="Times New Roman" w:cs="Times New Roman"/>
          <w:b w:val="0"/>
          <w:bCs w:val="0"/>
          <w:szCs w:val="32"/>
          <w:highlight w:val="none"/>
          <w:lang w:val="en-US" w:eastAsia="zh-CN"/>
        </w:rPr>
        <w:t>立足优势产业，</w:t>
      </w:r>
      <w:r>
        <w:rPr>
          <w:rFonts w:hint="default" w:ascii="Times New Roman" w:hAnsi="Times New Roman" w:cs="Times New Roman"/>
          <w:b w:val="0"/>
          <w:bCs w:val="0"/>
          <w:szCs w:val="32"/>
          <w:highlight w:val="none"/>
        </w:rPr>
        <w:t>建设特色鲜明、规模较大、创新性强的电子商务产业集聚区，</w:t>
      </w:r>
      <w:r>
        <w:rPr>
          <w:rFonts w:hint="default" w:ascii="Times New Roman" w:hAnsi="Times New Roman" w:cs="Times New Roman"/>
          <w:b w:val="0"/>
          <w:bCs w:val="0"/>
          <w:szCs w:val="32"/>
          <w:highlight w:val="none"/>
          <w:lang w:val="en-US" w:eastAsia="zh-CN"/>
        </w:rPr>
        <w:t>重点</w:t>
      </w:r>
      <w:r>
        <w:rPr>
          <w:rFonts w:hint="default" w:ascii="Times New Roman" w:hAnsi="Times New Roman" w:cs="Times New Roman"/>
          <w:b w:val="0"/>
          <w:bCs w:val="0"/>
          <w:szCs w:val="32"/>
          <w:highlight w:val="none"/>
        </w:rPr>
        <w:t>打造</w:t>
      </w:r>
      <w:r>
        <w:rPr>
          <w:rFonts w:hint="default" w:ascii="Times New Roman" w:hAnsi="Times New Roman" w:cs="Times New Roman"/>
          <w:b w:val="0"/>
          <w:bCs w:val="0"/>
          <w:szCs w:val="32"/>
          <w:highlight w:val="none"/>
          <w:lang w:val="en-US" w:eastAsia="zh-CN"/>
        </w:rPr>
        <w:t>直播电商基地、电商物流园、</w:t>
      </w:r>
      <w:r>
        <w:rPr>
          <w:rFonts w:hint="default" w:ascii="Times New Roman" w:hAnsi="Times New Roman" w:cs="Times New Roman"/>
          <w:b w:val="0"/>
          <w:bCs w:val="0"/>
          <w:szCs w:val="32"/>
          <w:highlight w:val="none"/>
        </w:rPr>
        <w:t>电商示范镇、电商示范村、知名电商服务站等电子商务产业载体。</w:t>
      </w:r>
    </w:p>
    <w:p w14:paraId="658C42E4">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highlight w:val="none"/>
          <w:lang w:val="en-US" w:eastAsia="zh-CN"/>
        </w:rPr>
        <w:t>加快培育多种电商业态。</w:t>
      </w:r>
      <w:r>
        <w:rPr>
          <w:rFonts w:hint="default" w:ascii="Times New Roman" w:hAnsi="Times New Roman" w:eastAsia="仿宋_GB2312" w:cs="Times New Roman"/>
          <w:b w:val="0"/>
          <w:bCs w:val="0"/>
          <w:szCs w:val="32"/>
          <w:highlight w:val="none"/>
        </w:rPr>
        <w:t>工业电商</w:t>
      </w:r>
      <w:r>
        <w:rPr>
          <w:rFonts w:hint="default" w:ascii="Times New Roman" w:hAnsi="Times New Roman" w:cs="Times New Roman"/>
          <w:b w:val="0"/>
          <w:bCs w:val="0"/>
          <w:szCs w:val="32"/>
          <w:highlight w:val="none"/>
          <w:lang w:val="en-US" w:eastAsia="zh-CN"/>
        </w:rPr>
        <w:t>方面</w:t>
      </w:r>
      <w:r>
        <w:rPr>
          <w:rFonts w:hint="default" w:ascii="Times New Roman" w:hAnsi="Times New Roman" w:cs="Times New Roman"/>
          <w:b w:val="0"/>
          <w:bCs w:val="0"/>
          <w:szCs w:val="32"/>
          <w:highlight w:val="none"/>
          <w:lang w:eastAsia="zh-CN"/>
        </w:rPr>
        <w:t>，</w:t>
      </w:r>
      <w:r>
        <w:rPr>
          <w:rFonts w:hint="default" w:ascii="Times New Roman" w:hAnsi="Times New Roman" w:eastAsia="仿宋_GB2312" w:cs="Times New Roman"/>
          <w:b w:val="0"/>
          <w:bCs w:val="0"/>
          <w:szCs w:val="32"/>
          <w:highlight w:val="none"/>
          <w:lang w:val="en-US" w:eastAsia="zh-CN"/>
        </w:rPr>
        <w:t>充分</w:t>
      </w:r>
      <w:r>
        <w:rPr>
          <w:rFonts w:hint="default" w:ascii="Times New Roman" w:hAnsi="Times New Roman" w:eastAsia="仿宋_GB2312" w:cs="Times New Roman"/>
          <w:b w:val="0"/>
          <w:bCs w:val="0"/>
          <w:szCs w:val="32"/>
          <w:highlight w:val="none"/>
        </w:rPr>
        <w:t>发挥电商引导生产作用，发展以销定产和个性化定制等新型生产方式，形成“特色电子商务+特色产业”发展优势</w:t>
      </w:r>
      <w:r>
        <w:rPr>
          <w:rFonts w:hint="default" w:ascii="Times New Roman" w:hAnsi="Times New Roman" w:cs="Times New Roman"/>
          <w:b w:val="0"/>
          <w:bCs w:val="0"/>
          <w:szCs w:val="32"/>
          <w:highlight w:val="none"/>
          <w:lang w:eastAsia="zh-CN"/>
        </w:rPr>
        <w:t>；</w:t>
      </w:r>
      <w:r>
        <w:rPr>
          <w:rFonts w:hint="default" w:ascii="Times New Roman" w:hAnsi="Times New Roman" w:eastAsia="仿宋_GB2312" w:cs="Times New Roman"/>
          <w:b w:val="0"/>
          <w:bCs w:val="0"/>
          <w:szCs w:val="32"/>
          <w:highlight w:val="none"/>
          <w:lang w:val="en-US" w:eastAsia="zh-CN"/>
        </w:rPr>
        <w:t>推动</w:t>
      </w:r>
      <w:r>
        <w:rPr>
          <w:rFonts w:hint="default" w:ascii="Times New Roman" w:hAnsi="Times New Roman" w:eastAsia="仿宋_GB2312" w:cs="Times New Roman"/>
          <w:b w:val="0"/>
          <w:bCs w:val="0"/>
          <w:szCs w:val="32"/>
          <w:highlight w:val="none"/>
        </w:rPr>
        <w:t>“药吉采</w:t>
      </w:r>
      <w:r>
        <w:rPr>
          <w:rFonts w:hint="default" w:ascii="Times New Roman" w:hAnsi="Times New Roman" w:eastAsia="仿宋_GB2312" w:cs="Times New Roman"/>
          <w:b w:val="0"/>
          <w:bCs w:val="0"/>
          <w:szCs w:val="32"/>
          <w:highlight w:val="none"/>
          <w:lang w:eastAsia="zh-CN"/>
        </w:rPr>
        <w:t>”“</w:t>
      </w:r>
      <w:r>
        <w:rPr>
          <w:rFonts w:hint="default" w:ascii="Times New Roman" w:hAnsi="Times New Roman" w:eastAsia="仿宋_GB2312" w:cs="Times New Roman"/>
          <w:b w:val="0"/>
          <w:bCs w:val="0"/>
          <w:szCs w:val="32"/>
          <w:highlight w:val="none"/>
        </w:rPr>
        <w:t>智联佳医”等</w:t>
      </w:r>
      <w:r>
        <w:rPr>
          <w:rFonts w:hint="default" w:ascii="Times New Roman" w:hAnsi="Times New Roman" w:eastAsia="仿宋_GB2312" w:cs="Times New Roman"/>
          <w:b w:val="0"/>
          <w:bCs w:val="0"/>
          <w:szCs w:val="32"/>
          <w:highlight w:val="none"/>
          <w:lang w:val="en-US" w:eastAsia="zh-CN"/>
        </w:rPr>
        <w:t>医药数字化平台加快发展</w:t>
      </w:r>
      <w:r>
        <w:rPr>
          <w:rFonts w:hint="default" w:ascii="Times New Roman" w:hAnsi="Times New Roman" w:eastAsia="仿宋_GB2312" w:cs="Times New Roman"/>
          <w:b w:val="0"/>
          <w:bCs w:val="0"/>
          <w:szCs w:val="32"/>
          <w:highlight w:val="none"/>
        </w:rPr>
        <w:t>，为上下游企业提供在线交易</w:t>
      </w:r>
      <w:r>
        <w:rPr>
          <w:rFonts w:hint="default" w:ascii="Times New Roman" w:hAnsi="Times New Roman" w:eastAsia="仿宋_GB2312" w:cs="Times New Roman"/>
          <w:b w:val="0"/>
          <w:bCs w:val="0"/>
          <w:szCs w:val="32"/>
          <w:highlight w:val="none"/>
          <w:lang w:eastAsia="zh-CN"/>
        </w:rPr>
        <w:t>。</w:t>
      </w:r>
      <w:r>
        <w:rPr>
          <w:rFonts w:hint="default" w:ascii="Times New Roman" w:hAnsi="Times New Roman" w:eastAsia="仿宋_GB2312" w:cs="Times New Roman"/>
          <w:b w:val="0"/>
          <w:bCs w:val="0"/>
          <w:color w:val="000000" w:themeColor="text1"/>
          <w:spacing w:val="-6"/>
          <w:highlight w:val="none"/>
          <w14:textFill>
            <w14:solidFill>
              <w14:schemeClr w14:val="tx1"/>
            </w14:solidFill>
          </w14:textFill>
        </w:rPr>
        <w:t>跨境电商</w:t>
      </w:r>
      <w:r>
        <w:rPr>
          <w:rFonts w:hint="default" w:ascii="Times New Roman" w:hAnsi="Times New Roman" w:cs="Times New Roman"/>
          <w:b w:val="0"/>
          <w:bCs w:val="0"/>
          <w:color w:val="000000" w:themeColor="text1"/>
          <w:spacing w:val="-6"/>
          <w:highlight w:val="none"/>
          <w:lang w:val="en-US" w:eastAsia="zh-CN"/>
          <w14:textFill>
            <w14:solidFill>
              <w14:schemeClr w14:val="tx1"/>
            </w14:solidFill>
          </w14:textFill>
        </w:rPr>
        <w:t>方面，</w:t>
      </w:r>
      <w:r>
        <w:rPr>
          <w:rFonts w:hint="default" w:ascii="Times New Roman" w:hAnsi="Times New Roman" w:eastAsia="仿宋_GB2312" w:cs="Times New Roman"/>
          <w:b w:val="0"/>
          <w:bCs w:val="0"/>
          <w:spacing w:val="-6"/>
          <w:highlight w:val="none"/>
        </w:rPr>
        <w:t>鼓励企业建设跨境电商运营中心</w:t>
      </w:r>
      <w:r>
        <w:rPr>
          <w:rFonts w:hint="default" w:ascii="Times New Roman" w:hAnsi="Times New Roman" w:eastAsia="仿宋_GB2312" w:cs="Times New Roman"/>
          <w:b w:val="0"/>
          <w:bCs w:val="0"/>
          <w:spacing w:val="-6"/>
          <w:highlight w:val="none"/>
          <w:lang w:eastAsia="zh-CN"/>
        </w:rPr>
        <w:t>，</w:t>
      </w:r>
      <w:r>
        <w:rPr>
          <w:rFonts w:hint="default" w:ascii="Times New Roman" w:hAnsi="Times New Roman" w:eastAsia="仿宋_GB2312" w:cs="Times New Roman"/>
          <w:b w:val="0"/>
          <w:bCs w:val="0"/>
          <w:spacing w:val="-6"/>
          <w:highlight w:val="none"/>
        </w:rPr>
        <w:t>设立海外营销渠道和海外仓，加快发展“保税＋”新型贸易</w:t>
      </w:r>
      <w:r>
        <w:rPr>
          <w:rFonts w:hint="default" w:ascii="Times New Roman" w:hAnsi="Times New Roman" w:eastAsia="仿宋_GB2312" w:cs="Times New Roman"/>
          <w:b w:val="0"/>
          <w:bCs w:val="0"/>
          <w:spacing w:val="-6"/>
          <w:highlight w:val="none"/>
          <w:lang w:eastAsia="zh-CN"/>
        </w:rPr>
        <w:t>，</w:t>
      </w:r>
      <w:r>
        <w:rPr>
          <w:rFonts w:hint="default" w:ascii="Times New Roman" w:hAnsi="Times New Roman" w:eastAsia="仿宋_GB2312" w:cs="Times New Roman"/>
          <w:b w:val="0"/>
          <w:bCs w:val="0"/>
          <w:spacing w:val="-6"/>
          <w:highlight w:val="none"/>
        </w:rPr>
        <w:t>建立并完善跨境电子商务公共服务体系，</w:t>
      </w:r>
      <w:r>
        <w:rPr>
          <w:rFonts w:hint="default" w:ascii="Times New Roman" w:hAnsi="Times New Roman" w:eastAsia="仿宋_GB2312" w:cs="Times New Roman"/>
          <w:b w:val="0"/>
          <w:bCs w:val="0"/>
          <w:spacing w:val="-6"/>
          <w:highlight w:val="none"/>
          <w:lang w:val="en-US" w:eastAsia="zh-CN"/>
        </w:rPr>
        <w:t>打造</w:t>
      </w:r>
      <w:r>
        <w:rPr>
          <w:rFonts w:hint="default" w:ascii="Times New Roman" w:hAnsi="Times New Roman" w:cs="Times New Roman"/>
          <w:b w:val="0"/>
          <w:bCs w:val="0"/>
          <w:spacing w:val="-6"/>
          <w:highlight w:val="none"/>
          <w:lang w:val="en-US" w:eastAsia="zh-CN"/>
        </w:rPr>
        <w:t>鲁中地区具有</w:t>
      </w:r>
      <w:r>
        <w:rPr>
          <w:rFonts w:hint="default" w:ascii="Times New Roman" w:hAnsi="Times New Roman" w:eastAsia="仿宋_GB2312" w:cs="Times New Roman"/>
          <w:b w:val="0"/>
          <w:bCs w:val="0"/>
          <w:spacing w:val="-6"/>
          <w:highlight w:val="none"/>
          <w:lang w:val="en-US" w:eastAsia="zh-CN"/>
        </w:rPr>
        <w:t>影响力的跨境电商平台，力争“十五五”期间跨境电商出口额超过5亿美元</w:t>
      </w:r>
      <w:r>
        <w:rPr>
          <w:rFonts w:hint="default" w:ascii="Times New Roman" w:hAnsi="Times New Roman" w:eastAsia="仿宋_GB2312" w:cs="Times New Roman"/>
          <w:b w:val="0"/>
          <w:bCs w:val="0"/>
          <w:szCs w:val="32"/>
          <w:highlight w:val="none"/>
          <w:lang w:val="en-US" w:eastAsia="zh-CN"/>
        </w:rPr>
        <w:t>。生活服务电商</w:t>
      </w:r>
      <w:r>
        <w:rPr>
          <w:rFonts w:hint="default" w:ascii="Times New Roman" w:hAnsi="Times New Roman" w:cs="Times New Roman"/>
          <w:b w:val="0"/>
          <w:bCs w:val="0"/>
          <w:szCs w:val="32"/>
          <w:highlight w:val="none"/>
          <w:lang w:val="en-US" w:eastAsia="zh-CN"/>
        </w:rPr>
        <w:t>方面，大力推动</w:t>
      </w:r>
      <w:r>
        <w:rPr>
          <w:rFonts w:hint="default" w:ascii="Times New Roman" w:hAnsi="Times New Roman" w:cs="Times New Roman"/>
          <w:b w:val="0"/>
          <w:bCs w:val="0"/>
          <w:color w:val="000000" w:themeColor="text1"/>
          <w:highlight w:val="none"/>
          <w14:textFill>
            <w14:solidFill>
              <w14:schemeClr w14:val="tx1"/>
            </w14:solidFill>
          </w14:textFill>
        </w:rPr>
        <w:t>电子商务在高品质生活服务领域的应用，加快培育票务订购、房产交易、文化旅游、农产品销售等区域性特色服务平台。</w:t>
      </w:r>
    </w:p>
    <w:p w14:paraId="505C656D">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34" w:name="_Toc4132_WPSOffice_Level3"/>
      <w:r>
        <w:rPr>
          <w:rFonts w:hint="default" w:ascii="Times New Roman" w:hAnsi="Times New Roman" w:cs="Times New Roman"/>
          <w:highlight w:val="none"/>
          <w:lang w:val="en-US" w:eastAsia="zh-CN"/>
        </w:rPr>
        <w:t>4.商贸服务业</w:t>
      </w:r>
      <w:bookmarkEnd w:id="34"/>
    </w:p>
    <w:p w14:paraId="2926C8B8">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szCs w:val="32"/>
          <w:highlight w:val="none"/>
        </w:rPr>
        <w:t>顺应消费</w:t>
      </w:r>
      <w:r>
        <w:rPr>
          <w:rFonts w:hint="default" w:ascii="Times New Roman" w:hAnsi="Times New Roman" w:cs="Times New Roman"/>
          <w:b w:val="0"/>
          <w:bCs w:val="0"/>
          <w:szCs w:val="32"/>
          <w:highlight w:val="none"/>
          <w:lang w:val="en-US" w:eastAsia="zh-CN"/>
        </w:rPr>
        <w:t>新</w:t>
      </w:r>
      <w:r>
        <w:rPr>
          <w:rFonts w:hint="default" w:ascii="Times New Roman" w:hAnsi="Times New Roman" w:cs="Times New Roman"/>
          <w:b w:val="0"/>
          <w:bCs w:val="0"/>
          <w:szCs w:val="32"/>
          <w:highlight w:val="none"/>
        </w:rPr>
        <w:t>趋势，依托</w:t>
      </w:r>
      <w:r>
        <w:rPr>
          <w:rFonts w:hint="default" w:ascii="Times New Roman" w:hAnsi="Times New Roman" w:cs="Times New Roman"/>
          <w:b w:val="0"/>
          <w:bCs w:val="0"/>
          <w:szCs w:val="32"/>
          <w:highlight w:val="none"/>
          <w:lang w:val="en-US" w:eastAsia="zh-CN"/>
        </w:rPr>
        <w:t>全县</w:t>
      </w:r>
      <w:r>
        <w:rPr>
          <w:rFonts w:hint="default" w:ascii="Times New Roman" w:hAnsi="Times New Roman" w:cs="Times New Roman"/>
          <w:b w:val="0"/>
          <w:bCs w:val="0"/>
          <w:szCs w:val="32"/>
          <w:highlight w:val="none"/>
        </w:rPr>
        <w:t>生态资源</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lang w:val="en-US" w:eastAsia="zh-CN"/>
        </w:rPr>
        <w:t>农特产品、</w:t>
      </w:r>
      <w:r>
        <w:rPr>
          <w:rFonts w:hint="default" w:ascii="Times New Roman" w:hAnsi="Times New Roman" w:cs="Times New Roman"/>
          <w:b w:val="0"/>
          <w:bCs w:val="0"/>
          <w:szCs w:val="32"/>
          <w:highlight w:val="none"/>
        </w:rPr>
        <w:t>红色文</w:t>
      </w:r>
      <w:r>
        <w:rPr>
          <w:rFonts w:hint="default" w:ascii="Times New Roman" w:hAnsi="Times New Roman" w:cs="Times New Roman"/>
          <w:b w:val="0"/>
          <w:bCs w:val="0"/>
          <w:color w:val="auto"/>
          <w:szCs w:val="32"/>
          <w:highlight w:val="none"/>
        </w:rPr>
        <w:t>化</w:t>
      </w:r>
      <w:r>
        <w:rPr>
          <w:rFonts w:hint="default" w:ascii="Times New Roman" w:hAnsi="Times New Roman" w:cs="Times New Roman"/>
          <w:b w:val="0"/>
          <w:bCs w:val="0"/>
          <w:color w:val="auto"/>
          <w:szCs w:val="32"/>
          <w:highlight w:val="none"/>
          <w:lang w:val="en-US" w:eastAsia="zh-CN"/>
        </w:rPr>
        <w:t>等资源</w:t>
      </w:r>
      <w:r>
        <w:rPr>
          <w:rFonts w:hint="eastAsia" w:ascii="Times New Roman" w:hAnsi="Times New Roman" w:cs="Times New Roman"/>
          <w:b w:val="0"/>
          <w:bCs w:val="0"/>
          <w:color w:val="auto"/>
          <w:szCs w:val="32"/>
          <w:highlight w:val="none"/>
          <w:lang w:val="en-US" w:eastAsia="zh-CN"/>
        </w:rPr>
        <w:t>优势</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优化商贸服务业发展格局，加快传统商贸业转型升级步伐，加大新商贸业态培育力度，全面提</w:t>
      </w:r>
      <w:r>
        <w:rPr>
          <w:rFonts w:hint="default" w:ascii="Times New Roman" w:hAnsi="Times New Roman" w:cs="Times New Roman"/>
          <w:b w:val="0"/>
          <w:bCs w:val="0"/>
          <w:szCs w:val="32"/>
          <w:highlight w:val="none"/>
          <w:lang w:val="en-US" w:eastAsia="zh-CN"/>
        </w:rPr>
        <w:t>升全县</w:t>
      </w:r>
      <w:r>
        <w:rPr>
          <w:rFonts w:hint="default" w:ascii="Times New Roman" w:hAnsi="Times New Roman" w:cs="Times New Roman"/>
          <w:b w:val="0"/>
          <w:bCs w:val="0"/>
          <w:szCs w:val="32"/>
          <w:highlight w:val="none"/>
        </w:rPr>
        <w:t>商贸能级和商业魅力，</w:t>
      </w:r>
      <w:r>
        <w:rPr>
          <w:rFonts w:hint="default" w:ascii="Times New Roman" w:hAnsi="Times New Roman" w:eastAsia="仿宋_GB2312" w:cs="Times New Roman"/>
          <w:sz w:val="32"/>
          <w:szCs w:val="32"/>
          <w:highlight w:val="none"/>
          <w:lang w:val="en-US" w:eastAsia="zh-CN"/>
        </w:rPr>
        <w:t>力争到2030年限上批零住餐企业达到600家</w:t>
      </w:r>
      <w:r>
        <w:rPr>
          <w:rFonts w:hint="default" w:ascii="Times New Roman" w:hAnsi="Times New Roman" w:cs="Times New Roman"/>
          <w:sz w:val="32"/>
          <w:szCs w:val="32"/>
          <w:highlight w:val="none"/>
          <w:lang w:val="en-US" w:eastAsia="zh-CN"/>
        </w:rPr>
        <w:t>，</w:t>
      </w:r>
      <w:r>
        <w:rPr>
          <w:rFonts w:hint="default" w:ascii="Times New Roman" w:hAnsi="Times New Roman" w:cs="Times New Roman"/>
          <w:b w:val="0"/>
          <w:bCs w:val="0"/>
          <w:szCs w:val="32"/>
          <w:highlight w:val="none"/>
        </w:rPr>
        <w:t>打造区域性现代商贸中心。</w:t>
      </w:r>
    </w:p>
    <w:p w14:paraId="3B2C26F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highlight w:val="none"/>
          <w:lang w:val="en-US" w:eastAsia="zh-CN"/>
        </w:rPr>
        <w:t>培育发展新型商贸业态。以</w:t>
      </w:r>
      <w:r>
        <w:rPr>
          <w:rFonts w:hint="default" w:ascii="Times New Roman" w:hAnsi="Times New Roman" w:cs="Times New Roman"/>
          <w:b w:val="0"/>
          <w:bCs w:val="0"/>
          <w:szCs w:val="32"/>
          <w:highlight w:val="none"/>
          <w:lang w:val="en-US" w:eastAsia="zh-CN"/>
        </w:rPr>
        <w:t>高质量商贸主体引育推动产业提质增效，</w:t>
      </w:r>
      <w:r>
        <w:rPr>
          <w:rFonts w:hint="default" w:ascii="Times New Roman" w:hAnsi="Times New Roman" w:eastAsia="仿宋_GB2312" w:cs="Times New Roman"/>
          <w:sz w:val="32"/>
          <w:szCs w:val="32"/>
          <w:highlight w:val="none"/>
          <w:lang w:val="en-US" w:eastAsia="zh-CN"/>
        </w:rPr>
        <w:t>实施限上商贸企业倍增</w:t>
      </w:r>
      <w:r>
        <w:rPr>
          <w:rFonts w:hint="default" w:ascii="Times New Roman" w:hAnsi="Times New Roman" w:cs="Times New Roman"/>
          <w:sz w:val="32"/>
          <w:szCs w:val="32"/>
          <w:highlight w:val="none"/>
          <w:lang w:val="en-US" w:eastAsia="zh-CN"/>
        </w:rPr>
        <w:t>计划</w:t>
      </w:r>
      <w:r>
        <w:rPr>
          <w:rFonts w:hint="default" w:ascii="Times New Roman" w:hAnsi="Times New Roman" w:eastAsia="仿宋_GB2312" w:cs="Times New Roman"/>
          <w:sz w:val="32"/>
          <w:szCs w:val="32"/>
          <w:highlight w:val="none"/>
          <w:lang w:val="en-US" w:eastAsia="zh-CN"/>
        </w:rPr>
        <w:t>，重点推动工业企业二三产分离和农产品交易、电商企业纳统，加快</w:t>
      </w:r>
      <w:r>
        <w:rPr>
          <w:rFonts w:hint="default" w:ascii="Times New Roman" w:hAnsi="Times New Roman" w:cs="Times New Roman"/>
          <w:sz w:val="32"/>
          <w:szCs w:val="32"/>
          <w:highlight w:val="none"/>
          <w:lang w:val="en-US" w:eastAsia="zh-CN"/>
        </w:rPr>
        <w:t>培育引进</w:t>
      </w:r>
      <w:r>
        <w:rPr>
          <w:rFonts w:hint="default" w:ascii="Times New Roman" w:hAnsi="Times New Roman" w:eastAsia="仿宋_GB2312" w:cs="Times New Roman"/>
          <w:sz w:val="32"/>
          <w:szCs w:val="32"/>
          <w:highlight w:val="none"/>
          <w:lang w:val="en-US" w:eastAsia="zh-CN"/>
        </w:rPr>
        <w:t>各类商贸企业，力争“十五五”期间招引各类平台企业5家、品牌首店50家以上</w:t>
      </w:r>
      <w:r>
        <w:rPr>
          <w:rFonts w:hint="default" w:ascii="Times New Roman" w:hAnsi="Times New Roman" w:cs="Times New Roman"/>
          <w:sz w:val="32"/>
          <w:szCs w:val="32"/>
          <w:highlight w:val="none"/>
          <w:lang w:val="en-US" w:eastAsia="zh-CN"/>
        </w:rPr>
        <w:t>。</w:t>
      </w:r>
      <w:r>
        <w:rPr>
          <w:rFonts w:hint="default" w:ascii="Times New Roman" w:hAnsi="Times New Roman" w:cs="Times New Roman"/>
          <w:b w:val="0"/>
          <w:bCs w:val="0"/>
          <w:szCs w:val="32"/>
          <w:highlight w:val="none"/>
        </w:rPr>
        <w:t>综合利用大数据、物联网、人工智能等技术打造一批线上服务新平台，支持线下商贸服务实体加强数字技术应用和设施数字化改造升级，推动商贸服务业线上线下融合。探索社区商业“电子商务平台+社区智能便利店+农产品直供终端”发展模式，助力城乡消费融合与乡村振兴。</w:t>
      </w:r>
    </w:p>
    <w:p w14:paraId="3CB1442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color w:val="auto"/>
          <w:szCs w:val="32"/>
          <w:highlight w:val="none"/>
        </w:rPr>
      </w:pPr>
      <w:r>
        <w:rPr>
          <w:rFonts w:hint="default" w:ascii="Times New Roman" w:hAnsi="Times New Roman" w:cs="Times New Roman"/>
          <w:b w:val="0"/>
          <w:bCs w:val="0"/>
          <w:highlight w:val="none"/>
          <w:lang w:val="en-US" w:eastAsia="zh-CN"/>
        </w:rPr>
        <w:t>支持商品交易市场转型升级。推</w:t>
      </w:r>
      <w:r>
        <w:rPr>
          <w:rFonts w:hint="default" w:ascii="Times New Roman" w:hAnsi="Times New Roman" w:cs="Times New Roman"/>
          <w:b w:val="0"/>
          <w:bCs w:val="0"/>
          <w:szCs w:val="32"/>
          <w:highlight w:val="none"/>
          <w:lang w:val="en-US" w:eastAsia="zh-CN"/>
        </w:rPr>
        <w:t>动农特</w:t>
      </w:r>
      <w:r>
        <w:rPr>
          <w:rFonts w:hint="default" w:ascii="Times New Roman" w:hAnsi="Times New Roman" w:cs="Times New Roman"/>
          <w:b w:val="0"/>
          <w:bCs w:val="0"/>
          <w:szCs w:val="32"/>
          <w:highlight w:val="none"/>
        </w:rPr>
        <w:t>产品主导型批发业转型发展，加强农产品现货交易与线上电子交易深度结合，建设集农特产品交易、产</w:t>
      </w:r>
      <w:r>
        <w:rPr>
          <w:rFonts w:hint="default" w:ascii="Times New Roman" w:hAnsi="Times New Roman" w:cs="Times New Roman"/>
          <w:b w:val="0"/>
          <w:bCs w:val="0"/>
          <w:color w:val="auto"/>
          <w:szCs w:val="32"/>
          <w:highlight w:val="none"/>
        </w:rPr>
        <w:t>销信息发布、电子商务运营、冷链物流仓储于一体的新型专业批发市场。顺应消费新趋势，依托</w:t>
      </w:r>
      <w:r>
        <w:rPr>
          <w:rFonts w:hint="eastAsia" w:ascii="Times New Roman" w:hAnsi="Times New Roman" w:cs="Times New Roman"/>
          <w:b w:val="0"/>
          <w:bCs w:val="0"/>
          <w:color w:val="auto"/>
          <w:szCs w:val="32"/>
          <w:highlight w:val="none"/>
          <w:lang w:val="en-US" w:eastAsia="zh-CN"/>
        </w:rPr>
        <w:t>我县</w:t>
      </w:r>
      <w:r>
        <w:rPr>
          <w:rFonts w:hint="default" w:ascii="Times New Roman" w:hAnsi="Times New Roman" w:cs="Times New Roman"/>
          <w:b w:val="0"/>
          <w:bCs w:val="0"/>
          <w:color w:val="auto"/>
          <w:szCs w:val="32"/>
          <w:highlight w:val="none"/>
        </w:rPr>
        <w:t>75万亩林果产业基础与“全域富锶”独特资源优势，以“沂源红”苹果等“好品山东”品牌为引领，建设要素交易中心，高效汇聚周边地区商流、物流、资金流、信息流，打造鲁中地区农特产品商贸核心区。</w:t>
      </w:r>
    </w:p>
    <w:p w14:paraId="7BAAB17A">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highlight w:val="none"/>
          <w:lang w:val="en-US" w:eastAsia="zh-CN"/>
        </w:rPr>
      </w:pPr>
      <w:bookmarkStart w:id="35" w:name="_Toc19224_WPSOffice_Level3"/>
      <w:r>
        <w:rPr>
          <w:rFonts w:hint="default" w:ascii="Times New Roman" w:hAnsi="Times New Roman" w:cs="Times New Roman"/>
          <w:color w:val="auto"/>
          <w:highlight w:val="none"/>
          <w:lang w:val="en-US" w:eastAsia="zh-CN"/>
        </w:rPr>
        <w:t>5.健康服务业</w:t>
      </w:r>
      <w:bookmarkEnd w:id="35"/>
    </w:p>
    <w:p w14:paraId="4C4AB1AB">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szCs w:val="32"/>
          <w:highlight w:val="none"/>
        </w:rPr>
        <w:t>坚持把保障人民健康放在优先发展的战略位置，充分利用沂源县优质的山水生态、民俗文化、农旅融合等资源，加快构建覆盖城乡、医养融合、康养协同的优质高效健康服务</w:t>
      </w:r>
      <w:r>
        <w:rPr>
          <w:rFonts w:hint="default" w:ascii="Times New Roman" w:hAnsi="Times New Roman" w:cs="Times New Roman"/>
          <w:b w:val="0"/>
          <w:bCs w:val="0"/>
          <w:szCs w:val="32"/>
          <w:highlight w:val="none"/>
          <w:lang w:val="en-US" w:eastAsia="zh-CN"/>
        </w:rPr>
        <w:t>产业</w:t>
      </w:r>
      <w:r>
        <w:rPr>
          <w:rFonts w:hint="default" w:ascii="Times New Roman" w:hAnsi="Times New Roman" w:cs="Times New Roman"/>
          <w:b w:val="0"/>
          <w:bCs w:val="0"/>
          <w:szCs w:val="32"/>
          <w:highlight w:val="none"/>
        </w:rPr>
        <w:t>体系，打造鲁中生态康养特色健康服务品牌。​</w:t>
      </w:r>
    </w:p>
    <w:p w14:paraId="114BC640">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 w:val="36"/>
          <w:szCs w:val="36"/>
          <w:highlight w:val="none"/>
          <w:lang w:val="en-US" w:eastAsia="zh-CN"/>
        </w:rPr>
      </w:pPr>
      <w:r>
        <w:rPr>
          <w:rFonts w:hint="default" w:ascii="Times New Roman" w:hAnsi="Times New Roman" w:cs="Times New Roman"/>
          <w:b w:val="0"/>
          <w:bCs w:val="0"/>
          <w:highlight w:val="none"/>
          <w:lang w:val="en-US" w:eastAsia="zh-CN"/>
        </w:rPr>
        <w:t>做大做强特色康养产品。大力</w:t>
      </w:r>
      <w:r>
        <w:rPr>
          <w:rFonts w:hint="default" w:ascii="Times New Roman" w:hAnsi="Times New Roman" w:cs="Times New Roman"/>
          <w:b w:val="0"/>
          <w:bCs w:val="0"/>
          <w:szCs w:val="32"/>
          <w:highlight w:val="none"/>
          <w:lang w:val="en-US" w:eastAsia="zh-CN"/>
        </w:rPr>
        <w:t>发展山地康</w:t>
      </w:r>
      <w:r>
        <w:rPr>
          <w:rFonts w:hint="default" w:ascii="Times New Roman" w:hAnsi="Times New Roman" w:cs="Times New Roman"/>
          <w:b w:val="0"/>
          <w:bCs w:val="0"/>
          <w:sz w:val="32"/>
          <w:szCs w:val="32"/>
          <w:highlight w:val="none"/>
        </w:rPr>
        <w:t>养、森林康养、农养结合康养等康养服务产业，促进康养与生态、旅游、农业、保健等领域深度融合。依托沂河源流域生态廊道和燕崖镇、中庄镇农旅核心区，组团式谋划和布局生态旅居康养社区、农旅康养酒店群、果品康养体验园等新型休闲度假项目，打造沂河源滨水休闲度假康养带。依托鲁山国家森林公园、国有鲁山林场、沂河源湿地公园等生态载体，构建类型丰富的森林康养基地，大力发展“森林+康养”“生态+旅居”产业，倾力打造鲁中生态康养目的地。推进文化+康养融合，深入挖掘牛郎织女文化等历史文化资源，发挥文化修心养性的康养价值，开发康养文化体验产品，丰富康养文化底蕴。加快发展乡土文化养生、果园休闲度假、慢生活体验等乡村康养业态，培育和打造一批田园体验康养特色小镇、乡村康养特色村，同步配套康养农产品展销中心、康养服务便利店，推动康养产业与商贸服务协同发展。</w:t>
      </w:r>
    </w:p>
    <w:p w14:paraId="6F1E8A3C">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b w:val="0"/>
          <w:bCs w:val="0"/>
          <w:szCs w:val="32"/>
          <w:highlight w:val="none"/>
        </w:rPr>
      </w:pPr>
      <w:r>
        <w:rPr>
          <w:rFonts w:hint="default" w:ascii="Times New Roman" w:hAnsi="Times New Roman" w:cs="Times New Roman"/>
          <w:b w:val="0"/>
          <w:bCs w:val="0"/>
          <w:highlight w:val="none"/>
          <w:lang w:val="en-US" w:eastAsia="zh-CN"/>
        </w:rPr>
        <w:t>积极发展健康养老新业态。鼓</w:t>
      </w:r>
      <w:r>
        <w:rPr>
          <w:rFonts w:hint="default" w:ascii="Times New Roman" w:hAnsi="Times New Roman" w:cs="Times New Roman"/>
          <w:b w:val="0"/>
          <w:bCs w:val="0"/>
          <w:szCs w:val="32"/>
          <w:highlight w:val="none"/>
          <w:lang w:val="en-US" w:eastAsia="zh-CN"/>
        </w:rPr>
        <w:t>励各类养老机</w:t>
      </w:r>
      <w:r>
        <w:rPr>
          <w:rFonts w:hint="default" w:ascii="Times New Roman" w:hAnsi="Times New Roman" w:cs="Times New Roman"/>
          <w:b w:val="0"/>
          <w:bCs w:val="0"/>
          <w:szCs w:val="32"/>
          <w:highlight w:val="none"/>
        </w:rPr>
        <w:t>构与医疗机构开展“医养签约”“绿色就诊通道”合作，推动基层医疗卫生服务与居家社区养老服务深度融合，建设覆盖家庭、社区和机构的健康养老服务网络。开展医养结合机构服务质量提升行动，打造规模化、品牌化、链条化医养结合服务机构。探索智慧化养老服务模式，针对老年人需求，运用互联网、物联网、大数据技术，整合医疗与养老数据，建立集居家医养、医疗救护、中医养生咨询、远程健康管理、亲情关爱、机构管理等功能于一体的智慧</w:t>
      </w:r>
      <w:r>
        <w:rPr>
          <w:rFonts w:hint="default" w:ascii="Times New Roman" w:hAnsi="Times New Roman" w:cs="Times New Roman"/>
          <w:b w:val="0"/>
          <w:bCs w:val="0"/>
          <w:szCs w:val="32"/>
          <w:highlight w:val="none"/>
          <w:lang w:val="en-US" w:eastAsia="zh-CN"/>
        </w:rPr>
        <w:t>服务</w:t>
      </w:r>
      <w:r>
        <w:rPr>
          <w:rFonts w:hint="default" w:ascii="Times New Roman" w:hAnsi="Times New Roman" w:cs="Times New Roman"/>
          <w:b w:val="0"/>
          <w:bCs w:val="0"/>
          <w:szCs w:val="32"/>
          <w:highlight w:val="none"/>
        </w:rPr>
        <w:t>模式。支持养老服务产业与健康、养生、旅游、文化、健身、休闲等产业融合发展，丰富养老服务产业新业态。</w:t>
      </w:r>
    </w:p>
    <w:p w14:paraId="3C7EFDDA">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36" w:name="_Toc854"/>
      <w:bookmarkStart w:id="37" w:name="_Toc8837_WPSOffice_Level2"/>
      <w:r>
        <w:rPr>
          <w:rFonts w:hint="default" w:ascii="Times New Roman" w:hAnsi="Times New Roman" w:cs="Times New Roman"/>
          <w:sz w:val="32"/>
          <w:szCs w:val="22"/>
          <w:highlight w:val="none"/>
          <w:lang w:val="en-US" w:eastAsia="zh-CN"/>
        </w:rPr>
        <w:t>第三节  超前谋划一批新兴未来产业</w:t>
      </w:r>
      <w:bookmarkEnd w:id="36"/>
      <w:bookmarkEnd w:id="37"/>
    </w:p>
    <w:p w14:paraId="691F68C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szCs w:val="32"/>
          <w:highlight w:val="none"/>
          <w:lang w:val="en-US" w:eastAsia="zh-CN"/>
        </w:rPr>
      </w:pPr>
      <w:r>
        <w:rPr>
          <w:rFonts w:hint="default" w:ascii="Times New Roman" w:hAnsi="Times New Roman" w:cs="Times New Roman"/>
          <w:b w:val="0"/>
          <w:bCs w:val="0"/>
          <w:szCs w:val="32"/>
          <w:highlight w:val="none"/>
          <w:lang w:val="en-US" w:eastAsia="zh-CN"/>
        </w:rPr>
        <w:t>坚持瞄准前沿，聚焦低空经济、新一代信息技术、节能环保、数字创意等领域，量力而行谋划一批新兴未来产业，建立行业头部企业和领军创新团队数据库，以县域特色应用场景为牵引，定期发布前沿赛道产业应用场景机会清单，打造具有鲜明辨识度和较强竞争力的新经济产业体系，实现新兴未来产业与现有支柱产业的良性互动和优势互补。</w:t>
      </w:r>
    </w:p>
    <w:p w14:paraId="42CCECD1">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38" w:name="_Toc25265_WPSOffice_Level3"/>
      <w:r>
        <w:rPr>
          <w:rFonts w:hint="default" w:ascii="Times New Roman" w:hAnsi="Times New Roman" w:cs="Times New Roman"/>
          <w:highlight w:val="none"/>
          <w:lang w:val="en-US" w:eastAsia="zh-CN"/>
        </w:rPr>
        <w:t>1.低空经济产业</w:t>
      </w:r>
      <w:bookmarkEnd w:id="38"/>
    </w:p>
    <w:p w14:paraId="68D5708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kern w:val="2"/>
          <w:sz w:val="32"/>
          <w:szCs w:val="24"/>
          <w:highlight w:val="none"/>
          <w:lang w:val="en-US" w:eastAsia="zh-CN" w:bidi="ar-SA"/>
        </w:rPr>
        <w:t>按照以</w:t>
      </w:r>
      <w:r>
        <w:rPr>
          <w:rFonts w:hint="default" w:ascii="Times New Roman" w:hAnsi="Times New Roman" w:eastAsia="仿宋_GB2312" w:cs="Times New Roman"/>
          <w:b w:val="0"/>
          <w:bCs w:val="0"/>
          <w:kern w:val="2"/>
          <w:sz w:val="32"/>
          <w:szCs w:val="24"/>
          <w:highlight w:val="none"/>
          <w:lang w:val="en-US" w:eastAsia="zh-CN" w:bidi="ar-SA"/>
        </w:rPr>
        <w:t>基础设施为保障、产业发展为根本、安全稳定为底线</w:t>
      </w:r>
      <w:r>
        <w:rPr>
          <w:rFonts w:hint="default" w:ascii="Times New Roman" w:hAnsi="Times New Roman" w:cs="Times New Roman"/>
          <w:b w:val="0"/>
          <w:bCs w:val="0"/>
          <w:kern w:val="2"/>
          <w:sz w:val="32"/>
          <w:szCs w:val="24"/>
          <w:highlight w:val="none"/>
          <w:lang w:val="en-US" w:eastAsia="zh-CN" w:bidi="ar-SA"/>
        </w:rPr>
        <w:t>的原则推动低空经济高质量发展，</w:t>
      </w:r>
      <w:r>
        <w:rPr>
          <w:rFonts w:hint="default" w:ascii="Times New Roman" w:hAnsi="Times New Roman" w:cs="Times New Roman"/>
          <w:b w:val="0"/>
          <w:bCs w:val="0"/>
          <w:highlight w:val="none"/>
          <w:lang w:val="en-US" w:eastAsia="zh-CN"/>
        </w:rPr>
        <w:t>广泛拓展低空经济新应用场景。</w:t>
      </w:r>
      <w:r>
        <w:rPr>
          <w:rFonts w:hint="default" w:ascii="Times New Roman" w:hAnsi="Times New Roman" w:eastAsia="仿宋_GB2312" w:cs="Times New Roman"/>
          <w:b w:val="0"/>
          <w:bCs w:val="0"/>
          <w:kern w:val="2"/>
          <w:sz w:val="32"/>
          <w:szCs w:val="24"/>
          <w:highlight w:val="none"/>
          <w:lang w:val="en-US" w:eastAsia="zh-CN" w:bidi="ar-SA"/>
        </w:rPr>
        <w:t>合理划设全县低空飞行器适飞空域和航线布局</w:t>
      </w:r>
      <w:r>
        <w:rPr>
          <w:rFonts w:hint="default" w:ascii="Times New Roman" w:hAnsi="Times New Roman" w:cs="Times New Roman"/>
          <w:b w:val="0"/>
          <w:bCs w:val="0"/>
          <w:kern w:val="2"/>
          <w:sz w:val="32"/>
          <w:szCs w:val="24"/>
          <w:highlight w:val="none"/>
          <w:lang w:val="en-US" w:eastAsia="zh-CN" w:bidi="ar-SA"/>
        </w:rPr>
        <w:t>，打造</w:t>
      </w:r>
      <w:r>
        <w:rPr>
          <w:rFonts w:hint="default" w:ascii="Times New Roman" w:hAnsi="Times New Roman" w:cs="Times New Roman"/>
          <w:b w:val="0"/>
          <w:bCs w:val="0"/>
          <w:highlight w:val="none"/>
          <w:lang w:val="en-US" w:eastAsia="zh-CN"/>
        </w:rPr>
        <w:t>桃花岛通用机场、龙子峪直升机场低空枢纽，建设覆盖</w:t>
      </w:r>
      <w:r>
        <w:rPr>
          <w:rFonts w:hint="default" w:ascii="Times New Roman" w:hAnsi="Times New Roman" w:eastAsia="仿宋_GB2312" w:cs="Times New Roman"/>
          <w:b w:val="0"/>
          <w:bCs w:val="0"/>
          <w:kern w:val="2"/>
          <w:sz w:val="32"/>
          <w:szCs w:val="24"/>
          <w:highlight w:val="none"/>
          <w:lang w:val="en-US" w:eastAsia="zh-CN" w:bidi="ar-SA"/>
        </w:rPr>
        <w:t>各镇</w:t>
      </w:r>
      <w:r>
        <w:rPr>
          <w:rFonts w:hint="default" w:ascii="Times New Roman" w:hAnsi="Times New Roman" w:cs="Times New Roman"/>
          <w:b w:val="0"/>
          <w:bCs w:val="0"/>
          <w:kern w:val="2"/>
          <w:sz w:val="32"/>
          <w:szCs w:val="24"/>
          <w:highlight w:val="none"/>
          <w:lang w:val="en-US" w:eastAsia="zh-CN" w:bidi="ar-SA"/>
        </w:rPr>
        <w:t>街的</w:t>
      </w:r>
      <w:r>
        <w:rPr>
          <w:rFonts w:hint="default" w:ascii="Times New Roman" w:hAnsi="Times New Roman" w:eastAsia="仿宋_GB2312" w:cs="Times New Roman"/>
          <w:b w:val="0"/>
          <w:bCs w:val="0"/>
          <w:kern w:val="2"/>
          <w:sz w:val="32"/>
          <w:szCs w:val="24"/>
          <w:highlight w:val="none"/>
          <w:lang w:val="en-US" w:eastAsia="zh-CN" w:bidi="ar-SA"/>
        </w:rPr>
        <w:t>无人机起降点等地面保障设施</w:t>
      </w:r>
      <w:r>
        <w:rPr>
          <w:rFonts w:hint="default" w:ascii="Times New Roman" w:hAnsi="Times New Roman" w:cs="Times New Roman"/>
          <w:b w:val="0"/>
          <w:bCs w:val="0"/>
          <w:kern w:val="2"/>
          <w:sz w:val="32"/>
          <w:szCs w:val="24"/>
          <w:highlight w:val="none"/>
          <w:lang w:val="en-US" w:eastAsia="zh-CN" w:bidi="ar-SA"/>
        </w:rPr>
        <w:t>，</w:t>
      </w:r>
      <w:r>
        <w:rPr>
          <w:rFonts w:hint="default" w:ascii="Times New Roman" w:hAnsi="Times New Roman" w:eastAsia="仿宋_GB2312" w:cs="Times New Roman"/>
          <w:b w:val="0"/>
          <w:bCs w:val="0"/>
          <w:kern w:val="2"/>
          <w:sz w:val="32"/>
          <w:szCs w:val="24"/>
          <w:highlight w:val="none"/>
          <w:lang w:val="en-US" w:eastAsia="zh-CN" w:bidi="ar-SA"/>
        </w:rPr>
        <w:t>构建全域覆盖、功能完善的低空基础设施</w:t>
      </w:r>
      <w:r>
        <w:rPr>
          <w:rFonts w:hint="default" w:ascii="Times New Roman" w:hAnsi="Times New Roman" w:cs="Times New Roman"/>
          <w:b w:val="0"/>
          <w:bCs w:val="0"/>
          <w:kern w:val="2"/>
          <w:sz w:val="32"/>
          <w:szCs w:val="24"/>
          <w:highlight w:val="none"/>
          <w:lang w:val="en-US" w:eastAsia="zh-CN" w:bidi="ar-SA"/>
        </w:rPr>
        <w:t>体系</w:t>
      </w:r>
      <w:r>
        <w:rPr>
          <w:rFonts w:hint="default" w:ascii="Times New Roman" w:hAnsi="Times New Roman" w:eastAsia="仿宋_GB2312" w:cs="Times New Roman"/>
          <w:b w:val="0"/>
          <w:bCs w:val="0"/>
          <w:kern w:val="2"/>
          <w:sz w:val="32"/>
          <w:szCs w:val="24"/>
          <w:highlight w:val="none"/>
          <w:lang w:val="en-US" w:eastAsia="zh-CN" w:bidi="ar-SA"/>
        </w:rPr>
        <w:t>。大力培育“低空+”经济新业态</w:t>
      </w:r>
      <w:r>
        <w:rPr>
          <w:rFonts w:hint="default" w:ascii="Times New Roman" w:hAnsi="Times New Roman" w:cs="Times New Roman"/>
          <w:b w:val="0"/>
          <w:bCs w:val="0"/>
          <w:kern w:val="2"/>
          <w:sz w:val="32"/>
          <w:szCs w:val="24"/>
          <w:highlight w:val="none"/>
          <w:lang w:val="en-US" w:eastAsia="zh-CN" w:bidi="ar-SA"/>
        </w:rPr>
        <w:t>，</w:t>
      </w:r>
      <w:r>
        <w:rPr>
          <w:rFonts w:hint="default" w:ascii="Times New Roman" w:hAnsi="Times New Roman" w:cs="Times New Roman"/>
          <w:b w:val="0"/>
          <w:bCs w:val="0"/>
          <w:highlight w:val="none"/>
          <w:lang w:val="en-US" w:eastAsia="zh-CN"/>
        </w:rPr>
        <w:t>围绕农业、文旅、城市管理、教育培训、公路巡查等领域打造一系列低空应用场景</w:t>
      </w:r>
      <w:r>
        <w:rPr>
          <w:rFonts w:hint="default" w:ascii="Times New Roman" w:hAnsi="Times New Roman" w:eastAsia="仿宋_GB2312" w:cs="Times New Roman"/>
          <w:b w:val="0"/>
          <w:bCs w:val="0"/>
          <w:kern w:val="2"/>
          <w:sz w:val="32"/>
          <w:szCs w:val="24"/>
          <w:highlight w:val="none"/>
          <w:lang w:val="en-US" w:eastAsia="zh-CN" w:bidi="ar-SA"/>
        </w:rPr>
        <w:t>，</w:t>
      </w:r>
      <w:r>
        <w:rPr>
          <w:rFonts w:hint="eastAsia" w:ascii="Times New Roman" w:hAnsi="Times New Roman" w:cs="Times New Roman"/>
          <w:b w:val="0"/>
          <w:bCs w:val="0"/>
          <w:color w:val="auto"/>
          <w:kern w:val="2"/>
          <w:sz w:val="32"/>
          <w:szCs w:val="24"/>
          <w:highlight w:val="none"/>
          <w:lang w:val="en-US" w:eastAsia="zh-CN" w:bidi="ar-SA"/>
        </w:rPr>
        <w:t>构建</w:t>
      </w:r>
      <w:r>
        <w:rPr>
          <w:rFonts w:hint="default" w:ascii="Times New Roman" w:hAnsi="Times New Roman" w:eastAsia="仿宋_GB2312" w:cs="Times New Roman"/>
          <w:b w:val="0"/>
          <w:bCs w:val="0"/>
          <w:color w:val="auto"/>
          <w:kern w:val="2"/>
          <w:sz w:val="32"/>
          <w:szCs w:val="24"/>
          <w:highlight w:val="none"/>
          <w:lang w:val="en-US" w:eastAsia="zh-CN" w:bidi="ar-SA"/>
        </w:rPr>
        <w:t>链条完整</w:t>
      </w:r>
      <w:r>
        <w:rPr>
          <w:rFonts w:hint="default" w:ascii="Times New Roman" w:hAnsi="Times New Roman" w:eastAsia="仿宋_GB2312" w:cs="Times New Roman"/>
          <w:b w:val="0"/>
          <w:bCs w:val="0"/>
          <w:kern w:val="2"/>
          <w:sz w:val="32"/>
          <w:szCs w:val="24"/>
          <w:highlight w:val="none"/>
          <w:lang w:val="en-US" w:eastAsia="zh-CN" w:bidi="ar-SA"/>
        </w:rPr>
        <w:t>、协同发展的低空产业体系</w:t>
      </w:r>
      <w:r>
        <w:rPr>
          <w:rFonts w:hint="default" w:ascii="Times New Roman" w:hAnsi="Times New Roman" w:cs="Times New Roman"/>
          <w:b w:val="0"/>
          <w:bCs w:val="0"/>
          <w:highlight w:val="none"/>
          <w:lang w:val="en-US" w:eastAsia="zh-CN"/>
        </w:rPr>
        <w:t>。</w:t>
      </w:r>
    </w:p>
    <w:p w14:paraId="36B7F57D">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39" w:name="_Toc20151_WPSOffice_Level3"/>
      <w:r>
        <w:rPr>
          <w:rFonts w:hint="default" w:ascii="Times New Roman" w:hAnsi="Times New Roman" w:cs="Times New Roman"/>
          <w:highlight w:val="none"/>
          <w:lang w:val="en-US" w:eastAsia="zh-CN"/>
        </w:rPr>
        <w:t>2.人工智能产业</w:t>
      </w:r>
      <w:bookmarkEnd w:id="39"/>
    </w:p>
    <w:p w14:paraId="3601412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kern w:val="2"/>
          <w:sz w:val="32"/>
          <w:szCs w:val="24"/>
          <w:highlight w:val="none"/>
          <w:lang w:val="en-US" w:eastAsia="zh-CN" w:bidi="ar-SA"/>
        </w:rPr>
      </w:pPr>
      <w:r>
        <w:rPr>
          <w:rFonts w:hint="default" w:ascii="Times New Roman" w:hAnsi="Times New Roman" w:cs="Times New Roman"/>
          <w:b w:val="0"/>
          <w:bCs w:val="0"/>
          <w:kern w:val="2"/>
          <w:sz w:val="32"/>
          <w:szCs w:val="24"/>
          <w:highlight w:val="none"/>
          <w:lang w:val="en-US" w:eastAsia="zh-CN" w:bidi="ar-SA"/>
        </w:rPr>
        <w:t>紧抓人工智能创新发展机遇，</w:t>
      </w:r>
      <w:r>
        <w:rPr>
          <w:rFonts w:hint="default" w:ascii="Times New Roman" w:hAnsi="Times New Roman" w:cs="Times New Roman"/>
          <w:highlight w:val="none"/>
        </w:rPr>
        <w:t>实施“人工智能+”行动，</w:t>
      </w:r>
      <w:r>
        <w:rPr>
          <w:rFonts w:hint="default" w:ascii="Times New Roman" w:hAnsi="Times New Roman" w:cs="Times New Roman"/>
          <w:b w:val="0"/>
          <w:bCs w:val="0"/>
          <w:kern w:val="2"/>
          <w:sz w:val="32"/>
          <w:szCs w:val="24"/>
          <w:highlight w:val="none"/>
          <w:lang w:val="en-US" w:eastAsia="zh-CN" w:bidi="ar-SA"/>
        </w:rPr>
        <w:t>大力培育人工智能新兴产业，结合县域特色应用场景，</w:t>
      </w:r>
      <w:r>
        <w:rPr>
          <w:rFonts w:hint="default" w:ascii="Times New Roman" w:hAnsi="Times New Roman" w:cs="Times New Roman"/>
          <w:highlight w:val="none"/>
          <w:lang w:val="en-US" w:eastAsia="zh-CN"/>
        </w:rPr>
        <w:t>探索围绕制造业优势产业集群</w:t>
      </w:r>
      <w:r>
        <w:rPr>
          <w:rFonts w:hint="default" w:ascii="Times New Roman" w:hAnsi="Times New Roman" w:cs="Times New Roman"/>
          <w:highlight w:val="none"/>
        </w:rPr>
        <w:t>打造行业级、场景级</w:t>
      </w:r>
      <w:r>
        <w:rPr>
          <w:rFonts w:hint="default" w:ascii="Times New Roman" w:hAnsi="Times New Roman" w:cs="Times New Roman"/>
          <w:highlight w:val="none"/>
          <w:lang w:val="en-US" w:eastAsia="zh-CN"/>
        </w:rPr>
        <w:t>人工智能</w:t>
      </w:r>
      <w:r>
        <w:rPr>
          <w:rFonts w:hint="default" w:ascii="Times New Roman" w:hAnsi="Times New Roman" w:cs="Times New Roman"/>
          <w:highlight w:val="none"/>
        </w:rPr>
        <w:t>大模型，</w:t>
      </w:r>
      <w:r>
        <w:rPr>
          <w:rFonts w:hint="default" w:ascii="Times New Roman" w:hAnsi="Times New Roman" w:cs="Times New Roman"/>
          <w:highlight w:val="none"/>
          <w:lang w:val="en-US" w:eastAsia="zh-CN"/>
        </w:rPr>
        <w:t>推动</w:t>
      </w:r>
      <w:r>
        <w:rPr>
          <w:rFonts w:hint="default" w:ascii="Times New Roman" w:hAnsi="Times New Roman" w:cs="Times New Roman"/>
          <w:highlight w:val="none"/>
        </w:rPr>
        <w:t>人工智能与产业发展、文化旅游、生活消费、社会治理、政务服务等广泛深度融合，扩大新一代智能终端、智能体等应用普及率，加快形成</w:t>
      </w:r>
      <w:r>
        <w:rPr>
          <w:rFonts w:hint="default" w:ascii="Times New Roman" w:hAnsi="Times New Roman" w:cs="Times New Roman"/>
          <w:highlight w:val="none"/>
          <w:lang w:val="en-US" w:eastAsia="zh-CN"/>
        </w:rPr>
        <w:t>县域</w:t>
      </w:r>
      <w:r>
        <w:rPr>
          <w:rFonts w:hint="default" w:ascii="Times New Roman" w:hAnsi="Times New Roman" w:cs="Times New Roman"/>
          <w:highlight w:val="none"/>
        </w:rPr>
        <w:t>智能经济和智能社会新形态。</w:t>
      </w:r>
    </w:p>
    <w:p w14:paraId="3F414B7D">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40" w:name="_Toc3494_WPSOffice_Level3"/>
      <w:r>
        <w:rPr>
          <w:rFonts w:hint="default" w:ascii="Times New Roman" w:hAnsi="Times New Roman" w:cs="Times New Roman"/>
          <w:highlight w:val="none"/>
          <w:lang w:val="en-US" w:eastAsia="zh-CN"/>
        </w:rPr>
        <w:t>3.功能食品产业</w:t>
      </w:r>
      <w:bookmarkEnd w:id="40"/>
    </w:p>
    <w:p w14:paraId="6AAD1F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kern w:val="2"/>
          <w:sz w:val="32"/>
          <w:szCs w:val="24"/>
          <w:highlight w:val="none"/>
          <w:lang w:val="en-US" w:eastAsia="zh-CN" w:bidi="ar-SA"/>
        </w:rPr>
      </w:pPr>
      <w:r>
        <w:rPr>
          <w:rFonts w:hint="default" w:ascii="Times New Roman" w:hAnsi="Times New Roman" w:eastAsia="仿宋_GB2312" w:cs="Times New Roman"/>
          <w:b w:val="0"/>
          <w:bCs w:val="0"/>
          <w:kern w:val="2"/>
          <w:sz w:val="32"/>
          <w:szCs w:val="24"/>
          <w:highlight w:val="none"/>
          <w:lang w:val="en-US" w:eastAsia="zh-CN" w:bidi="ar-SA"/>
        </w:rPr>
        <w:t>利用</w:t>
      </w:r>
      <w:r>
        <w:rPr>
          <w:rFonts w:hint="default" w:ascii="Times New Roman" w:hAnsi="Times New Roman" w:cs="Times New Roman"/>
          <w:b w:val="0"/>
          <w:bCs w:val="0"/>
          <w:kern w:val="2"/>
          <w:sz w:val="32"/>
          <w:szCs w:val="24"/>
          <w:highlight w:val="none"/>
          <w:lang w:val="en-US" w:eastAsia="zh-CN" w:bidi="ar-SA"/>
        </w:rPr>
        <w:t>县内全域富锶优势</w:t>
      </w:r>
      <w:r>
        <w:rPr>
          <w:rFonts w:hint="default" w:ascii="Times New Roman" w:hAnsi="Times New Roman" w:eastAsia="仿宋_GB2312" w:cs="Times New Roman"/>
          <w:b w:val="0"/>
          <w:bCs w:val="0"/>
          <w:kern w:val="2"/>
          <w:sz w:val="32"/>
          <w:szCs w:val="24"/>
          <w:highlight w:val="none"/>
          <w:lang w:val="en-US" w:eastAsia="zh-CN" w:bidi="ar-SA"/>
        </w:rPr>
        <w:t>，</w:t>
      </w:r>
      <w:r>
        <w:rPr>
          <w:rFonts w:hint="eastAsia" w:ascii="Times New Roman" w:hAnsi="Times New Roman" w:cs="Times New Roman"/>
          <w:b w:val="0"/>
          <w:bCs w:val="0"/>
          <w:kern w:val="2"/>
          <w:sz w:val="32"/>
          <w:szCs w:val="24"/>
          <w:highlight w:val="none"/>
          <w:lang w:val="en-US" w:eastAsia="zh-CN" w:bidi="ar-SA"/>
        </w:rPr>
        <w:t>开发</w:t>
      </w:r>
      <w:r>
        <w:rPr>
          <w:rFonts w:hint="default" w:ascii="Times New Roman" w:hAnsi="Times New Roman" w:eastAsia="仿宋_GB2312" w:cs="Times New Roman"/>
          <w:b w:val="0"/>
          <w:bCs w:val="0"/>
          <w:kern w:val="2"/>
          <w:sz w:val="32"/>
          <w:szCs w:val="24"/>
          <w:highlight w:val="none"/>
          <w:lang w:val="en-US" w:eastAsia="zh-CN" w:bidi="ar-SA"/>
        </w:rPr>
        <w:t>富</w:t>
      </w:r>
      <w:r>
        <w:rPr>
          <w:rFonts w:hint="default" w:ascii="Times New Roman" w:hAnsi="Times New Roman" w:cs="Times New Roman"/>
          <w:b w:val="0"/>
          <w:bCs w:val="0"/>
          <w:kern w:val="2"/>
          <w:sz w:val="32"/>
          <w:szCs w:val="24"/>
          <w:highlight w:val="none"/>
          <w:lang w:val="en-US" w:eastAsia="zh-CN" w:bidi="ar-SA"/>
        </w:rPr>
        <w:t>含</w:t>
      </w:r>
      <w:r>
        <w:rPr>
          <w:rFonts w:hint="default" w:ascii="Times New Roman" w:hAnsi="Times New Roman" w:eastAsia="仿宋_GB2312" w:cs="Times New Roman"/>
          <w:b w:val="0"/>
          <w:bCs w:val="0"/>
          <w:kern w:val="2"/>
          <w:sz w:val="32"/>
          <w:szCs w:val="24"/>
          <w:highlight w:val="none"/>
          <w:lang w:val="en-US" w:eastAsia="zh-CN" w:bidi="ar-SA"/>
        </w:rPr>
        <w:t>锶</w:t>
      </w:r>
      <w:r>
        <w:rPr>
          <w:rFonts w:hint="eastAsia" w:ascii="Times New Roman" w:hAnsi="Times New Roman" w:cs="Times New Roman"/>
          <w:b w:val="0"/>
          <w:bCs w:val="0"/>
          <w:kern w:val="2"/>
          <w:sz w:val="32"/>
          <w:szCs w:val="24"/>
          <w:highlight w:val="none"/>
          <w:lang w:val="en-US" w:eastAsia="zh-CN" w:bidi="ar-SA"/>
        </w:rPr>
        <w:t>、</w:t>
      </w:r>
      <w:r>
        <w:rPr>
          <w:rFonts w:hint="default" w:ascii="Times New Roman" w:hAnsi="Times New Roman" w:eastAsia="仿宋_GB2312" w:cs="Times New Roman"/>
          <w:b w:val="0"/>
          <w:bCs w:val="0"/>
          <w:kern w:val="2"/>
          <w:sz w:val="32"/>
          <w:szCs w:val="24"/>
          <w:highlight w:val="none"/>
          <w:lang w:val="en-US" w:eastAsia="zh-CN" w:bidi="ar-SA"/>
        </w:rPr>
        <w:t>维生素、蛋白质等营养成分的健康食品</w:t>
      </w:r>
      <w:r>
        <w:rPr>
          <w:rFonts w:hint="eastAsia" w:ascii="Times New Roman" w:hAnsi="Times New Roman" w:cs="Times New Roman"/>
          <w:b w:val="0"/>
          <w:bCs w:val="0"/>
          <w:kern w:val="2"/>
          <w:sz w:val="32"/>
          <w:szCs w:val="24"/>
          <w:highlight w:val="none"/>
          <w:lang w:val="en-US" w:eastAsia="zh-CN" w:bidi="ar-SA"/>
        </w:rPr>
        <w:t>和</w:t>
      </w:r>
      <w:r>
        <w:rPr>
          <w:rFonts w:hint="default" w:ascii="Times New Roman" w:hAnsi="Times New Roman" w:eastAsia="仿宋_GB2312" w:cs="Times New Roman"/>
          <w:b w:val="0"/>
          <w:bCs w:val="0"/>
          <w:kern w:val="2"/>
          <w:sz w:val="32"/>
          <w:szCs w:val="24"/>
          <w:highlight w:val="none"/>
          <w:lang w:val="en-US" w:eastAsia="zh-CN" w:bidi="ar-SA"/>
        </w:rPr>
        <w:t>含有益生菌、膳食纤维等成分的功能性食品</w:t>
      </w:r>
      <w:r>
        <w:rPr>
          <w:rFonts w:hint="default" w:ascii="Times New Roman" w:hAnsi="Times New Roman" w:cs="Times New Roman"/>
          <w:b w:val="0"/>
          <w:bCs w:val="0"/>
          <w:kern w:val="2"/>
          <w:sz w:val="32"/>
          <w:szCs w:val="24"/>
          <w:highlight w:val="none"/>
          <w:lang w:val="en-US" w:eastAsia="zh-CN" w:bidi="ar-SA"/>
        </w:rPr>
        <w:t>。针对特殊群体个性化营养配比需求，</w:t>
      </w:r>
      <w:r>
        <w:rPr>
          <w:rFonts w:hint="default" w:ascii="Times New Roman" w:hAnsi="Times New Roman" w:eastAsia="仿宋_GB2312" w:cs="Times New Roman"/>
          <w:b w:val="0"/>
          <w:bCs w:val="0"/>
          <w:kern w:val="2"/>
          <w:sz w:val="32"/>
          <w:szCs w:val="24"/>
          <w:highlight w:val="none"/>
          <w:lang w:val="en-US" w:eastAsia="zh-CN" w:bidi="ar-SA"/>
        </w:rPr>
        <w:t>开发婴幼儿食品、老年食品、运动营养食品。响应消费者对食品安全的关注，发展采用有机种植、绿色养殖的天然食品。</w:t>
      </w:r>
      <w:r>
        <w:rPr>
          <w:rFonts w:hint="default" w:ascii="Times New Roman" w:hAnsi="Times New Roman" w:cs="Times New Roman"/>
          <w:b w:val="0"/>
          <w:bCs w:val="0"/>
          <w:kern w:val="2"/>
          <w:sz w:val="32"/>
          <w:szCs w:val="24"/>
          <w:highlight w:val="none"/>
          <w:lang w:val="en-US" w:eastAsia="zh-CN" w:bidi="ar-SA"/>
        </w:rPr>
        <w:t>基于苹果、大樱桃、桃、葡萄等特色农产品，</w:t>
      </w:r>
      <w:r>
        <w:rPr>
          <w:rFonts w:hint="default" w:ascii="Times New Roman" w:hAnsi="Times New Roman" w:eastAsia="仿宋_GB2312" w:cs="Times New Roman"/>
          <w:b w:val="0"/>
          <w:bCs w:val="0"/>
          <w:kern w:val="2"/>
          <w:sz w:val="32"/>
          <w:szCs w:val="24"/>
          <w:highlight w:val="none"/>
          <w:lang w:val="en-US" w:eastAsia="zh-CN" w:bidi="ar-SA"/>
        </w:rPr>
        <w:t>开发果脆、果酱、果丁、果泥、果胶、果粉、多酚、酵素、果啤、果酒、多糖提取物、浓缩汁等高附加值产品。</w:t>
      </w:r>
    </w:p>
    <w:p w14:paraId="5AFAF616">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41" w:name="_Toc13705_WPSOffice_Level3"/>
      <w:r>
        <w:rPr>
          <w:rFonts w:hint="default" w:ascii="Times New Roman" w:hAnsi="Times New Roman" w:cs="Times New Roman"/>
          <w:highlight w:val="none"/>
          <w:lang w:val="en-US" w:eastAsia="zh-CN"/>
        </w:rPr>
        <w:t>4.文化创意产业</w:t>
      </w:r>
      <w:bookmarkEnd w:id="41"/>
    </w:p>
    <w:p w14:paraId="790E691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依托</w:t>
      </w:r>
      <w:r>
        <w:rPr>
          <w:rFonts w:hint="default" w:ascii="Times New Roman" w:hAnsi="Times New Roman" w:cs="Times New Roman"/>
          <w:b w:val="0"/>
          <w:bCs w:val="0"/>
          <w:highlight w:val="none"/>
          <w:lang w:val="en-US" w:eastAsia="zh-CN"/>
        </w:rPr>
        <w:t>特色文化体系和旅游资源</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cs="Times New Roman"/>
          <w:b w:val="0"/>
          <w:bCs w:val="0"/>
          <w:highlight w:val="none"/>
        </w:rPr>
        <w:t>推动产业创新融合，培育文创领域新产品、新业态、新模式</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构建“大文创”产业发展格局</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推动工艺美术产业</w:t>
      </w:r>
      <w:r>
        <w:rPr>
          <w:rFonts w:hint="default" w:ascii="Times New Roman" w:hAnsi="Times New Roman" w:cs="Times New Roman"/>
          <w:b w:val="0"/>
          <w:bCs w:val="0"/>
          <w:highlight w:val="none"/>
        </w:rPr>
        <w:t>特色化、品牌化、创新性</w:t>
      </w:r>
      <w:r>
        <w:rPr>
          <w:rFonts w:hint="default" w:ascii="Times New Roman" w:hAnsi="Times New Roman" w:cs="Times New Roman"/>
          <w:b w:val="0"/>
          <w:bCs w:val="0"/>
          <w:highlight w:val="none"/>
          <w:lang w:val="en-US" w:eastAsia="zh-CN"/>
        </w:rPr>
        <w:t>发展</w:t>
      </w:r>
      <w:r>
        <w:rPr>
          <w:rFonts w:hint="default" w:ascii="Times New Roman" w:hAnsi="Times New Roman" w:cs="Times New Roman"/>
          <w:b w:val="0"/>
          <w:bCs w:val="0"/>
          <w:highlight w:val="none"/>
        </w:rPr>
        <w:t>，促进</w:t>
      </w:r>
      <w:r>
        <w:rPr>
          <w:rFonts w:hint="default" w:ascii="Times New Roman" w:hAnsi="Times New Roman" w:cs="Times New Roman"/>
          <w:b w:val="0"/>
          <w:bCs w:val="0"/>
          <w:highlight w:val="none"/>
          <w:lang w:val="en-US" w:eastAsia="zh-CN"/>
        </w:rPr>
        <w:t>齐氏剪纸等</w:t>
      </w:r>
      <w:r>
        <w:rPr>
          <w:rFonts w:hint="default" w:ascii="Times New Roman" w:hAnsi="Times New Roman" w:cs="Times New Roman"/>
          <w:b w:val="0"/>
          <w:bCs w:val="0"/>
          <w:highlight w:val="none"/>
        </w:rPr>
        <w:t>传统工艺技艺与创意设计、现代科技、时尚元素相结合，打造传统与现代相</w:t>
      </w:r>
      <w:r>
        <w:rPr>
          <w:rFonts w:hint="default" w:ascii="Times New Roman" w:hAnsi="Times New Roman" w:cs="Times New Roman"/>
          <w:b w:val="0"/>
          <w:bCs w:val="0"/>
          <w:highlight w:val="none"/>
          <w:lang w:val="en-US" w:eastAsia="zh-CN"/>
        </w:rPr>
        <w:t>交融</w:t>
      </w:r>
      <w:r>
        <w:rPr>
          <w:rFonts w:hint="default" w:ascii="Times New Roman" w:hAnsi="Times New Roman" w:cs="Times New Roman"/>
          <w:b w:val="0"/>
          <w:bCs w:val="0"/>
          <w:highlight w:val="none"/>
        </w:rPr>
        <w:t>、民族与时尚</w:t>
      </w:r>
      <w:r>
        <w:rPr>
          <w:rFonts w:hint="eastAsia" w:ascii="Times New Roman" w:hAnsi="Times New Roman" w:cs="Times New Roman"/>
          <w:b w:val="0"/>
          <w:bCs w:val="0"/>
          <w:highlight w:val="none"/>
          <w:lang w:eastAsia="zh-CN"/>
        </w:rPr>
        <w:t>相</w:t>
      </w:r>
      <w:r>
        <w:rPr>
          <w:rFonts w:hint="default" w:ascii="Times New Roman" w:hAnsi="Times New Roman" w:cs="Times New Roman"/>
          <w:b w:val="0"/>
          <w:bCs w:val="0"/>
          <w:highlight w:val="none"/>
        </w:rPr>
        <w:t>辉映的工艺美术品产业体系。</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围绕数字内容服务、影视文创、动漫创意等领域，培育孵化一批数字创意企业</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积极</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拓展</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影视文创产业链条，</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推动</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创意创作、内容孵化、版权交易、</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影视</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摄制、衍生产品制作等全流程发展。积极</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引进</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上下游资源，</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打造数字</w:t>
      </w: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影视产业集群。</w:t>
      </w:r>
      <w:r>
        <w:rPr>
          <w:rFonts w:hint="default" w:ascii="Times New Roman" w:hAnsi="Times New Roman" w:cs="Times New Roman"/>
          <w:b w:val="0"/>
          <w:bCs w:val="0"/>
          <w:color w:val="000000" w:themeColor="text1"/>
          <w:kern w:val="2"/>
          <w:sz w:val="32"/>
          <w:szCs w:val="24"/>
          <w:highlight w:val="none"/>
          <w:lang w:val="en-US" w:eastAsia="zh-CN" w:bidi="ar-SA"/>
          <w14:textFill>
            <w14:solidFill>
              <w14:schemeClr w14:val="tx1"/>
            </w14:solidFill>
          </w14:textFill>
        </w:rPr>
        <w:t>发展特色演艺产业，</w:t>
      </w:r>
      <w:r>
        <w:rPr>
          <w:rFonts w:hint="default" w:ascii="Times New Roman" w:hAnsi="Times New Roman" w:cs="Times New Roman"/>
          <w:b w:val="0"/>
          <w:bCs w:val="0"/>
          <w:highlight w:val="none"/>
        </w:rPr>
        <w:t>迎合消费者对体验感、互动性和场景感的文娱升级需求，</w:t>
      </w:r>
      <w:r>
        <w:rPr>
          <w:rFonts w:hint="default" w:ascii="Times New Roman" w:hAnsi="Times New Roman" w:cs="Times New Roman"/>
          <w:b w:val="0"/>
          <w:bCs w:val="0"/>
          <w:highlight w:val="none"/>
          <w:lang w:val="en-US" w:eastAsia="zh-CN"/>
        </w:rPr>
        <w:t>依托牛郎织女景区，</w:t>
      </w:r>
      <w:r>
        <w:rPr>
          <w:rFonts w:hint="default" w:ascii="Times New Roman" w:hAnsi="Times New Roman" w:cs="Times New Roman"/>
          <w:b w:val="0"/>
          <w:bCs w:val="0"/>
          <w:highlight w:val="none"/>
        </w:rPr>
        <w:t>运用戏剧、舞蹈、音乐、曲艺等多种艺术形式，</w:t>
      </w:r>
      <w:r>
        <w:rPr>
          <w:rFonts w:hint="default" w:ascii="Times New Roman" w:hAnsi="Times New Roman" w:cs="Times New Roman"/>
          <w:b w:val="0"/>
          <w:bCs w:val="0"/>
          <w:highlight w:val="none"/>
          <w:lang w:val="en-US" w:eastAsia="zh-CN"/>
        </w:rPr>
        <w:t>打造爱情文化沉浸式精品演绎作品</w:t>
      </w:r>
      <w:r>
        <w:rPr>
          <w:rFonts w:hint="default" w:ascii="Times New Roman" w:hAnsi="Times New Roman" w:cs="Times New Roman"/>
          <w:b w:val="0"/>
          <w:bCs w:val="0"/>
          <w:highlight w:val="none"/>
        </w:rPr>
        <w:t>。</w:t>
      </w:r>
      <w:bookmarkStart w:id="42" w:name="_Toc12624"/>
    </w:p>
    <w:p w14:paraId="05C2CB3B">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bookmarkStart w:id="43" w:name="_Toc18530_WPSOffice_Level2"/>
      <w:bookmarkStart w:id="44" w:name="_Toc8471"/>
      <w:r>
        <w:rPr>
          <w:rFonts w:hint="default" w:ascii="Times New Roman" w:hAnsi="Times New Roman" w:cs="Times New Roman"/>
          <w:sz w:val="32"/>
          <w:szCs w:val="22"/>
          <w:highlight w:val="none"/>
        </w:rPr>
        <w:t>第</w:t>
      </w:r>
      <w:r>
        <w:rPr>
          <w:rFonts w:hint="default" w:ascii="Times New Roman" w:hAnsi="Times New Roman" w:cs="Times New Roman"/>
          <w:sz w:val="32"/>
          <w:szCs w:val="22"/>
          <w:highlight w:val="none"/>
          <w:lang w:val="en-US" w:eastAsia="zh-CN"/>
        </w:rPr>
        <w:t>四</w:t>
      </w:r>
      <w:r>
        <w:rPr>
          <w:rFonts w:hint="default" w:ascii="Times New Roman" w:hAnsi="Times New Roman" w:cs="Times New Roman"/>
          <w:sz w:val="32"/>
          <w:szCs w:val="22"/>
          <w:highlight w:val="none"/>
        </w:rPr>
        <w:t>节</w:t>
      </w:r>
      <w:r>
        <w:rPr>
          <w:rFonts w:hint="default" w:ascii="Times New Roman" w:hAnsi="Times New Roman" w:cs="Times New Roman"/>
          <w:sz w:val="32"/>
          <w:szCs w:val="22"/>
          <w:highlight w:val="none"/>
          <w:lang w:val="en-US" w:eastAsia="zh-CN"/>
        </w:rPr>
        <w:t xml:space="preserve"> </w:t>
      </w:r>
      <w:r>
        <w:rPr>
          <w:rFonts w:hint="default" w:ascii="Times New Roman" w:hAnsi="Times New Roman" w:cs="Times New Roman"/>
          <w:sz w:val="32"/>
          <w:szCs w:val="22"/>
          <w:highlight w:val="none"/>
        </w:rPr>
        <w:t xml:space="preserve"> 做优做强园区平台矩阵</w:t>
      </w:r>
      <w:bookmarkEnd w:id="42"/>
      <w:bookmarkEnd w:id="43"/>
      <w:bookmarkEnd w:id="44"/>
    </w:p>
    <w:p w14:paraId="70CF5CD7">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坚持将园区作为全县工业</w:t>
      </w:r>
      <w:r>
        <w:rPr>
          <w:rFonts w:hint="default" w:ascii="Times New Roman" w:hAnsi="Times New Roman" w:cs="Times New Roman"/>
          <w:b w:val="0"/>
          <w:bCs w:val="0"/>
          <w:kern w:val="2"/>
          <w:sz w:val="32"/>
          <w:szCs w:val="32"/>
          <w:highlight w:val="none"/>
          <w:lang w:val="en-US" w:eastAsia="zh-CN" w:bidi="ar-SA"/>
        </w:rPr>
        <w:t>经济</w:t>
      </w:r>
      <w:r>
        <w:rPr>
          <w:rFonts w:hint="default" w:ascii="Times New Roman" w:hAnsi="Times New Roman" w:eastAsia="仿宋_GB2312" w:cs="Times New Roman"/>
          <w:b w:val="0"/>
          <w:bCs w:val="0"/>
          <w:kern w:val="2"/>
          <w:sz w:val="32"/>
          <w:szCs w:val="32"/>
          <w:highlight w:val="none"/>
          <w:lang w:val="en-US" w:eastAsia="zh-CN" w:bidi="ar-SA"/>
        </w:rPr>
        <w:t>发展的主战场，</w:t>
      </w:r>
      <w:r>
        <w:rPr>
          <w:rFonts w:hint="default" w:ascii="Times New Roman" w:hAnsi="Times New Roman" w:cs="Times New Roman"/>
          <w:b w:val="0"/>
          <w:bCs w:val="0"/>
          <w:kern w:val="2"/>
          <w:sz w:val="32"/>
          <w:szCs w:val="32"/>
          <w:highlight w:val="none"/>
          <w:lang w:val="en-US" w:eastAsia="zh-CN" w:bidi="ar-SA"/>
        </w:rPr>
        <w:t>加力做大做强做优</w:t>
      </w:r>
      <w:r>
        <w:rPr>
          <w:rFonts w:hint="default" w:ascii="Times New Roman" w:hAnsi="Times New Roman" w:eastAsia="仿宋_GB2312" w:cs="Times New Roman"/>
          <w:b w:val="0"/>
          <w:bCs w:val="0"/>
          <w:kern w:val="2"/>
          <w:sz w:val="32"/>
          <w:szCs w:val="32"/>
          <w:highlight w:val="none"/>
          <w:lang w:val="en-US" w:eastAsia="zh-CN" w:bidi="ar-SA"/>
        </w:rPr>
        <w:t>各类园区平台，</w:t>
      </w:r>
      <w:r>
        <w:rPr>
          <w:rFonts w:hint="default" w:ascii="Times New Roman" w:hAnsi="Times New Roman" w:cs="Times New Roman"/>
          <w:b w:val="0"/>
          <w:bCs w:val="0"/>
          <w:kern w:val="2"/>
          <w:sz w:val="32"/>
          <w:szCs w:val="32"/>
          <w:highlight w:val="none"/>
          <w:lang w:val="en-US" w:eastAsia="zh-CN" w:bidi="ar-SA"/>
        </w:rPr>
        <w:t>打造以沂源</w:t>
      </w:r>
      <w:r>
        <w:rPr>
          <w:rFonts w:hint="default" w:ascii="Times New Roman" w:hAnsi="Times New Roman" w:eastAsia="仿宋_GB2312" w:cs="Times New Roman"/>
          <w:b w:val="0"/>
          <w:bCs w:val="0"/>
          <w:kern w:val="2"/>
          <w:sz w:val="32"/>
          <w:szCs w:val="32"/>
          <w:highlight w:val="none"/>
          <w:lang w:val="en-US" w:eastAsia="zh-CN" w:bidi="ar-SA"/>
        </w:rPr>
        <w:t>经济开发区为核心，以</w:t>
      </w:r>
      <w:r>
        <w:rPr>
          <w:rFonts w:hint="default" w:ascii="Times New Roman" w:hAnsi="Times New Roman" w:cs="Times New Roman"/>
          <w:b w:val="0"/>
          <w:bCs w:val="0"/>
          <w:spacing w:val="-6"/>
          <w:kern w:val="2"/>
          <w:sz w:val="32"/>
          <w:szCs w:val="32"/>
          <w:highlight w:val="none"/>
          <w:lang w:val="en-US" w:eastAsia="zh-CN" w:bidi="ar-SA"/>
        </w:rPr>
        <w:t>镇街现有工业集聚区为支撑的“1核心、N支撑”园区平台矩阵</w:t>
      </w:r>
      <w:r>
        <w:rPr>
          <w:rFonts w:hint="default" w:ascii="Times New Roman" w:hAnsi="Times New Roman" w:eastAsia="仿宋_GB2312" w:cs="Times New Roman"/>
          <w:b w:val="0"/>
          <w:bCs w:val="0"/>
          <w:spacing w:val="-6"/>
          <w:kern w:val="2"/>
          <w:sz w:val="32"/>
          <w:szCs w:val="32"/>
          <w:highlight w:val="none"/>
          <w:lang w:val="en-US" w:eastAsia="zh-CN" w:bidi="ar-SA"/>
        </w:rPr>
        <w:t>。</w:t>
      </w:r>
    </w:p>
    <w:p w14:paraId="398C1F56">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bookmarkStart w:id="45" w:name="_Toc1724_WPSOffice_Level3"/>
      <w:r>
        <w:rPr>
          <w:rFonts w:hint="default" w:ascii="Times New Roman" w:hAnsi="Times New Roman" w:cs="Times New Roman"/>
          <w:highlight w:val="none"/>
        </w:rPr>
        <w:t>1.进一步巩固</w:t>
      </w:r>
      <w:r>
        <w:rPr>
          <w:rFonts w:hint="eastAsia" w:ascii="Times New Roman" w:hAnsi="Times New Roman" w:cs="Times New Roman"/>
          <w:highlight w:val="none"/>
          <w:lang w:eastAsia="zh-CN"/>
        </w:rPr>
        <w:t>沂源</w:t>
      </w:r>
      <w:r>
        <w:rPr>
          <w:rFonts w:hint="default" w:ascii="Times New Roman" w:hAnsi="Times New Roman" w:cs="Times New Roman"/>
          <w:highlight w:val="none"/>
        </w:rPr>
        <w:t>经济开发区“主战场”地位</w:t>
      </w:r>
      <w:bookmarkEnd w:id="45"/>
    </w:p>
    <w:p w14:paraId="514BE3F1">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spacing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优化</w:t>
      </w:r>
      <w:r>
        <w:rPr>
          <w:rFonts w:hint="default" w:ascii="Times New Roman" w:hAnsi="Times New Roman" w:cs="Times New Roman"/>
          <w:b w:val="0"/>
          <w:bCs w:val="0"/>
          <w:kern w:val="2"/>
          <w:sz w:val="32"/>
          <w:szCs w:val="32"/>
          <w:highlight w:val="none"/>
          <w:lang w:val="en-US" w:eastAsia="zh-CN" w:bidi="ar-SA"/>
        </w:rPr>
        <w:t>沂源</w:t>
      </w:r>
      <w:r>
        <w:rPr>
          <w:rFonts w:hint="default" w:ascii="Times New Roman" w:hAnsi="Times New Roman" w:eastAsia="仿宋_GB2312" w:cs="Times New Roman"/>
          <w:b w:val="0"/>
          <w:bCs w:val="0"/>
          <w:kern w:val="2"/>
          <w:sz w:val="32"/>
          <w:szCs w:val="32"/>
          <w:highlight w:val="none"/>
          <w:lang w:val="en-US" w:eastAsia="zh-CN" w:bidi="ar-SA"/>
        </w:rPr>
        <w:t>经济开发区总体规划和产业规划，构建“一轴两带</w:t>
      </w:r>
      <w:r>
        <w:rPr>
          <w:rFonts w:hint="default" w:ascii="Times New Roman" w:hAnsi="Times New Roman" w:cs="Times New Roman"/>
          <w:b w:val="0"/>
          <w:bCs w:val="0"/>
          <w:kern w:val="2"/>
          <w:sz w:val="32"/>
          <w:szCs w:val="32"/>
          <w:highlight w:val="none"/>
          <w:lang w:val="en-US" w:eastAsia="zh-CN" w:bidi="ar-SA"/>
        </w:rPr>
        <w:t>八</w:t>
      </w:r>
      <w:r>
        <w:rPr>
          <w:rFonts w:hint="default" w:ascii="Times New Roman" w:hAnsi="Times New Roman" w:eastAsia="仿宋_GB2312" w:cs="Times New Roman"/>
          <w:b w:val="0"/>
          <w:bCs w:val="0"/>
          <w:kern w:val="2"/>
          <w:sz w:val="32"/>
          <w:szCs w:val="32"/>
          <w:highlight w:val="none"/>
          <w:lang w:val="en-US" w:eastAsia="zh-CN" w:bidi="ar-SA"/>
        </w:rPr>
        <w:t>片</w:t>
      </w:r>
      <w:r>
        <w:rPr>
          <w:rFonts w:hint="default" w:ascii="Times New Roman" w:hAnsi="Times New Roman" w:cs="Times New Roman"/>
          <w:b w:val="0"/>
          <w:bCs w:val="0"/>
          <w:kern w:val="2"/>
          <w:sz w:val="32"/>
          <w:szCs w:val="32"/>
          <w:highlight w:val="none"/>
          <w:lang w:val="en-US" w:eastAsia="zh-CN" w:bidi="ar-SA"/>
        </w:rPr>
        <w:t>（园）</w:t>
      </w:r>
      <w:r>
        <w:rPr>
          <w:rFonts w:hint="default" w:ascii="Times New Roman" w:hAnsi="Times New Roman" w:eastAsia="仿宋_GB2312" w:cs="Times New Roman"/>
          <w:b w:val="0"/>
          <w:bCs w:val="0"/>
          <w:kern w:val="2"/>
          <w:sz w:val="32"/>
          <w:szCs w:val="32"/>
          <w:highlight w:val="none"/>
          <w:lang w:val="en-US" w:eastAsia="zh-CN" w:bidi="ar-SA"/>
        </w:rPr>
        <w:t>区”空间结构，形成“生产—生活—生态”协同发展格局。实施基础设施提升工程，加强道路、污水管网、公共管廊、污水处理厂、河道治理、中水回用及化工园区“十有两禁”等基础设施建设，提升</w:t>
      </w:r>
      <w:r>
        <w:rPr>
          <w:rFonts w:hint="default" w:ascii="Times New Roman" w:hAnsi="Times New Roman" w:cs="Times New Roman"/>
          <w:b w:val="0"/>
          <w:bCs w:val="0"/>
          <w:kern w:val="2"/>
          <w:sz w:val="32"/>
          <w:szCs w:val="32"/>
          <w:highlight w:val="none"/>
          <w:lang w:val="en-US" w:eastAsia="zh-CN" w:bidi="ar-SA"/>
        </w:rPr>
        <w:t>园区</w:t>
      </w:r>
      <w:r>
        <w:rPr>
          <w:rFonts w:hint="default" w:ascii="Times New Roman" w:hAnsi="Times New Roman" w:eastAsia="仿宋_GB2312" w:cs="Times New Roman"/>
          <w:b w:val="0"/>
          <w:bCs w:val="0"/>
          <w:kern w:val="2"/>
          <w:sz w:val="32"/>
          <w:szCs w:val="32"/>
          <w:highlight w:val="none"/>
          <w:lang w:val="en-US" w:eastAsia="zh-CN" w:bidi="ar-SA"/>
        </w:rPr>
        <w:t>承载能级。聚焦新医药、新材料</w:t>
      </w:r>
      <w:r>
        <w:rPr>
          <w:rFonts w:hint="default" w:ascii="Times New Roman" w:hAnsi="Times New Roman"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highlight w:val="none"/>
          <w:lang w:val="en-US" w:eastAsia="zh-CN" w:bidi="ar-SA"/>
        </w:rPr>
        <w:t>精细化工</w:t>
      </w:r>
      <w:r>
        <w:rPr>
          <w:rFonts w:hint="default" w:ascii="Times New Roman" w:hAnsi="Times New Roman" w:cs="Times New Roman"/>
          <w:b w:val="0"/>
          <w:bCs w:val="0"/>
          <w:kern w:val="2"/>
          <w:sz w:val="32"/>
          <w:szCs w:val="32"/>
          <w:highlight w:val="none"/>
          <w:lang w:val="en-US" w:eastAsia="zh-CN" w:bidi="ar-SA"/>
        </w:rPr>
        <w:t>、新能源、现代装备制造</w:t>
      </w:r>
      <w:r>
        <w:rPr>
          <w:rFonts w:hint="default" w:ascii="Times New Roman" w:hAnsi="Times New Roman" w:eastAsia="仿宋_GB2312" w:cs="Times New Roman"/>
          <w:b w:val="0"/>
          <w:bCs w:val="0"/>
          <w:kern w:val="2"/>
          <w:sz w:val="32"/>
          <w:szCs w:val="32"/>
          <w:highlight w:val="none"/>
          <w:lang w:val="en-US" w:eastAsia="zh-CN" w:bidi="ar-SA"/>
        </w:rPr>
        <w:t>，</w:t>
      </w:r>
      <w:r>
        <w:rPr>
          <w:rFonts w:hint="default" w:ascii="Times New Roman" w:hAnsi="Times New Roman" w:cs="Times New Roman"/>
          <w:b w:val="0"/>
          <w:bCs w:val="0"/>
          <w:kern w:val="2"/>
          <w:sz w:val="32"/>
          <w:szCs w:val="32"/>
          <w:highlight w:val="none"/>
          <w:lang w:val="en-US" w:eastAsia="zh-CN" w:bidi="ar-SA"/>
        </w:rPr>
        <w:t>按照</w:t>
      </w:r>
      <w:r>
        <w:rPr>
          <w:rFonts w:hint="default" w:ascii="Times New Roman" w:hAnsi="Times New Roman" w:eastAsia="仿宋_GB2312" w:cs="Times New Roman"/>
          <w:b w:val="0"/>
          <w:bCs w:val="0"/>
          <w:kern w:val="2"/>
          <w:sz w:val="32"/>
          <w:szCs w:val="32"/>
          <w:highlight w:val="none"/>
          <w:lang w:val="en-US" w:eastAsia="zh-CN" w:bidi="ar-SA"/>
        </w:rPr>
        <w:t>“巩固基本盘、拓展新领域、培育生力军”的产业发展策略，通过“延链、补链、强链”，推动产业集群化、高端化发展，全面提升产业核心竞争力，力争形成若干在国内具有重要影响力的产业集群，构建“老动能持续发力、新动能加速成长、多领域百花齐放”的产业生态。</w:t>
      </w:r>
      <w:r>
        <w:rPr>
          <w:rFonts w:hint="default" w:ascii="Times New Roman" w:hAnsi="Times New Roman" w:cs="Times New Roman"/>
          <w:b w:val="0"/>
          <w:bCs w:val="0"/>
          <w:kern w:val="2"/>
          <w:sz w:val="32"/>
          <w:szCs w:val="32"/>
          <w:highlight w:val="none"/>
          <w:lang w:val="en-US" w:eastAsia="zh-CN" w:bidi="ar-SA"/>
        </w:rPr>
        <w:t>有序</w:t>
      </w:r>
      <w:r>
        <w:rPr>
          <w:rFonts w:hint="default" w:ascii="Times New Roman" w:hAnsi="Times New Roman" w:eastAsia="仿宋_GB2312" w:cs="Times New Roman"/>
          <w:b w:val="0"/>
          <w:bCs w:val="0"/>
          <w:kern w:val="2"/>
          <w:sz w:val="32"/>
          <w:szCs w:val="32"/>
          <w:highlight w:val="none"/>
          <w:lang w:val="en-US" w:eastAsia="zh-CN" w:bidi="ar-SA"/>
        </w:rPr>
        <w:t>推进“园中园”建设，</w:t>
      </w:r>
      <w:r>
        <w:rPr>
          <w:rFonts w:hint="default" w:ascii="Times New Roman" w:hAnsi="Times New Roman" w:cs="Times New Roman"/>
          <w:b w:val="0"/>
          <w:bCs w:val="0"/>
          <w:kern w:val="2"/>
          <w:sz w:val="32"/>
          <w:szCs w:val="32"/>
          <w:highlight w:val="none"/>
          <w:lang w:val="en-US" w:eastAsia="zh-CN" w:bidi="ar-SA"/>
        </w:rPr>
        <w:t>依托龙头骨干企业有效集聚</w:t>
      </w:r>
      <w:r>
        <w:rPr>
          <w:rFonts w:hint="default" w:ascii="Times New Roman" w:hAnsi="Times New Roman" w:cs="Times New Roman"/>
          <w:b w:val="0"/>
          <w:bCs w:val="0"/>
          <w:spacing w:val="6"/>
          <w:kern w:val="2"/>
          <w:sz w:val="32"/>
          <w:szCs w:val="32"/>
          <w:highlight w:val="none"/>
          <w:lang w:val="en-US" w:eastAsia="zh-CN" w:bidi="ar-SA"/>
        </w:rPr>
        <w:t>产业链上下游企业入驻</w:t>
      </w:r>
      <w:r>
        <w:rPr>
          <w:rFonts w:hint="default" w:ascii="Times New Roman" w:hAnsi="Times New Roman" w:eastAsia="仿宋_GB2312" w:cs="Times New Roman"/>
          <w:b w:val="0"/>
          <w:bCs w:val="0"/>
          <w:spacing w:val="6"/>
          <w:kern w:val="2"/>
          <w:sz w:val="32"/>
          <w:szCs w:val="32"/>
          <w:highlight w:val="none"/>
          <w:lang w:val="en-US" w:eastAsia="zh-CN" w:bidi="ar-SA"/>
        </w:rPr>
        <w:t>。“十五</w:t>
      </w:r>
      <w:r>
        <w:rPr>
          <w:rFonts w:hint="default" w:ascii="Times New Roman" w:hAnsi="Times New Roman" w:eastAsia="仿宋_GB2312" w:cs="Times New Roman"/>
          <w:b w:val="0"/>
          <w:bCs w:val="0"/>
          <w:spacing w:val="0"/>
          <w:kern w:val="2"/>
          <w:sz w:val="32"/>
          <w:szCs w:val="32"/>
          <w:highlight w:val="none"/>
          <w:lang w:val="en-US" w:eastAsia="zh-CN" w:bidi="ar-SA"/>
        </w:rPr>
        <w:t>五”末，</w:t>
      </w:r>
      <w:r>
        <w:rPr>
          <w:rFonts w:hint="default" w:ascii="Times New Roman" w:hAnsi="Times New Roman" w:cs="Times New Roman"/>
          <w:b w:val="0"/>
          <w:bCs w:val="0"/>
          <w:spacing w:val="0"/>
          <w:kern w:val="2"/>
          <w:sz w:val="32"/>
          <w:szCs w:val="32"/>
          <w:highlight w:val="none"/>
          <w:lang w:val="en-US" w:eastAsia="zh-CN" w:bidi="ar-SA"/>
        </w:rPr>
        <w:t>沂源</w:t>
      </w:r>
      <w:r>
        <w:rPr>
          <w:rFonts w:hint="default" w:ascii="Times New Roman" w:hAnsi="Times New Roman" w:eastAsia="仿宋_GB2312" w:cs="Times New Roman"/>
          <w:b w:val="0"/>
          <w:bCs w:val="0"/>
          <w:spacing w:val="0"/>
          <w:kern w:val="2"/>
          <w:sz w:val="32"/>
          <w:szCs w:val="32"/>
          <w:highlight w:val="none"/>
          <w:lang w:val="en-US" w:eastAsia="zh-CN" w:bidi="ar-SA"/>
        </w:rPr>
        <w:t>经济开发区综合实力实现大幅跃升，在全县经济发展中的“主战场、主引擎、主阵地”地位更加巩固，对县域经济</w:t>
      </w:r>
      <w:r>
        <w:rPr>
          <w:rFonts w:hint="default" w:ascii="Times New Roman" w:hAnsi="Times New Roman" w:cs="Times New Roman"/>
          <w:b w:val="0"/>
          <w:bCs w:val="0"/>
          <w:spacing w:val="0"/>
          <w:kern w:val="2"/>
          <w:sz w:val="32"/>
          <w:szCs w:val="32"/>
          <w:highlight w:val="none"/>
          <w:lang w:val="en-US" w:eastAsia="zh-CN" w:bidi="ar-SA"/>
        </w:rPr>
        <w:t>发展</w:t>
      </w:r>
      <w:r>
        <w:rPr>
          <w:rFonts w:hint="default" w:ascii="Times New Roman" w:hAnsi="Times New Roman" w:eastAsia="仿宋_GB2312" w:cs="Times New Roman"/>
          <w:b w:val="0"/>
          <w:bCs w:val="0"/>
          <w:spacing w:val="0"/>
          <w:kern w:val="2"/>
          <w:sz w:val="32"/>
          <w:szCs w:val="32"/>
          <w:highlight w:val="none"/>
          <w:lang w:val="en-US" w:eastAsia="zh-CN" w:bidi="ar-SA"/>
        </w:rPr>
        <w:t>的辐射带动和支撑引领作用更加突出。</w:t>
      </w:r>
      <w:r>
        <w:rPr>
          <w:rFonts w:hint="default" w:ascii="Times New Roman" w:hAnsi="Times New Roman" w:cs="Times New Roman"/>
          <w:b w:val="0"/>
          <w:bCs w:val="0"/>
          <w:spacing w:val="0"/>
          <w:kern w:val="2"/>
          <w:sz w:val="32"/>
          <w:szCs w:val="32"/>
          <w:highlight w:val="none"/>
          <w:lang w:val="en-US" w:eastAsia="zh-CN" w:bidi="ar-SA"/>
        </w:rPr>
        <w:t>园区</w:t>
      </w:r>
      <w:r>
        <w:rPr>
          <w:rFonts w:hint="default" w:ascii="Times New Roman" w:hAnsi="Times New Roman" w:eastAsia="仿宋_GB2312" w:cs="Times New Roman"/>
          <w:b w:val="0"/>
          <w:bCs w:val="0"/>
          <w:spacing w:val="0"/>
          <w:kern w:val="2"/>
          <w:sz w:val="32"/>
          <w:szCs w:val="32"/>
          <w:highlight w:val="none"/>
          <w:lang w:val="en-US" w:eastAsia="zh-CN" w:bidi="ar-SA"/>
        </w:rPr>
        <w:t>规上工业企业数量突破160家</w:t>
      </w:r>
      <w:r>
        <w:rPr>
          <w:rFonts w:hint="default" w:ascii="Times New Roman" w:hAnsi="Times New Roman" w:cs="Times New Roman"/>
          <w:b w:val="0"/>
          <w:bCs w:val="0"/>
          <w:spacing w:val="0"/>
          <w:kern w:val="2"/>
          <w:sz w:val="32"/>
          <w:szCs w:val="32"/>
          <w:highlight w:val="none"/>
          <w:lang w:val="en-US" w:eastAsia="zh-CN" w:bidi="ar-SA"/>
        </w:rPr>
        <w:t>，</w:t>
      </w:r>
      <w:r>
        <w:rPr>
          <w:rFonts w:hint="default" w:ascii="Times New Roman" w:hAnsi="Times New Roman" w:eastAsia="仿宋_GB2312" w:cs="Times New Roman"/>
          <w:b w:val="0"/>
          <w:bCs w:val="0"/>
          <w:spacing w:val="0"/>
          <w:kern w:val="2"/>
          <w:sz w:val="32"/>
          <w:szCs w:val="32"/>
          <w:highlight w:val="none"/>
          <w:lang w:val="en-US" w:eastAsia="zh-CN" w:bidi="ar-SA"/>
        </w:rPr>
        <w:t>规上工业总产值占全县总量的比重稳定在90%以上，争创</w:t>
      </w:r>
      <w:r>
        <w:rPr>
          <w:rFonts w:hint="default" w:ascii="Times New Roman" w:hAnsi="Times New Roman" w:cs="Times New Roman"/>
          <w:b w:val="0"/>
          <w:bCs w:val="0"/>
          <w:spacing w:val="0"/>
          <w:kern w:val="2"/>
          <w:sz w:val="32"/>
          <w:szCs w:val="32"/>
          <w:highlight w:val="none"/>
          <w:lang w:val="en-US" w:eastAsia="zh-CN" w:bidi="ar-SA"/>
        </w:rPr>
        <w:t>国家级经济技术开发区</w:t>
      </w:r>
      <w:r>
        <w:rPr>
          <w:rFonts w:hint="default" w:ascii="Times New Roman" w:hAnsi="Times New Roman" w:eastAsia="仿宋_GB2312" w:cs="Times New Roman"/>
          <w:b w:val="0"/>
          <w:bCs w:val="0"/>
          <w:spacing w:val="0"/>
          <w:kern w:val="2"/>
          <w:sz w:val="32"/>
          <w:szCs w:val="32"/>
          <w:highlight w:val="none"/>
          <w:lang w:val="en-US" w:eastAsia="zh-CN" w:bidi="ar-SA"/>
        </w:rPr>
        <w:t>。</w:t>
      </w:r>
    </w:p>
    <w:p w14:paraId="70D27AE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spacing w:val="0"/>
          <w:kern w:val="2"/>
          <w:sz w:val="32"/>
          <w:szCs w:val="32"/>
          <w:highlight w:val="none"/>
          <w:lang w:val="en-US" w:eastAsia="zh-CN" w:bidi="ar-SA"/>
        </w:rPr>
        <w:t>沂源化工产业园依托瑞阳制药、瑞丰高分子、鑫泉医药等骨干企业，坚持高端化、绿色化发展方向，聚力做强健康医药、精细化工两大产业链，推动产业向价值链高端跃升。以瑞阳</w:t>
      </w:r>
      <w:r>
        <w:rPr>
          <w:rFonts w:hint="default" w:ascii="Times New Roman" w:hAnsi="Times New Roman" w:cs="Times New Roman"/>
          <w:b w:val="0"/>
          <w:bCs w:val="0"/>
          <w:spacing w:val="0"/>
          <w:kern w:val="2"/>
          <w:sz w:val="32"/>
          <w:szCs w:val="32"/>
          <w:highlight w:val="none"/>
          <w:lang w:val="en-US" w:eastAsia="zh-CN" w:bidi="ar-SA"/>
        </w:rPr>
        <w:t>制药</w:t>
      </w:r>
      <w:r>
        <w:rPr>
          <w:rFonts w:hint="default" w:ascii="Times New Roman" w:hAnsi="Times New Roman" w:eastAsia="仿宋_GB2312" w:cs="Times New Roman"/>
          <w:b w:val="0"/>
          <w:bCs w:val="0"/>
          <w:spacing w:val="0"/>
          <w:kern w:val="2"/>
          <w:sz w:val="32"/>
          <w:szCs w:val="32"/>
          <w:highlight w:val="none"/>
          <w:lang w:val="en-US" w:eastAsia="zh-CN" w:bidi="ar-SA"/>
        </w:rPr>
        <w:t>为链主，强化化学制药核心优势，同时围绕生物药、中医药、高端药包药辅、医用高分子材料等重点领域，引进一批创新型医药企业，完善全产业链一体化布局。以瑞丰</w:t>
      </w:r>
      <w:r>
        <w:rPr>
          <w:rFonts w:hint="default" w:ascii="Times New Roman" w:hAnsi="Times New Roman" w:cs="Times New Roman"/>
          <w:b w:val="0"/>
          <w:bCs w:val="0"/>
          <w:spacing w:val="0"/>
          <w:kern w:val="2"/>
          <w:sz w:val="32"/>
          <w:szCs w:val="32"/>
          <w:highlight w:val="none"/>
          <w:lang w:val="en-US" w:eastAsia="zh-CN" w:bidi="ar-SA"/>
        </w:rPr>
        <w:t>高分子</w:t>
      </w:r>
      <w:r>
        <w:rPr>
          <w:rFonts w:hint="default" w:ascii="Times New Roman" w:hAnsi="Times New Roman" w:eastAsia="仿宋_GB2312" w:cs="Times New Roman"/>
          <w:b w:val="0"/>
          <w:bCs w:val="0"/>
          <w:spacing w:val="0"/>
          <w:kern w:val="2"/>
          <w:sz w:val="32"/>
          <w:szCs w:val="32"/>
          <w:highlight w:val="none"/>
          <w:lang w:val="en-US" w:eastAsia="zh-CN" w:bidi="ar-SA"/>
        </w:rPr>
        <w:t>为链主，高标准建设高分子助剂产业园，围绕新型催</w:t>
      </w:r>
      <w:r>
        <w:rPr>
          <w:rFonts w:hint="default" w:ascii="Times New Roman" w:hAnsi="Times New Roman" w:eastAsia="仿宋_GB2312" w:cs="Times New Roman"/>
          <w:b w:val="0"/>
          <w:bCs w:val="0"/>
          <w:kern w:val="2"/>
          <w:sz w:val="32"/>
          <w:szCs w:val="32"/>
          <w:highlight w:val="none"/>
          <w:lang w:val="en-US" w:eastAsia="zh-CN" w:bidi="ar-SA"/>
        </w:rPr>
        <w:t>化剂、稳定剂、特种助剂等领域重点招引培育配套企业，加速黑磷材料、电池粘结剂等产品的研发与中试转化，抢占产业化先机，力争培育多个国际领先的战略性产品。</w:t>
      </w:r>
    </w:p>
    <w:tbl>
      <w:tblPr>
        <w:tblStyle w:val="16"/>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6"/>
      </w:tblGrid>
      <w:tr w14:paraId="5F41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536" w:type="dxa"/>
            <w:vAlign w:val="center"/>
          </w:tcPr>
          <w:p w14:paraId="39D2DDFC">
            <w:pPr>
              <w:pStyle w:val="26"/>
              <w:bidi w:val="0"/>
              <w:rPr>
                <w:rFonts w:hint="default" w:ascii="Times New Roman" w:hAnsi="Times New Roman" w:cs="Times New Roman"/>
                <w:highlight w:val="none"/>
                <w:lang w:val="en-US"/>
              </w:rPr>
            </w:pPr>
            <w:r>
              <w:rPr>
                <w:rFonts w:hint="default" w:ascii="Times New Roman" w:hAnsi="Times New Roman" w:cs="Times New Roman"/>
                <w:highlight w:val="none"/>
              </w:rPr>
              <w:t>专栏</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w:t>
            </w:r>
            <w:r>
              <w:rPr>
                <w:rFonts w:hint="default" w:ascii="Times New Roman" w:hAnsi="Times New Roman" w:cs="Times New Roman"/>
                <w:highlight w:val="none"/>
                <w:lang w:val="en-US" w:eastAsia="zh-CN"/>
              </w:rPr>
              <w:t>沂源经济开发区重点园中园</w:t>
            </w:r>
          </w:p>
        </w:tc>
      </w:tr>
      <w:tr w14:paraId="6920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2" w:hRule="atLeast"/>
          <w:jc w:val="center"/>
        </w:trPr>
        <w:tc>
          <w:tcPr>
            <w:tcW w:w="8536" w:type="dxa"/>
          </w:tcPr>
          <w:p w14:paraId="13AB16ED">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color w:val="auto"/>
                <w:spacing w:val="0"/>
                <w:kern w:val="0"/>
                <w:sz w:val="24"/>
                <w:szCs w:val="24"/>
                <w:highlight w:val="none"/>
                <w:lang w:val="en-US" w:eastAsia="zh-CN"/>
              </w:rPr>
            </w:pPr>
            <w:r>
              <w:rPr>
                <w:rFonts w:hint="default" w:ascii="Times New Roman" w:hAnsi="Times New Roman" w:eastAsia="仿宋_GB2312" w:cs="Times New Roman"/>
                <w:b w:val="0"/>
                <w:bCs w:val="0"/>
                <w:color w:val="auto"/>
                <w:kern w:val="0"/>
                <w:sz w:val="24"/>
                <w:szCs w:val="24"/>
                <w:highlight w:val="none"/>
                <w:lang w:val="en-US" w:eastAsia="zh-CN"/>
              </w:rPr>
              <w:t>生物医药</w:t>
            </w:r>
            <w:r>
              <w:rPr>
                <w:rFonts w:hint="default" w:ascii="Times New Roman" w:hAnsi="Times New Roman" w:eastAsia="仿宋_GB2312" w:cs="Times New Roman"/>
                <w:b w:val="0"/>
                <w:bCs w:val="0"/>
                <w:color w:val="auto"/>
                <w:spacing w:val="6"/>
                <w:kern w:val="0"/>
                <w:sz w:val="24"/>
                <w:szCs w:val="24"/>
                <w:highlight w:val="none"/>
                <w:lang w:val="en-US" w:eastAsia="zh-CN"/>
              </w:rPr>
              <w:t>产业</w:t>
            </w:r>
            <w:r>
              <w:rPr>
                <w:rFonts w:hint="default" w:ascii="Times New Roman" w:hAnsi="Times New Roman" w:eastAsia="仿宋_GB2312" w:cs="Times New Roman"/>
                <w:b w:val="0"/>
                <w:bCs w:val="0"/>
                <w:color w:val="auto"/>
                <w:spacing w:val="0"/>
                <w:kern w:val="0"/>
                <w:sz w:val="24"/>
                <w:szCs w:val="24"/>
                <w:highlight w:val="none"/>
                <w:lang w:val="en-US" w:eastAsia="zh-CN"/>
              </w:rPr>
              <w:t>园。定位为新医药产业的创新策源地与制造核心，实施“旗舰企业跃升计划”，全力支持瑞阳制药向生物药、创新药领域战略转型，加速推进瑞阳生物的研发与产业化。</w:t>
            </w:r>
          </w:p>
          <w:p w14:paraId="55A1BDEF">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color w:val="auto"/>
                <w:spacing w:val="0"/>
                <w:kern w:val="0"/>
                <w:sz w:val="24"/>
                <w:szCs w:val="24"/>
                <w:highlight w:val="none"/>
                <w:lang w:val="en-US" w:eastAsia="zh-CN"/>
              </w:rPr>
            </w:pPr>
            <w:r>
              <w:rPr>
                <w:rFonts w:hint="default" w:ascii="Times New Roman" w:hAnsi="Times New Roman" w:eastAsia="仿宋_GB2312" w:cs="Times New Roman"/>
                <w:b w:val="0"/>
                <w:bCs w:val="0"/>
                <w:color w:val="auto"/>
                <w:spacing w:val="0"/>
                <w:kern w:val="0"/>
                <w:sz w:val="24"/>
                <w:szCs w:val="24"/>
                <w:highlight w:val="none"/>
                <w:lang w:val="en-US" w:eastAsia="zh-CN"/>
              </w:rPr>
              <w:t>高端药用包材产业园。定位为全国知名的高端医药包材研发生产基地，通过深化与国药集团的资本与技术合作，推动山东药玻由生产型向科技型转变，扩大中硼硅玻璃管、预灌封注射器等高端产品产能，力争新材料、新技术、新工艺研发上取得突破，实现从“包装材料供应商”向“技术解决方案提供者”转型。</w:t>
            </w:r>
          </w:p>
          <w:p w14:paraId="35506AD8">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color w:val="auto"/>
                <w:spacing w:val="0"/>
                <w:kern w:val="0"/>
                <w:sz w:val="24"/>
                <w:szCs w:val="24"/>
                <w:highlight w:val="none"/>
                <w:lang w:val="en-US" w:eastAsia="zh-CN"/>
              </w:rPr>
            </w:pPr>
            <w:r>
              <w:rPr>
                <w:rFonts w:hint="default" w:ascii="Times New Roman" w:hAnsi="Times New Roman" w:eastAsia="仿宋_GB2312" w:cs="Times New Roman"/>
                <w:b w:val="0"/>
                <w:bCs w:val="0"/>
                <w:color w:val="auto"/>
                <w:spacing w:val="0"/>
                <w:kern w:val="0"/>
                <w:sz w:val="24"/>
                <w:szCs w:val="24"/>
                <w:highlight w:val="none"/>
                <w:lang w:val="en-US" w:eastAsia="zh-CN"/>
              </w:rPr>
              <w:t>康养医疗器械产业园和大健康产业园。定位为功能互补的大健康产业承载平台，通过建立“医养结合”示范板块，实现医疗资源与健康服务无缝对接。康养医疗器械产业园聚焦“医”，采用“专业运营+招商”模式，引进龙头企业和创新团队，聚焦高端耗材、康复器械、智能穿戴设备等领域，形成特色鲜明的医疗器械产业集群。大健康产业园聚焦“养”，推动中草药种植与文化旅游、健康养生深度融合，开发药膳、康养旅游等衍生品，打造大健康产业生态圈。</w:t>
            </w:r>
          </w:p>
          <w:p w14:paraId="2B296352">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color w:val="auto"/>
                <w:spacing w:val="0"/>
                <w:kern w:val="0"/>
                <w:sz w:val="24"/>
                <w:szCs w:val="24"/>
                <w:highlight w:val="none"/>
                <w:lang w:val="en-US" w:eastAsia="zh-CN"/>
              </w:rPr>
            </w:pPr>
            <w:r>
              <w:rPr>
                <w:rFonts w:hint="default" w:ascii="Times New Roman" w:hAnsi="Times New Roman" w:eastAsia="仿宋_GB2312" w:cs="Times New Roman"/>
                <w:b w:val="0"/>
                <w:bCs w:val="0"/>
                <w:color w:val="auto"/>
                <w:spacing w:val="0"/>
                <w:kern w:val="0"/>
                <w:sz w:val="24"/>
                <w:szCs w:val="24"/>
                <w:highlight w:val="none"/>
                <w:lang w:val="en-US" w:eastAsia="zh-CN"/>
              </w:rPr>
              <w:t>高分子助剂产业园。定位为绿色、专业的化工新材料园区，以化工产业园为载体，以瑞丰高分子的工程塑料、可降解塑料等高附加值项目为引领，重点发展环保型助剂、高性能表面活性材料等，推动产品向精细化、功能化、绿色化跃升，打造在国内具有重要影响力的高分子助剂产业集群。</w:t>
            </w:r>
          </w:p>
          <w:p w14:paraId="266948AE">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color w:val="auto"/>
                <w:spacing w:val="0"/>
                <w:kern w:val="0"/>
                <w:sz w:val="24"/>
                <w:szCs w:val="24"/>
                <w:highlight w:val="none"/>
                <w:lang w:val="en-US" w:eastAsia="zh-CN"/>
              </w:rPr>
            </w:pPr>
            <w:r>
              <w:rPr>
                <w:rFonts w:hint="default" w:ascii="Times New Roman" w:hAnsi="Times New Roman" w:eastAsia="仿宋_GB2312" w:cs="Times New Roman"/>
                <w:b w:val="0"/>
                <w:bCs w:val="0"/>
                <w:color w:val="auto"/>
                <w:spacing w:val="0"/>
                <w:kern w:val="0"/>
                <w:sz w:val="24"/>
                <w:szCs w:val="24"/>
                <w:highlight w:val="none"/>
                <w:lang w:val="en-US" w:eastAsia="zh-CN"/>
              </w:rPr>
              <w:t>纤维复合材料产业园。定位为高端玻纤复合材料制品创新与应用基地，以卓意、博克塞斯等企业为核心，成立“玻纤复合材料应用研究院”，探索风电叶片、新能源储运、海洋工程、航空航天、特色农业以及装配式建筑、特种工程结构等产品。</w:t>
            </w:r>
          </w:p>
          <w:p w14:paraId="45D51F3D">
            <w:pPr>
              <w:pStyle w:val="27"/>
              <w:keepNext w:val="0"/>
              <w:keepLines w:val="0"/>
              <w:pageBreakBefore w:val="0"/>
              <w:widowControl w:val="0"/>
              <w:kinsoku/>
              <w:wordWrap/>
              <w:overflowPunct/>
              <w:topLinePunct w:val="0"/>
              <w:autoSpaceDE/>
              <w:autoSpaceDN/>
              <w:bidi w:val="0"/>
              <w:adjustRightInd/>
              <w:snapToGrid/>
              <w:spacing w:line="400" w:lineRule="exact"/>
              <w:ind w:firstLine="422"/>
              <w:textAlignment w:val="auto"/>
              <w:outlineLvl w:val="9"/>
              <w:rPr>
                <w:rFonts w:hint="default" w:ascii="Times New Roman" w:hAnsi="Times New Roman" w:eastAsia="仿宋_GB2312" w:cs="Times New Roman"/>
                <w:b w:val="0"/>
                <w:bCs w:val="0"/>
                <w:kern w:val="0"/>
                <w:sz w:val="24"/>
                <w:szCs w:val="24"/>
                <w:highlight w:val="none"/>
                <w:lang w:val="en-US" w:eastAsia="zh-CN"/>
              </w:rPr>
            </w:pPr>
            <w:r>
              <w:rPr>
                <w:rFonts w:hint="default" w:ascii="Times New Roman" w:hAnsi="Times New Roman" w:eastAsia="仿宋_GB2312" w:cs="Times New Roman"/>
                <w:b w:val="0"/>
                <w:bCs w:val="0"/>
                <w:color w:val="auto"/>
                <w:spacing w:val="0"/>
                <w:kern w:val="0"/>
                <w:sz w:val="24"/>
                <w:szCs w:val="24"/>
                <w:highlight w:val="none"/>
                <w:lang w:val="en-US" w:eastAsia="zh-CN"/>
              </w:rPr>
              <w:t>节能材料产业</w:t>
            </w:r>
            <w:r>
              <w:rPr>
                <w:rFonts w:hint="default" w:ascii="Times New Roman" w:hAnsi="Times New Roman" w:eastAsia="仿宋_GB2312" w:cs="Times New Roman"/>
                <w:b w:val="0"/>
                <w:bCs w:val="0"/>
                <w:color w:val="auto"/>
                <w:spacing w:val="6"/>
                <w:kern w:val="0"/>
                <w:sz w:val="24"/>
                <w:szCs w:val="24"/>
                <w:highlight w:val="none"/>
                <w:lang w:val="en-US" w:eastAsia="zh-CN"/>
              </w:rPr>
              <w:t>园和高温材料产业园。定位为国家级无机纤维材料研发制造基地，以华源、鲁科为龙头，以“五五工程”为核心战略，聚焦玻璃、陶瓷、玄武岩、氧化铝、氧化锆五种纤维材料，通过新品研发、产品制造、货物运输、工程施工、线上销售五大通道协同发力，线下组建无机纤维产业联盟和节能保温材料安装协会整合力量拓展全国市场，线上全力建设运营节能保温材料产业数字经济平台，打造“线下延链建群，线上同步成势”的国家级无机纤维材料先进制造业集</w:t>
            </w:r>
            <w:r>
              <w:rPr>
                <w:rFonts w:hint="default" w:ascii="Times New Roman" w:hAnsi="Times New Roman" w:eastAsia="仿宋_GB2312" w:cs="Times New Roman"/>
                <w:b w:val="0"/>
                <w:bCs w:val="0"/>
                <w:color w:val="auto"/>
                <w:spacing w:val="0"/>
                <w:kern w:val="0"/>
                <w:sz w:val="24"/>
                <w:szCs w:val="24"/>
                <w:highlight w:val="none"/>
                <w:lang w:val="en-US" w:eastAsia="zh-CN"/>
              </w:rPr>
              <w:t>群。</w:t>
            </w:r>
          </w:p>
        </w:tc>
      </w:tr>
    </w:tbl>
    <w:p w14:paraId="07DE9846">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eastAsia="zh-CN"/>
        </w:rPr>
      </w:pPr>
      <w:bookmarkStart w:id="46" w:name="_Toc5054_WPSOffice_Level3"/>
      <w:r>
        <w:rPr>
          <w:rFonts w:hint="default" w:ascii="Times New Roman" w:hAnsi="Times New Roman" w:cs="Times New Roman"/>
          <w:highlight w:val="none"/>
        </w:rPr>
        <w:t>2</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建设一批各具特色的</w:t>
      </w:r>
      <w:r>
        <w:rPr>
          <w:rFonts w:hint="default" w:ascii="Times New Roman" w:hAnsi="Times New Roman" w:cs="Times New Roman"/>
          <w:highlight w:val="none"/>
          <w:lang w:val="en-US" w:eastAsia="zh-CN"/>
        </w:rPr>
        <w:t>产业承载平台</w:t>
      </w:r>
      <w:bookmarkEnd w:id="46"/>
    </w:p>
    <w:p w14:paraId="321A81DD">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cs="Times New Roman"/>
          <w:b w:val="0"/>
          <w:bCs w:val="0"/>
          <w:spacing w:val="0"/>
          <w:sz w:val="32"/>
          <w:szCs w:val="32"/>
          <w:highlight w:val="none"/>
        </w:rPr>
      </w:pPr>
      <w:r>
        <w:rPr>
          <w:rFonts w:hint="default" w:ascii="Times New Roman" w:hAnsi="Times New Roman" w:cs="Times New Roman"/>
          <w:b w:val="0"/>
          <w:bCs w:val="0"/>
          <w:spacing w:val="0"/>
          <w:sz w:val="32"/>
          <w:szCs w:val="32"/>
          <w:highlight w:val="none"/>
        </w:rPr>
        <w:t>加强南部物流园、西部宜居新城、东里绿动力产业园等</w:t>
      </w:r>
      <w:r>
        <w:rPr>
          <w:rFonts w:hint="default" w:ascii="Times New Roman" w:hAnsi="Times New Roman" w:cs="Times New Roman"/>
          <w:b w:val="0"/>
          <w:bCs w:val="0"/>
          <w:spacing w:val="0"/>
          <w:sz w:val="32"/>
          <w:szCs w:val="32"/>
          <w:highlight w:val="none"/>
          <w:lang w:val="en-US" w:eastAsia="zh-CN"/>
        </w:rPr>
        <w:t>园区</w:t>
      </w:r>
      <w:r>
        <w:rPr>
          <w:rFonts w:hint="default" w:ascii="Times New Roman" w:hAnsi="Times New Roman" w:cs="Times New Roman"/>
          <w:b w:val="0"/>
          <w:bCs w:val="0"/>
          <w:spacing w:val="0"/>
          <w:sz w:val="32"/>
          <w:szCs w:val="32"/>
          <w:highlight w:val="none"/>
        </w:rPr>
        <w:t>基础设施建设</w:t>
      </w:r>
      <w:r>
        <w:rPr>
          <w:rFonts w:hint="default" w:ascii="Times New Roman" w:hAnsi="Times New Roman" w:cs="Times New Roman"/>
          <w:b w:val="0"/>
          <w:bCs w:val="0"/>
          <w:spacing w:val="0"/>
          <w:sz w:val="32"/>
          <w:szCs w:val="32"/>
          <w:highlight w:val="none"/>
          <w:lang w:val="en-US" w:eastAsia="zh-CN"/>
        </w:rPr>
        <w:t>和</w:t>
      </w:r>
      <w:r>
        <w:rPr>
          <w:rFonts w:hint="default" w:ascii="Times New Roman" w:hAnsi="Times New Roman" w:cs="Times New Roman"/>
          <w:b w:val="0"/>
          <w:bCs w:val="0"/>
          <w:spacing w:val="0"/>
          <w:sz w:val="32"/>
          <w:szCs w:val="32"/>
          <w:highlight w:val="none"/>
        </w:rPr>
        <w:t>项目招引，提升街镇</w:t>
      </w:r>
      <w:r>
        <w:rPr>
          <w:rFonts w:hint="default" w:ascii="Times New Roman" w:hAnsi="Times New Roman" w:cs="Times New Roman"/>
          <w:b w:val="0"/>
          <w:bCs w:val="0"/>
          <w:spacing w:val="0"/>
          <w:sz w:val="32"/>
          <w:szCs w:val="32"/>
          <w:highlight w:val="none"/>
          <w:lang w:val="en-US" w:eastAsia="zh-CN"/>
        </w:rPr>
        <w:t>现有</w:t>
      </w:r>
      <w:r>
        <w:rPr>
          <w:rFonts w:hint="default" w:ascii="Times New Roman" w:hAnsi="Times New Roman" w:cs="Times New Roman"/>
          <w:b w:val="0"/>
          <w:bCs w:val="0"/>
          <w:spacing w:val="0"/>
          <w:sz w:val="32"/>
          <w:szCs w:val="32"/>
          <w:highlight w:val="none"/>
        </w:rPr>
        <w:t>工业</w:t>
      </w:r>
      <w:r>
        <w:rPr>
          <w:rFonts w:hint="default" w:ascii="Times New Roman" w:hAnsi="Times New Roman" w:cs="Times New Roman"/>
          <w:b w:val="0"/>
          <w:bCs w:val="0"/>
          <w:spacing w:val="0"/>
          <w:sz w:val="32"/>
          <w:szCs w:val="32"/>
          <w:highlight w:val="none"/>
          <w:lang w:val="en-US" w:eastAsia="zh-CN"/>
        </w:rPr>
        <w:t>集聚</w:t>
      </w:r>
      <w:r>
        <w:rPr>
          <w:rFonts w:hint="default" w:ascii="Times New Roman" w:hAnsi="Times New Roman" w:cs="Times New Roman"/>
          <w:b w:val="0"/>
          <w:bCs w:val="0"/>
          <w:spacing w:val="0"/>
          <w:sz w:val="32"/>
          <w:szCs w:val="32"/>
          <w:highlight w:val="none"/>
        </w:rPr>
        <w:t>区的支撑能力，建设康养、物流、</w:t>
      </w:r>
      <w:r>
        <w:rPr>
          <w:rFonts w:hint="default" w:ascii="Times New Roman" w:hAnsi="Times New Roman" w:cs="Times New Roman"/>
          <w:b w:val="0"/>
          <w:bCs w:val="0"/>
          <w:spacing w:val="0"/>
          <w:sz w:val="32"/>
          <w:szCs w:val="32"/>
          <w:highlight w:val="none"/>
          <w:lang w:val="en-US" w:eastAsia="zh-CN"/>
        </w:rPr>
        <w:t>现代</w:t>
      </w:r>
      <w:r>
        <w:rPr>
          <w:rFonts w:hint="default" w:ascii="Times New Roman" w:hAnsi="Times New Roman" w:cs="Times New Roman"/>
          <w:b w:val="0"/>
          <w:bCs w:val="0"/>
          <w:spacing w:val="0"/>
          <w:sz w:val="32"/>
          <w:szCs w:val="32"/>
          <w:highlight w:val="none"/>
        </w:rPr>
        <w:t>装备制造、新能源等各具特色的产业集聚区，构筑产业高质量发展支撑平台，拓展产业发展空间。南部物流园依托鲁中数智物流园，引进医药电商、医药物流等企业，积极争取瓦日铁路客货运站开通，谋划实施瓦日铁路公铁海</w:t>
      </w:r>
      <w:r>
        <w:rPr>
          <w:rFonts w:hint="default" w:ascii="Times New Roman" w:hAnsi="Times New Roman" w:cs="Times New Roman"/>
          <w:b w:val="0"/>
          <w:bCs w:val="0"/>
          <w:spacing w:val="0"/>
          <w:sz w:val="32"/>
          <w:szCs w:val="32"/>
          <w:highlight w:val="none"/>
          <w:lang w:val="en-US" w:eastAsia="zh-CN"/>
        </w:rPr>
        <w:t>多式</w:t>
      </w:r>
      <w:r>
        <w:rPr>
          <w:rFonts w:hint="default" w:ascii="Times New Roman" w:hAnsi="Times New Roman" w:cs="Times New Roman"/>
          <w:b w:val="0"/>
          <w:bCs w:val="0"/>
          <w:spacing w:val="0"/>
          <w:sz w:val="32"/>
          <w:szCs w:val="32"/>
          <w:highlight w:val="none"/>
        </w:rPr>
        <w:t>联运中心项目，打造货运仓储物流枢纽站；西部宜居新城依托青啤产业园项目，统筹天湖、东风化肥厂等周边资源开发，打造集工业、商业、文旅等于一体的城乡结合活力片区；东里绿动力产业园依托“一主四副多点”格局，聚焦新材料、现代装备制造、</w:t>
      </w:r>
      <w:r>
        <w:rPr>
          <w:rFonts w:hint="default" w:ascii="Times New Roman" w:hAnsi="Times New Roman" w:cs="Times New Roman"/>
          <w:b w:val="0"/>
          <w:bCs w:val="0"/>
          <w:spacing w:val="0"/>
          <w:sz w:val="32"/>
          <w:szCs w:val="32"/>
          <w:highlight w:val="none"/>
          <w:lang w:val="en-US" w:eastAsia="zh-CN"/>
        </w:rPr>
        <w:t>农产品</w:t>
      </w:r>
      <w:r>
        <w:rPr>
          <w:rFonts w:hint="default" w:ascii="Times New Roman" w:hAnsi="Times New Roman" w:cs="Times New Roman"/>
          <w:b w:val="0"/>
          <w:bCs w:val="0"/>
          <w:spacing w:val="0"/>
          <w:sz w:val="32"/>
          <w:szCs w:val="32"/>
          <w:highlight w:val="none"/>
        </w:rPr>
        <w:t>深加工、新能源、集散中心五大产业，推动东部工业发展团形成产业联动共同体。加强各镇街工业集聚区和“腾笼换鸟”厂区管理服务，加快转型升级，高效利用闲置厂房和土地资源，加大企业招引力度，培育镇域发展新的增长极。</w:t>
      </w:r>
    </w:p>
    <w:p w14:paraId="11027434">
      <w:pPr>
        <w:keepNext w:val="0"/>
        <w:keepLines w:val="0"/>
        <w:pageBreakBefore w:val="0"/>
        <w:widowControl/>
        <w:kinsoku/>
        <w:wordWrap/>
        <w:overflowPunct/>
        <w:topLinePunct w:val="0"/>
        <w:autoSpaceDE/>
        <w:autoSpaceDN/>
        <w:bidi w:val="0"/>
        <w:adjustRightInd/>
        <w:snapToGrid/>
        <w:spacing w:line="540" w:lineRule="exact"/>
        <w:ind w:left="0" w:leftChars="0" w:firstLine="0" w:firstLineChars="0"/>
        <w:textAlignment w:val="auto"/>
        <w:rPr>
          <w:rFonts w:hint="default" w:ascii="Times New Roman" w:hAnsi="Times New Roman" w:cs="Times New Roman"/>
          <w:b w:val="0"/>
          <w:bCs w:val="0"/>
          <w:szCs w:val="32"/>
          <w:highlight w:val="none"/>
        </w:rPr>
      </w:pPr>
    </w:p>
    <w:p w14:paraId="40F3AE4F">
      <w:pPr>
        <w:pStyle w:val="2"/>
        <w:keepNext/>
        <w:keepLines/>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1"/>
          <w:highlight w:val="none"/>
          <w:lang w:val="en-US" w:eastAsia="zh-CN"/>
        </w:rPr>
      </w:pPr>
      <w:bookmarkStart w:id="47" w:name="_Toc21534_WPSOffice_Level2"/>
      <w:bookmarkStart w:id="48" w:name="_Toc24073"/>
      <w:bookmarkStart w:id="49" w:name="_Toc30173_WPSOffice_Level1"/>
      <w:r>
        <w:rPr>
          <w:rFonts w:hint="default" w:ascii="Times New Roman" w:hAnsi="Times New Roman" w:cs="Times New Roman"/>
          <w:sz w:val="32"/>
          <w:szCs w:val="21"/>
          <w:highlight w:val="none"/>
          <w:lang w:val="en-US" w:eastAsia="zh-CN"/>
        </w:rPr>
        <w:t xml:space="preserve">第三章  </w:t>
      </w:r>
      <w:bookmarkEnd w:id="47"/>
      <w:r>
        <w:rPr>
          <w:rFonts w:hint="default" w:ascii="Times New Roman" w:hAnsi="Times New Roman" w:cs="Times New Roman"/>
          <w:sz w:val="32"/>
          <w:szCs w:val="21"/>
          <w:highlight w:val="none"/>
          <w:lang w:val="en-US" w:eastAsia="zh-CN"/>
        </w:rPr>
        <w:t>聚焦深化创新驱动发展战略，打造科技创新新高地</w:t>
      </w:r>
      <w:bookmarkEnd w:id="48"/>
    </w:p>
    <w:p w14:paraId="7D730A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lang w:val="en-US" w:eastAsia="zh-CN"/>
        </w:rPr>
        <w:t>深入贯彻落实创新驱动发展战略</w:t>
      </w:r>
      <w:r>
        <w:rPr>
          <w:rFonts w:hint="default" w:ascii="Times New Roman" w:hAnsi="Times New Roman" w:cs="Times New Roman"/>
          <w:b w:val="0"/>
          <w:bCs w:val="0"/>
          <w:highlight w:val="none"/>
        </w:rPr>
        <w:t>，加速创新要素集聚和科技成果转化，</w:t>
      </w:r>
      <w:r>
        <w:rPr>
          <w:rFonts w:hint="default" w:ascii="Times New Roman" w:hAnsi="Times New Roman" w:cs="Times New Roman"/>
          <w:b w:val="0"/>
          <w:bCs w:val="0"/>
          <w:highlight w:val="none"/>
          <w:lang w:val="en-US" w:eastAsia="zh-CN"/>
        </w:rPr>
        <w:t>激发创新主体活力，</w:t>
      </w:r>
      <w:r>
        <w:rPr>
          <w:rFonts w:hint="default" w:ascii="Times New Roman" w:hAnsi="Times New Roman" w:cs="Times New Roman"/>
          <w:b w:val="0"/>
          <w:bCs w:val="0"/>
          <w:highlight w:val="none"/>
        </w:rPr>
        <w:t>加快建设高水平创新人才高地，持续营造良好的科技创新生态，</w:t>
      </w:r>
      <w:r>
        <w:rPr>
          <w:rFonts w:hint="default" w:ascii="Times New Roman" w:hAnsi="Times New Roman" w:cs="Times New Roman"/>
          <w:b w:val="0"/>
          <w:bCs w:val="0"/>
          <w:highlight w:val="none"/>
          <w:lang w:val="en-US" w:eastAsia="zh-CN"/>
        </w:rPr>
        <w:t>提升创新整体效能</w:t>
      </w:r>
      <w:r>
        <w:rPr>
          <w:rFonts w:hint="default" w:ascii="Times New Roman" w:hAnsi="Times New Roman" w:cs="Times New Roman"/>
          <w:b w:val="0"/>
          <w:bCs w:val="0"/>
          <w:highlight w:val="none"/>
        </w:rPr>
        <w:t>，培育发展新质生产力的新动能。</w:t>
      </w:r>
    </w:p>
    <w:p w14:paraId="7A6FB0BC">
      <w:pPr>
        <w:pStyle w:val="3"/>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50" w:name="_Toc127"/>
      <w:bookmarkStart w:id="51" w:name="_Toc27691_WPSOffice_Level3"/>
      <w:bookmarkStart w:id="52" w:name="_Toc13723"/>
      <w:r>
        <w:rPr>
          <w:rFonts w:hint="default" w:ascii="Times New Roman" w:hAnsi="Times New Roman" w:cs="Times New Roman"/>
          <w:sz w:val="32"/>
          <w:szCs w:val="22"/>
          <w:highlight w:val="none"/>
          <w:lang w:val="en-US" w:eastAsia="zh-CN"/>
        </w:rPr>
        <w:t>第一节  推动科技创新与产业创新深度融合</w:t>
      </w:r>
      <w:bookmarkEnd w:id="50"/>
    </w:p>
    <w:p w14:paraId="6082FDE1">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1.</w:t>
      </w:r>
      <w:r>
        <w:rPr>
          <w:rFonts w:hint="default" w:ascii="Times New Roman" w:hAnsi="Times New Roman" w:cs="Times New Roman"/>
          <w:highlight w:val="none"/>
        </w:rPr>
        <w:t>强化企业创新主体地位</w:t>
      </w:r>
      <w:bookmarkEnd w:id="51"/>
      <w:bookmarkEnd w:id="52"/>
    </w:p>
    <w:p w14:paraId="774FF1E9">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pacing w:val="0"/>
          <w:szCs w:val="32"/>
          <w:highlight w:val="none"/>
          <w:lang w:val="en-US" w:eastAsia="zh-CN"/>
          <w14:ligatures w14:val="none"/>
        </w:rPr>
      </w:pPr>
      <w:r>
        <w:rPr>
          <w:rFonts w:hint="default" w:ascii="Times New Roman" w:hAnsi="Times New Roman" w:cs="Times New Roman"/>
          <w:b w:val="0"/>
          <w:bCs w:val="0"/>
          <w:spacing w:val="0"/>
          <w:szCs w:val="32"/>
          <w:highlight w:val="none"/>
          <w:lang w:eastAsia="zh-CN"/>
        </w:rPr>
        <w:t>组建科技型企业培育工作专班，建立“培育—储备—申报”数据库，</w:t>
      </w:r>
      <w:r>
        <w:rPr>
          <w:rFonts w:hint="default" w:ascii="Times New Roman" w:hAnsi="Times New Roman" w:cs="Times New Roman"/>
          <w:b w:val="0"/>
          <w:bCs w:val="0"/>
          <w:spacing w:val="0"/>
          <w:szCs w:val="32"/>
          <w:highlight w:val="none"/>
        </w:rPr>
        <w:t>积极培育</w:t>
      </w:r>
      <w:r>
        <w:rPr>
          <w:rFonts w:hint="default" w:ascii="Times New Roman" w:hAnsi="Times New Roman" w:cs="Times New Roman"/>
          <w:b w:val="0"/>
          <w:bCs w:val="0"/>
          <w:spacing w:val="0"/>
          <w:highlight w:val="none"/>
        </w:rPr>
        <w:t>高新技术企业、</w:t>
      </w:r>
      <w:r>
        <w:rPr>
          <w:rFonts w:hint="default" w:ascii="Times New Roman" w:hAnsi="Times New Roman" w:cs="Times New Roman"/>
          <w:b w:val="0"/>
          <w:bCs w:val="0"/>
          <w:spacing w:val="0"/>
          <w:szCs w:val="32"/>
          <w:highlight w:val="none"/>
        </w:rPr>
        <w:t>瞪羚企业、专精特新</w:t>
      </w:r>
      <w:r>
        <w:rPr>
          <w:rFonts w:hint="default" w:ascii="Times New Roman" w:hAnsi="Times New Roman" w:cs="Times New Roman"/>
          <w:b w:val="0"/>
          <w:bCs w:val="0"/>
          <w:spacing w:val="0"/>
          <w:szCs w:val="32"/>
          <w:highlight w:val="none"/>
          <w:lang w:eastAsia="zh-CN"/>
        </w:rPr>
        <w:t>“</w:t>
      </w:r>
      <w:r>
        <w:rPr>
          <w:rFonts w:hint="default" w:ascii="Times New Roman" w:hAnsi="Times New Roman" w:cs="Times New Roman"/>
          <w:b w:val="0"/>
          <w:bCs w:val="0"/>
          <w:spacing w:val="0"/>
          <w:szCs w:val="32"/>
          <w:highlight w:val="none"/>
        </w:rPr>
        <w:t>小巨人</w:t>
      </w:r>
      <w:r>
        <w:rPr>
          <w:rFonts w:hint="default" w:ascii="Times New Roman" w:hAnsi="Times New Roman" w:cs="Times New Roman"/>
          <w:b w:val="0"/>
          <w:bCs w:val="0"/>
          <w:spacing w:val="0"/>
          <w:szCs w:val="32"/>
          <w:highlight w:val="none"/>
          <w:lang w:eastAsia="zh-CN"/>
        </w:rPr>
        <w:t>”</w:t>
      </w:r>
      <w:r>
        <w:rPr>
          <w:rFonts w:hint="default" w:ascii="Times New Roman" w:hAnsi="Times New Roman" w:cs="Times New Roman"/>
          <w:b w:val="0"/>
          <w:bCs w:val="0"/>
          <w:spacing w:val="0"/>
          <w:szCs w:val="32"/>
          <w:highlight w:val="none"/>
        </w:rPr>
        <w:t>等创新型企业</w:t>
      </w:r>
      <w:r>
        <w:rPr>
          <w:rFonts w:hint="default" w:ascii="Times New Roman" w:hAnsi="Times New Roman" w:cs="Times New Roman"/>
          <w:b w:val="0"/>
          <w:bCs w:val="0"/>
          <w:spacing w:val="0"/>
          <w:szCs w:val="32"/>
          <w:highlight w:val="none"/>
          <w:lang w:eastAsia="zh-CN"/>
        </w:rPr>
        <w:t>，不断壮大科技型企业集群，引导企业走内涵式发展道路，帮助企业解决“卡脖子”问题，助力产业规模持续扩大。</w:t>
      </w:r>
      <w:r>
        <w:rPr>
          <w:rFonts w:hint="default" w:ascii="Times New Roman" w:hAnsi="Times New Roman" w:cs="Times New Roman"/>
          <w:b w:val="0"/>
          <w:bCs w:val="0"/>
          <w:spacing w:val="0"/>
          <w:szCs w:val="32"/>
          <w:highlight w:val="none"/>
          <w14:ligatures w14:val="none"/>
        </w:rPr>
        <w:t>实施科技型中小企业和规模以上高新技术企业“微成长、高升规”梯度培育计划，</w:t>
      </w:r>
      <w:r>
        <w:rPr>
          <w:rFonts w:hint="default" w:ascii="Times New Roman" w:hAnsi="Times New Roman" w:cs="Times New Roman"/>
          <w:b w:val="0"/>
          <w:bCs w:val="0"/>
          <w:spacing w:val="0"/>
          <w:szCs w:val="32"/>
          <w:highlight w:val="none"/>
          <w:lang w:val="en-US" w:eastAsia="zh-CN"/>
        </w:rPr>
        <w:t>加快各类创新型企业实现内涵式发展</w:t>
      </w:r>
      <w:r>
        <w:rPr>
          <w:rFonts w:hint="default" w:ascii="Times New Roman" w:hAnsi="Times New Roman" w:cs="Times New Roman"/>
          <w:b w:val="0"/>
          <w:bCs w:val="0"/>
          <w:spacing w:val="0"/>
          <w:szCs w:val="32"/>
          <w:highlight w:val="none"/>
        </w:rPr>
        <w:t>。健全与</w:t>
      </w:r>
      <w:r>
        <w:rPr>
          <w:rFonts w:hint="default" w:ascii="Times New Roman" w:hAnsi="Times New Roman" w:cs="Times New Roman"/>
          <w:b w:val="0"/>
          <w:bCs w:val="0"/>
          <w:spacing w:val="0"/>
          <w:szCs w:val="32"/>
          <w:highlight w:val="none"/>
          <w:lang w:val="en-US" w:eastAsia="zh-CN"/>
        </w:rPr>
        <w:t>科技型</w:t>
      </w:r>
      <w:r>
        <w:rPr>
          <w:rFonts w:hint="default" w:ascii="Times New Roman" w:hAnsi="Times New Roman" w:cs="Times New Roman"/>
          <w:b w:val="0"/>
          <w:bCs w:val="0"/>
          <w:spacing w:val="0"/>
          <w:szCs w:val="32"/>
          <w:highlight w:val="none"/>
        </w:rPr>
        <w:t>中小企业成长相适应的</w:t>
      </w:r>
      <w:r>
        <w:rPr>
          <w:rFonts w:hint="default" w:ascii="Times New Roman" w:hAnsi="Times New Roman" w:cs="Times New Roman"/>
          <w:b w:val="0"/>
          <w:bCs w:val="0"/>
          <w:spacing w:val="0"/>
          <w:szCs w:val="32"/>
          <w:highlight w:val="none"/>
          <w:lang w:val="en-US" w:eastAsia="zh-CN"/>
        </w:rPr>
        <w:t>制度体系</w:t>
      </w:r>
      <w:r>
        <w:rPr>
          <w:rFonts w:hint="default" w:ascii="Times New Roman" w:hAnsi="Times New Roman" w:cs="Times New Roman"/>
          <w:b w:val="0"/>
          <w:bCs w:val="0"/>
          <w:spacing w:val="0"/>
          <w:szCs w:val="32"/>
          <w:highlight w:val="none"/>
        </w:rPr>
        <w:t>，</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加大</w:t>
      </w:r>
      <w:r>
        <w:rPr>
          <w:rFonts w:hint="default" w:ascii="Times New Roman" w:hAnsi="Times New Roman" w:cs="Times New Roman"/>
          <w:b w:val="0"/>
          <w:bCs w:val="0"/>
          <w:color w:val="000000" w:themeColor="text1"/>
          <w:spacing w:val="0"/>
          <w:szCs w:val="32"/>
          <w:highlight w:val="none"/>
          <w:lang w:val="en-US" w:eastAsia="zh-CN"/>
          <w14:textFill>
            <w14:solidFill>
              <w14:schemeClr w14:val="tx1"/>
            </w14:solidFill>
          </w14:textFill>
        </w:rPr>
        <w:t>对</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首台（套）装备、首批次材料、首版次软件应用</w:t>
      </w:r>
      <w:r>
        <w:rPr>
          <w:rFonts w:hint="default" w:ascii="Times New Roman" w:hAnsi="Times New Roman" w:cs="Times New Roman"/>
          <w:b w:val="0"/>
          <w:bCs w:val="0"/>
          <w:color w:val="000000" w:themeColor="text1"/>
          <w:spacing w:val="0"/>
          <w:szCs w:val="32"/>
          <w:highlight w:val="none"/>
          <w:lang w:val="en-US" w:eastAsia="zh-CN"/>
          <w14:textFill>
            <w14:solidFill>
              <w14:schemeClr w14:val="tx1"/>
            </w14:solidFill>
          </w14:textFill>
        </w:rPr>
        <w:t>的</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政策支持力度，完善自主创新</w:t>
      </w:r>
      <w:r>
        <w:rPr>
          <w:rFonts w:hint="default" w:ascii="Times New Roman" w:hAnsi="Times New Roman" w:cs="Times New Roman"/>
          <w:b w:val="0"/>
          <w:bCs w:val="0"/>
          <w:color w:val="000000" w:themeColor="text1"/>
          <w:spacing w:val="0"/>
          <w:szCs w:val="32"/>
          <w:highlight w:val="none"/>
          <w:lang w:val="en-US" w:eastAsia="zh-CN"/>
          <w14:textFill>
            <w14:solidFill>
              <w14:schemeClr w14:val="tx1"/>
            </w14:solidFill>
          </w14:textFill>
        </w:rPr>
        <w:t>领域</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容错机制。进一步</w:t>
      </w:r>
      <w:r>
        <w:rPr>
          <w:rFonts w:hint="default" w:ascii="Times New Roman" w:hAnsi="Times New Roman" w:cs="Times New Roman"/>
          <w:b w:val="0"/>
          <w:bCs w:val="0"/>
          <w:spacing w:val="0"/>
          <w:szCs w:val="32"/>
          <w:highlight w:val="none"/>
          <w14:ligatures w14:val="none"/>
        </w:rPr>
        <w:t>引导企业建立健全研发经费投入</w:t>
      </w:r>
      <w:r>
        <w:rPr>
          <w:rFonts w:hint="default" w:ascii="Times New Roman" w:hAnsi="Times New Roman" w:cs="Times New Roman"/>
          <w:b w:val="0"/>
          <w:bCs w:val="0"/>
          <w:spacing w:val="0"/>
          <w:szCs w:val="32"/>
          <w:highlight w:val="none"/>
          <w:lang w:val="en-US" w:eastAsia="zh-CN"/>
          <w14:ligatures w14:val="none"/>
        </w:rPr>
        <w:t>预备金</w:t>
      </w:r>
      <w:r>
        <w:rPr>
          <w:rFonts w:hint="default" w:ascii="Times New Roman" w:hAnsi="Times New Roman" w:cs="Times New Roman"/>
          <w:b w:val="0"/>
          <w:bCs w:val="0"/>
          <w:spacing w:val="0"/>
          <w:szCs w:val="32"/>
          <w:highlight w:val="none"/>
          <w14:ligatures w14:val="none"/>
        </w:rPr>
        <w:t>制度，</w:t>
      </w:r>
      <w:r>
        <w:rPr>
          <w:rFonts w:hint="default" w:ascii="Times New Roman" w:hAnsi="Times New Roman" w:cs="Times New Roman"/>
          <w:b w:val="0"/>
          <w:bCs w:val="0"/>
          <w:color w:val="000000" w:themeColor="text1"/>
          <w:spacing w:val="0"/>
          <w:szCs w:val="32"/>
          <w:highlight w:val="none"/>
          <w:lang w:val="en-US" w:eastAsia="zh-CN"/>
          <w14:textFill>
            <w14:solidFill>
              <w14:schemeClr w14:val="tx1"/>
            </w14:solidFill>
          </w14:textFill>
        </w:rPr>
        <w:t>用好</w:t>
      </w:r>
      <w:r>
        <w:rPr>
          <w:rFonts w:hint="default" w:ascii="Times New Roman" w:hAnsi="Times New Roman" w:cs="Times New Roman"/>
          <w:b w:val="0"/>
          <w:bCs w:val="0"/>
          <w:color w:val="000000" w:themeColor="text1"/>
          <w:spacing w:val="0"/>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鲁科贷</w:t>
      </w:r>
      <w:r>
        <w:rPr>
          <w:rFonts w:hint="default" w:ascii="Times New Roman" w:hAnsi="Times New Roman" w:cs="Times New Roman"/>
          <w:b w:val="0"/>
          <w:bCs w:val="0"/>
          <w:color w:val="000000" w:themeColor="text1"/>
          <w:spacing w:val="0"/>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鲁科担</w:t>
      </w:r>
      <w:r>
        <w:rPr>
          <w:rFonts w:hint="default" w:ascii="Times New Roman" w:hAnsi="Times New Roman" w:cs="Times New Roman"/>
          <w:b w:val="0"/>
          <w:bCs w:val="0"/>
          <w:color w:val="000000" w:themeColor="text1"/>
          <w:spacing w:val="0"/>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鲁科保</w:t>
      </w:r>
      <w:r>
        <w:rPr>
          <w:rFonts w:hint="default" w:ascii="Times New Roman" w:hAnsi="Times New Roman" w:cs="Times New Roman"/>
          <w:b w:val="0"/>
          <w:bCs w:val="0"/>
          <w:color w:val="000000" w:themeColor="text1"/>
          <w:spacing w:val="0"/>
          <w:szCs w:val="32"/>
          <w:highlight w:val="none"/>
          <w:lang w:eastAsia="zh-CN"/>
          <w14:textFill>
            <w14:solidFill>
              <w14:schemeClr w14:val="tx1"/>
            </w14:solidFill>
          </w14:textFill>
        </w:rPr>
        <w:t>”，</w:t>
      </w:r>
      <w:r>
        <w:rPr>
          <w:rFonts w:hint="default" w:ascii="Times New Roman" w:hAnsi="Times New Roman" w:cs="Times New Roman"/>
          <w:b w:val="0"/>
          <w:bCs w:val="0"/>
          <w:spacing w:val="0"/>
          <w:szCs w:val="32"/>
          <w:highlight w:val="none"/>
          <w14:ligatures w14:val="none"/>
        </w:rPr>
        <w:t>提高企业研发投入强度</w:t>
      </w:r>
      <w:r>
        <w:rPr>
          <w:rFonts w:hint="default" w:ascii="Times New Roman" w:hAnsi="Times New Roman" w:cs="Times New Roman"/>
          <w:b w:val="0"/>
          <w:bCs w:val="0"/>
          <w:color w:val="000000" w:themeColor="text1"/>
          <w:spacing w:val="0"/>
          <w:szCs w:val="32"/>
          <w:highlight w:val="none"/>
          <w14:textFill>
            <w14:solidFill>
              <w14:schemeClr w14:val="tx1"/>
            </w14:solidFill>
          </w14:textFill>
        </w:rPr>
        <w:t>。</w:t>
      </w:r>
      <w:r>
        <w:rPr>
          <w:rFonts w:hint="default" w:ascii="Times New Roman" w:hAnsi="Times New Roman" w:cs="Times New Roman"/>
          <w:b w:val="0"/>
          <w:bCs w:val="0"/>
          <w:spacing w:val="0"/>
          <w:szCs w:val="32"/>
          <w:highlight w:val="none"/>
          <w14:ligatures w14:val="none"/>
        </w:rPr>
        <w:t>建立</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14:ligatures w14:val="none"/>
        </w:rPr>
        <w:t>科技创新图谱</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14:ligatures w14:val="none"/>
        </w:rPr>
        <w:t>，储备一批新材料、生物医药等优势领域科技含量高、带动能力强、市场前景好的示范项目，积极向上级争取资金扶持。</w:t>
      </w:r>
      <w:r>
        <w:rPr>
          <w:rFonts w:hint="default" w:ascii="Times New Roman" w:hAnsi="Times New Roman" w:cs="Times New Roman"/>
          <w:b w:val="0"/>
          <w:bCs w:val="0"/>
          <w:spacing w:val="0"/>
          <w:szCs w:val="32"/>
          <w:highlight w:val="none"/>
        </w:rPr>
        <w:t>鼓励企业积极融入山东半岛国家自主创新示范区、齐鲁科创大走廊和济淄协同创新体系，推进与京津冀、长三角等区域的创新合作，增强区域协同创新能力。</w:t>
      </w:r>
      <w:r>
        <w:rPr>
          <w:rFonts w:hint="default" w:ascii="Times New Roman" w:hAnsi="Times New Roman" w:cs="Times New Roman"/>
          <w:b w:val="0"/>
          <w:bCs w:val="0"/>
          <w:spacing w:val="0"/>
          <w:szCs w:val="32"/>
          <w:highlight w:val="none"/>
          <w:lang w:eastAsia="zh-CN"/>
        </w:rPr>
        <w:t>“</w:t>
      </w:r>
      <w:r>
        <w:rPr>
          <w:rFonts w:hint="default" w:ascii="Times New Roman" w:hAnsi="Times New Roman" w:cs="Times New Roman"/>
          <w:b w:val="0"/>
          <w:bCs w:val="0"/>
          <w:spacing w:val="0"/>
          <w:szCs w:val="32"/>
          <w:highlight w:val="none"/>
          <w:lang w:val="en-US" w:eastAsia="zh-CN"/>
        </w:rPr>
        <w:t>十五五</w:t>
      </w:r>
      <w:r>
        <w:rPr>
          <w:rFonts w:hint="default" w:ascii="Times New Roman" w:hAnsi="Times New Roman" w:cs="Times New Roman"/>
          <w:b w:val="0"/>
          <w:bCs w:val="0"/>
          <w:spacing w:val="0"/>
          <w:szCs w:val="32"/>
          <w:highlight w:val="none"/>
          <w:lang w:eastAsia="zh-CN"/>
        </w:rPr>
        <w:t>”</w:t>
      </w:r>
      <w:r>
        <w:rPr>
          <w:rFonts w:hint="default" w:ascii="Times New Roman" w:hAnsi="Times New Roman" w:cs="Times New Roman"/>
          <w:b w:val="0"/>
          <w:bCs w:val="0"/>
          <w:spacing w:val="0"/>
          <w:szCs w:val="32"/>
          <w:highlight w:val="none"/>
          <w:lang w:val="en-US" w:eastAsia="zh-CN"/>
        </w:rPr>
        <w:t>末，力争全县研发经费投入达到16亿元，备案科技型中小企业200家，规模以上高新技术企业达到80家，高新技术产业产值占比保持全省领先水平。</w:t>
      </w:r>
    </w:p>
    <w:p w14:paraId="4BE4B0EE">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0"/>
          <w:highlight w:val="none"/>
        </w:rPr>
      </w:pPr>
      <w:bookmarkStart w:id="53" w:name="_Toc22069"/>
      <w:bookmarkStart w:id="54" w:name="_Toc29681_WPSOffice_Level3"/>
      <w:r>
        <w:rPr>
          <w:rFonts w:hint="default" w:ascii="Times New Roman" w:hAnsi="Times New Roman" w:cs="Times New Roman"/>
          <w:spacing w:val="0"/>
          <w:highlight w:val="none"/>
        </w:rPr>
        <w:t>2</w:t>
      </w:r>
      <w:r>
        <w:rPr>
          <w:rFonts w:hint="default" w:ascii="Times New Roman" w:hAnsi="Times New Roman" w:cs="Times New Roman"/>
          <w:spacing w:val="0"/>
          <w:highlight w:val="none"/>
          <w:lang w:val="en-US" w:eastAsia="zh-CN"/>
        </w:rPr>
        <w:t>.打造高能级</w:t>
      </w:r>
      <w:r>
        <w:rPr>
          <w:rFonts w:hint="default" w:ascii="Times New Roman" w:hAnsi="Times New Roman" w:cs="Times New Roman"/>
          <w:spacing w:val="0"/>
          <w:highlight w:val="none"/>
        </w:rPr>
        <w:t>科技创新平台</w:t>
      </w:r>
      <w:bookmarkEnd w:id="53"/>
      <w:bookmarkEnd w:id="54"/>
    </w:p>
    <w:p w14:paraId="1994D88A">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spacing w:val="0"/>
          <w:szCs w:val="32"/>
          <w:highlight w:val="none"/>
          <w:lang w:val="en-US" w:eastAsia="zh-CN"/>
          <w14:ligatures w14:val="none"/>
        </w:rPr>
      </w:pPr>
      <w:r>
        <w:rPr>
          <w:rFonts w:hint="default" w:ascii="Times New Roman" w:hAnsi="Times New Roman" w:cs="Times New Roman"/>
          <w:b w:val="0"/>
          <w:bCs w:val="0"/>
          <w:spacing w:val="0"/>
          <w:szCs w:val="32"/>
          <w:highlight w:val="none"/>
          <w14:ligatures w14:val="none"/>
        </w:rPr>
        <w:t>提升现有省级重点实验室、</w:t>
      </w:r>
      <w:r>
        <w:rPr>
          <w:rFonts w:hint="default" w:ascii="Times New Roman" w:hAnsi="Times New Roman" w:cs="Times New Roman"/>
          <w:b w:val="0"/>
          <w:bCs w:val="0"/>
          <w:spacing w:val="0"/>
          <w:szCs w:val="32"/>
          <w:highlight w:val="none"/>
          <w:lang w:val="en-US" w:eastAsia="zh-CN"/>
          <w14:ligatures w14:val="none"/>
        </w:rPr>
        <w:t>技术创新中心</w:t>
      </w:r>
      <w:r>
        <w:rPr>
          <w:rFonts w:hint="default" w:ascii="Times New Roman" w:hAnsi="Times New Roman" w:cs="Times New Roman"/>
          <w:b w:val="0"/>
          <w:bCs w:val="0"/>
          <w:spacing w:val="0"/>
          <w:szCs w:val="32"/>
          <w:highlight w:val="none"/>
          <w14:ligatures w14:val="none"/>
        </w:rPr>
        <w:t>等创新平台能级，</w:t>
      </w:r>
      <w:r>
        <w:rPr>
          <w:rFonts w:hint="default" w:ascii="Times New Roman" w:hAnsi="Times New Roman" w:cs="Times New Roman"/>
          <w:b w:val="0"/>
          <w:bCs w:val="0"/>
          <w:spacing w:val="0"/>
          <w:szCs w:val="32"/>
          <w:highlight w:val="none"/>
          <w:lang w:val="en-US" w:eastAsia="zh-CN"/>
          <w14:ligatures w14:val="none"/>
        </w:rPr>
        <w:t>支持骨干企业牵头组建高水平研发平台和创新联合体</w:t>
      </w:r>
      <w:r>
        <w:rPr>
          <w:rFonts w:hint="default" w:ascii="Times New Roman" w:hAnsi="Times New Roman" w:cs="Times New Roman"/>
          <w:b w:val="0"/>
          <w:bCs w:val="0"/>
          <w:spacing w:val="0"/>
          <w:szCs w:val="32"/>
          <w:highlight w:val="none"/>
          <w14:ligatures w14:val="none"/>
        </w:rPr>
        <w:t>。鼓励平台面向行业开展共性技术研发和服务，提高平台的开放共享程度，发挥其在产业技术创新中的引领作用。聚焦全县主导产业和战略性新兴产业发展需求，支持创新型领军企业联合高校、科研院所和上下游企业组建创新联合体，分层分级培育一批新型研发机构</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14:ligatures w14:val="none"/>
        </w:rPr>
        <w:t>聚焦科技前沿和产业发展需求，围绕产业链关键环节开展技术攻关和产业化应用，提升企业研发机构覆盖率，积极争创市级、省级、国家级创新平台。完善众创空间、科技企业孵化器等创新创业载体功能，推广</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14:ligatures w14:val="none"/>
        </w:rPr>
        <w:t>中试+投资+孵化</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14:ligatures w14:val="none"/>
        </w:rPr>
        <w:t>运营模式，打造一批高质量孵化载体，提升各类载体市场化专业化服务水平，强化技术验证、样机样品开发、产品定型、上市推广等孵化服务，提高创新创业资源融通效率与质量，为初创企业和创业团队提供低成本、全要素、专业化的创新创业服务。</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lang w:val="en-US" w:eastAsia="zh-CN"/>
          <w14:ligatures w14:val="none"/>
        </w:rPr>
        <w:t>十五五</w:t>
      </w:r>
      <w:r>
        <w:rPr>
          <w:rFonts w:hint="default" w:ascii="Times New Roman" w:hAnsi="Times New Roman" w:cs="Times New Roman"/>
          <w:b w:val="0"/>
          <w:bCs w:val="0"/>
          <w:spacing w:val="0"/>
          <w:szCs w:val="32"/>
          <w:highlight w:val="none"/>
          <w:lang w:eastAsia="zh-CN"/>
          <w14:ligatures w14:val="none"/>
        </w:rPr>
        <w:t>”</w:t>
      </w:r>
      <w:r>
        <w:rPr>
          <w:rFonts w:hint="default" w:ascii="Times New Roman" w:hAnsi="Times New Roman" w:cs="Times New Roman"/>
          <w:b w:val="0"/>
          <w:bCs w:val="0"/>
          <w:spacing w:val="0"/>
          <w:szCs w:val="32"/>
          <w:highlight w:val="none"/>
          <w:lang w:val="en-US" w:eastAsia="zh-CN"/>
          <w14:ligatures w14:val="none"/>
        </w:rPr>
        <w:t>期间，力争建设市级以上创新平台25家，其中省级创新平台5家。</w:t>
      </w:r>
    </w:p>
    <w:p w14:paraId="32406BBD">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highlight w:val="none"/>
          <w:lang w:val="en-US" w:eastAsia="zh-CN"/>
        </w:rPr>
      </w:pPr>
      <w:bookmarkStart w:id="55" w:name="_Toc30919"/>
      <w:bookmarkStart w:id="56" w:name="_Toc20113_WPSOffice_Level3"/>
      <w:bookmarkStart w:id="57" w:name="_Toc10341"/>
      <w:bookmarkStart w:id="58" w:name="_Toc26986_WPSOffice_Level3"/>
      <w:r>
        <w:rPr>
          <w:rFonts w:hint="default" w:ascii="Times New Roman" w:hAnsi="Times New Roman" w:cs="Times New Roman"/>
          <w:highlight w:val="none"/>
          <w:lang w:val="en-US" w:eastAsia="zh-CN"/>
        </w:rPr>
        <w:t>3.提升科研成果转化落地效率</w:t>
      </w:r>
    </w:p>
    <w:p w14:paraId="5561DA19">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szCs w:val="32"/>
          <w:highlight w:val="none"/>
          <w:lang w:val="en-US" w:eastAsia="zh-CN"/>
          <w14:ligatures w14:val="none"/>
        </w:rPr>
      </w:pPr>
      <w:r>
        <w:rPr>
          <w:rFonts w:hint="default" w:ascii="Times New Roman" w:hAnsi="Times New Roman" w:cs="Times New Roman"/>
          <w:b w:val="0"/>
          <w:bCs w:val="0"/>
          <w:szCs w:val="32"/>
          <w:highlight w:val="none"/>
        </w:rPr>
        <w:t>积极构建</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龙头企业牵头、高校院所支撑、各创新主体相互协同</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szCs w:val="32"/>
          <w:highlight w:val="none"/>
        </w:rPr>
        <w:t>的</w:t>
      </w:r>
      <w:r>
        <w:rPr>
          <w:rFonts w:hint="default" w:ascii="Times New Roman" w:hAnsi="Times New Roman" w:cs="Times New Roman"/>
          <w:b w:val="0"/>
          <w:bCs w:val="0"/>
          <w:highlight w:val="none"/>
        </w:rPr>
        <w:t>协同创新机制，</w:t>
      </w:r>
      <w:r>
        <w:rPr>
          <w:rFonts w:hint="default" w:ascii="Times New Roman" w:hAnsi="Times New Roman" w:cs="Times New Roman"/>
          <w:b w:val="0"/>
          <w:bCs w:val="0"/>
          <w:color w:val="000000" w:themeColor="text1"/>
          <w:szCs w:val="32"/>
          <w:highlight w:val="none"/>
          <w14:textFill>
            <w14:solidFill>
              <w14:schemeClr w14:val="tx1"/>
            </w14:solidFill>
          </w14:textFill>
        </w:rPr>
        <w:t>实现科技成果资源整合，重点攻关产业发展过程中的关键共性技术和重大核心技术课题，加速科研成果与市场需求精准匹配</w:t>
      </w:r>
      <w:r>
        <w:rPr>
          <w:rFonts w:hint="default" w:ascii="Times New Roman" w:hAnsi="Times New Roman" w:cs="Times New Roman"/>
          <w:b w:val="0"/>
          <w:bCs w:val="0"/>
          <w:color w:val="000000" w:themeColor="text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zCs w:val="32"/>
          <w:highlight w:val="none"/>
          <w14:textFill>
            <w14:solidFill>
              <w14:schemeClr w14:val="tx1"/>
            </w14:solidFill>
          </w14:textFill>
        </w:rPr>
        <w:t>建立科技成果转化项目协调推进机制，</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将</w:t>
      </w:r>
      <w:r>
        <w:rPr>
          <w:rFonts w:hint="default" w:ascii="Times New Roman" w:hAnsi="Times New Roman" w:cs="Times New Roman"/>
          <w:b w:val="0"/>
          <w:bCs w:val="0"/>
          <w:color w:val="000000" w:themeColor="text1"/>
          <w:szCs w:val="32"/>
          <w:highlight w:val="none"/>
          <w14:textFill>
            <w14:solidFill>
              <w14:schemeClr w14:val="tx1"/>
            </w14:solidFill>
          </w14:textFill>
        </w:rPr>
        <w:t>一批市场前景好和产业化潜力高的科技成果转化项目纳入县级重点科技创新项目库进行跟踪管理服务。积极对接全市科技成果转移转化平台，整合科技成果信息、技术交易、知识产权等资源，实现科技成果供需双方高效衔接。</w:t>
      </w:r>
      <w:r>
        <w:rPr>
          <w:rFonts w:hint="default" w:ascii="Times New Roman" w:hAnsi="Times New Roman" w:cs="Times New Roman"/>
          <w:b w:val="0"/>
          <w:bCs w:val="0"/>
          <w:szCs w:val="32"/>
          <w:highlight w:val="none"/>
          <w14:ligatures w14:val="none"/>
        </w:rPr>
        <w:t>深入实施科技成果应用拓展工程，</w:t>
      </w:r>
      <w:r>
        <w:rPr>
          <w:rFonts w:hint="default" w:ascii="Times New Roman" w:hAnsi="Times New Roman" w:cs="Times New Roman"/>
          <w:b w:val="0"/>
          <w:bCs w:val="0"/>
          <w:color w:val="000000" w:themeColor="text1"/>
          <w:szCs w:val="32"/>
          <w:highlight w:val="none"/>
          <w14:textFill>
            <w14:solidFill>
              <w14:schemeClr w14:val="tx1"/>
            </w14:solidFill>
          </w14:textFill>
        </w:rPr>
        <w:t>鼓励采取转让许可、作价入股、签署认股协议、先使用后付费等多元化成果转化模式，加快科技成果向企业转移转化。</w:t>
      </w:r>
      <w:r>
        <w:rPr>
          <w:rFonts w:hint="default" w:ascii="Times New Roman" w:hAnsi="Times New Roman" w:cs="Times New Roman"/>
          <w:b w:val="0"/>
          <w:bCs w:val="0"/>
          <w:szCs w:val="32"/>
          <w:highlight w:val="none"/>
        </w:rPr>
        <w:t>支持引导重点企业与高等院校、高水平科研机构</w:t>
      </w:r>
      <w:r>
        <w:rPr>
          <w:rFonts w:hint="default" w:ascii="Times New Roman" w:hAnsi="Times New Roman" w:cs="Times New Roman"/>
          <w:b w:val="0"/>
          <w:bCs w:val="0"/>
          <w:szCs w:val="32"/>
          <w:highlight w:val="none"/>
          <w14:ligatures w14:val="none"/>
        </w:rPr>
        <w:t>在重点产业领域</w:t>
      </w:r>
      <w:r>
        <w:rPr>
          <w:rFonts w:hint="default" w:ascii="Times New Roman" w:hAnsi="Times New Roman" w:cs="Times New Roman"/>
          <w:b w:val="0"/>
          <w:bCs w:val="0"/>
          <w:szCs w:val="32"/>
          <w:highlight w:val="none"/>
        </w:rPr>
        <w:t>共建一批</w:t>
      </w:r>
      <w:r>
        <w:rPr>
          <w:rFonts w:hint="default" w:ascii="Times New Roman" w:hAnsi="Times New Roman" w:cs="Times New Roman"/>
          <w:b w:val="0"/>
          <w:bCs w:val="0"/>
          <w:szCs w:val="32"/>
          <w:highlight w:val="none"/>
          <w14:ligatures w14:val="none"/>
        </w:rPr>
        <w:t>概念验证、中试验证</w:t>
      </w:r>
      <w:r>
        <w:rPr>
          <w:rFonts w:hint="default" w:ascii="Times New Roman" w:hAnsi="Times New Roman" w:cs="Times New Roman"/>
          <w:b w:val="0"/>
          <w:bCs w:val="0"/>
          <w:szCs w:val="32"/>
          <w:highlight w:val="none"/>
          <w:lang w:val="en-US" w:eastAsia="zh-CN"/>
          <w14:ligatures w14:val="none"/>
        </w:rPr>
        <w:t>和</w:t>
      </w:r>
      <w:r>
        <w:rPr>
          <w:rFonts w:hint="default" w:ascii="Times New Roman" w:hAnsi="Times New Roman" w:cs="Times New Roman"/>
          <w:b w:val="0"/>
          <w:bCs w:val="0"/>
          <w:szCs w:val="32"/>
          <w:highlight w:val="none"/>
          <w14:ligatures w14:val="none"/>
        </w:rPr>
        <w:t>应用验证平台、技术转移示范基地等</w:t>
      </w:r>
      <w:r>
        <w:rPr>
          <w:rFonts w:hint="default" w:ascii="Times New Roman" w:hAnsi="Times New Roman" w:cs="Times New Roman"/>
          <w:b w:val="0"/>
          <w:bCs w:val="0"/>
          <w:szCs w:val="32"/>
          <w:highlight w:val="none"/>
          <w:lang w:val="en-US" w:eastAsia="zh-CN"/>
          <w14:ligatures w14:val="none"/>
        </w:rPr>
        <w:t>专业化服务机构和平台</w:t>
      </w:r>
      <w:r>
        <w:rPr>
          <w:rFonts w:hint="default" w:ascii="Times New Roman" w:hAnsi="Times New Roman" w:cs="Times New Roman"/>
          <w:b w:val="0"/>
          <w:bCs w:val="0"/>
          <w:szCs w:val="32"/>
          <w:highlight w:val="none"/>
          <w14:ligatures w14:val="none"/>
        </w:rPr>
        <w:t>，促进技术成果工程化突破和产业化应用。</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围绕促进科技自立自强，深化知识产权强县建设。深入实施科普能力提升工程，构建“覆盖城乡、服务精准、机制灵活”的现代科普服务体系。进一步优化专利、商标审查确权服务，促进知识产权成果市场化、产业化，推广知识产权质押融资，建立知识产权快速维权服务站。</w:t>
      </w:r>
      <w:r>
        <w:rPr>
          <w:rFonts w:hint="default" w:ascii="Times New Roman" w:hAnsi="Times New Roman" w:cs="Times New Roman"/>
          <w:b w:val="0"/>
          <w:bCs w:val="0"/>
          <w:szCs w:val="32"/>
          <w:highlight w:val="none"/>
          <w:lang w:eastAsia="zh-CN"/>
          <w14:ligatures w14:val="none"/>
        </w:rPr>
        <w:t>“</w:t>
      </w:r>
      <w:r>
        <w:rPr>
          <w:rFonts w:hint="default" w:ascii="Times New Roman" w:hAnsi="Times New Roman" w:cs="Times New Roman"/>
          <w:b w:val="0"/>
          <w:bCs w:val="0"/>
          <w:szCs w:val="32"/>
          <w:highlight w:val="none"/>
          <w:lang w:val="en-US" w:eastAsia="zh-CN"/>
          <w14:ligatures w14:val="none"/>
        </w:rPr>
        <w:t>十五五</w:t>
      </w:r>
      <w:r>
        <w:rPr>
          <w:rFonts w:hint="default" w:ascii="Times New Roman" w:hAnsi="Times New Roman" w:cs="Times New Roman"/>
          <w:b w:val="0"/>
          <w:bCs w:val="0"/>
          <w:szCs w:val="32"/>
          <w:highlight w:val="none"/>
          <w:lang w:eastAsia="zh-CN"/>
          <w14:ligatures w14:val="none"/>
        </w:rPr>
        <w:t>”</w:t>
      </w:r>
      <w:r>
        <w:rPr>
          <w:rFonts w:hint="default" w:ascii="Times New Roman" w:hAnsi="Times New Roman" w:cs="Times New Roman"/>
          <w:b w:val="0"/>
          <w:bCs w:val="0"/>
          <w:szCs w:val="32"/>
          <w:highlight w:val="none"/>
          <w:lang w:val="en-US" w:eastAsia="zh-CN"/>
          <w14:ligatures w14:val="none"/>
        </w:rPr>
        <w:t>期间，组织开展产学研活动</w:t>
      </w:r>
      <w:r>
        <w:rPr>
          <w:rFonts w:hint="eastAsia" w:ascii="Times New Roman" w:hAnsi="Times New Roman" w:cs="Times New Roman"/>
          <w:b w:val="0"/>
          <w:bCs w:val="0"/>
          <w:szCs w:val="32"/>
          <w:highlight w:val="none"/>
          <w:lang w:val="en-US" w:eastAsia="zh-CN"/>
          <w14:ligatures w14:val="none"/>
        </w:rPr>
        <w:t>40</w:t>
      </w:r>
      <w:r>
        <w:rPr>
          <w:rFonts w:hint="default" w:ascii="Times New Roman" w:hAnsi="Times New Roman" w:cs="Times New Roman"/>
          <w:b w:val="0"/>
          <w:bCs w:val="0"/>
          <w:szCs w:val="32"/>
          <w:highlight w:val="none"/>
          <w:lang w:val="en-US" w:eastAsia="zh-CN"/>
          <w14:ligatures w14:val="none"/>
        </w:rPr>
        <w:t>场</w:t>
      </w:r>
      <w:r>
        <w:rPr>
          <w:rFonts w:hint="eastAsia" w:ascii="Times New Roman" w:hAnsi="Times New Roman" w:cs="Times New Roman"/>
          <w:b w:val="0"/>
          <w:bCs w:val="0"/>
          <w:szCs w:val="32"/>
          <w:highlight w:val="none"/>
          <w:lang w:val="en-US" w:eastAsia="zh-CN"/>
          <w14:ligatures w14:val="none"/>
        </w:rPr>
        <w:t>以上</w:t>
      </w:r>
      <w:r>
        <w:rPr>
          <w:rFonts w:hint="default" w:ascii="Times New Roman" w:hAnsi="Times New Roman" w:cs="Times New Roman"/>
          <w:b w:val="0"/>
          <w:bCs w:val="0"/>
          <w:szCs w:val="32"/>
          <w:highlight w:val="none"/>
          <w:lang w:val="en-US" w:eastAsia="zh-CN"/>
          <w14:ligatures w14:val="none"/>
        </w:rPr>
        <w:t>，达成意向合作项目20项</w:t>
      </w:r>
      <w:r>
        <w:rPr>
          <w:rFonts w:hint="eastAsia" w:ascii="Times New Roman" w:hAnsi="Times New Roman" w:cs="Times New Roman"/>
          <w:b w:val="0"/>
          <w:bCs w:val="0"/>
          <w:szCs w:val="32"/>
          <w:highlight w:val="none"/>
          <w:lang w:val="en-US" w:eastAsia="zh-CN"/>
          <w14:ligatures w14:val="none"/>
        </w:rPr>
        <w:t>以上</w:t>
      </w:r>
      <w:r>
        <w:rPr>
          <w:rFonts w:hint="default" w:ascii="Times New Roman" w:hAnsi="Times New Roman" w:cs="Times New Roman"/>
          <w:b w:val="0"/>
          <w:bCs w:val="0"/>
          <w:color w:val="000000" w:themeColor="text1"/>
          <w:szCs w:val="32"/>
          <w:highlight w:val="none"/>
          <w:lang w:eastAsia="zh-CN"/>
          <w14:textFill>
            <w14:solidFill>
              <w14:schemeClr w14:val="tx1"/>
            </w14:solidFill>
          </w14:textFill>
        </w:rPr>
        <w:t>，</w:t>
      </w:r>
      <w:r>
        <w:rPr>
          <w:rFonts w:hint="default" w:ascii="Times New Roman" w:hAnsi="Times New Roman" w:cs="Times New Roman"/>
          <w:b w:val="0"/>
          <w:bCs w:val="0"/>
          <w:color w:val="000000" w:themeColor="text1"/>
          <w:szCs w:val="32"/>
          <w:highlight w:val="none"/>
          <w:lang w:val="en-US" w:eastAsia="zh-CN"/>
          <w14:textFill>
            <w14:solidFill>
              <w14:schemeClr w14:val="tx1"/>
            </w14:solidFill>
          </w14:textFill>
        </w:rPr>
        <w:t>实现科技成果落地转化50项以上。</w:t>
      </w:r>
    </w:p>
    <w:bookmarkEnd w:id="55"/>
    <w:bookmarkEnd w:id="56"/>
    <w:bookmarkEnd w:id="57"/>
    <w:bookmarkEnd w:id="58"/>
    <w:p w14:paraId="3495F5EC">
      <w:pPr>
        <w:pStyle w:val="3"/>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59" w:name="_Toc31078"/>
      <w:r>
        <w:rPr>
          <w:rFonts w:hint="default" w:ascii="Times New Roman" w:hAnsi="Times New Roman" w:cs="Times New Roman"/>
          <w:sz w:val="32"/>
          <w:szCs w:val="22"/>
          <w:highlight w:val="none"/>
          <w:lang w:val="en-US" w:eastAsia="zh-CN"/>
        </w:rPr>
        <w:t>第二节  一体推进教育科技人才发展</w:t>
      </w:r>
      <w:bookmarkEnd w:id="59"/>
    </w:p>
    <w:p w14:paraId="5D5523E7">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highlight w:val="none"/>
          <w:lang w:val="en-US" w:eastAsia="zh-CN"/>
        </w:rPr>
      </w:pPr>
      <w:r>
        <w:rPr>
          <w:rFonts w:hint="default" w:ascii="Times New Roman" w:hAnsi="Times New Roman" w:cs="Times New Roman"/>
          <w:highlight w:val="none"/>
          <w:lang w:val="en-US" w:eastAsia="zh-CN"/>
        </w:rPr>
        <w:t>1.深化产教融合育人机制</w:t>
      </w:r>
    </w:p>
    <w:p w14:paraId="56E3E3F8">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Cs w:val="32"/>
          <w:highlight w:val="none"/>
          <w:lang w:eastAsia="zh-CN"/>
        </w:rPr>
      </w:pPr>
      <w:r>
        <w:rPr>
          <w:rFonts w:hint="default" w:ascii="Times New Roman" w:hAnsi="Times New Roman" w:cs="Times New Roman"/>
          <w:b w:val="0"/>
          <w:bCs w:val="0"/>
          <w:highlight w:val="none"/>
          <w:lang w:val="en-US" w:eastAsia="zh-CN"/>
        </w:rPr>
        <w:t>以产教融合为导向，进一步</w:t>
      </w:r>
      <w:r>
        <w:rPr>
          <w:rFonts w:hint="default" w:ascii="Times New Roman" w:hAnsi="Times New Roman" w:cs="Times New Roman"/>
          <w:szCs w:val="32"/>
          <w:highlight w:val="none"/>
        </w:rPr>
        <w:t>完善德技并修、工学结合、全面发展的育人机制</w:t>
      </w:r>
      <w:r>
        <w:rPr>
          <w:rFonts w:hint="default" w:ascii="Times New Roman" w:hAnsi="Times New Roman" w:cs="Times New Roman"/>
          <w:b w:val="0"/>
          <w:bCs w:val="0"/>
          <w:highlight w:val="none"/>
          <w:lang w:val="en-US" w:eastAsia="zh-CN"/>
        </w:rPr>
        <w:t>。</w:t>
      </w:r>
      <w:r>
        <w:rPr>
          <w:rFonts w:hint="default" w:ascii="Times New Roman" w:hAnsi="Times New Roman" w:cs="Times New Roman"/>
          <w:szCs w:val="32"/>
          <w:highlight w:val="none"/>
        </w:rPr>
        <w:t>建立</w:t>
      </w:r>
      <w:r>
        <w:rPr>
          <w:rFonts w:hint="default" w:ascii="Times New Roman" w:hAnsi="Times New Roman" w:cs="Times New Roman"/>
          <w:szCs w:val="32"/>
          <w:highlight w:val="none"/>
          <w:lang w:val="en-US" w:eastAsia="zh-CN"/>
        </w:rPr>
        <w:t>职业教育</w:t>
      </w:r>
      <w:r>
        <w:rPr>
          <w:rFonts w:hint="default" w:ascii="Times New Roman" w:hAnsi="Times New Roman" w:cs="Times New Roman"/>
          <w:szCs w:val="32"/>
          <w:highlight w:val="none"/>
        </w:rPr>
        <w:t>与</w:t>
      </w:r>
      <w:r>
        <w:rPr>
          <w:rFonts w:hint="default" w:ascii="Times New Roman" w:hAnsi="Times New Roman" w:cs="Times New Roman"/>
          <w:szCs w:val="32"/>
          <w:highlight w:val="none"/>
          <w:lang w:val="en-US" w:eastAsia="zh-CN"/>
        </w:rPr>
        <w:t>企业人才需求精准对接机制</w:t>
      </w:r>
      <w:r>
        <w:rPr>
          <w:rFonts w:hint="default" w:ascii="Times New Roman" w:hAnsi="Times New Roman" w:cs="Times New Roman"/>
          <w:szCs w:val="32"/>
          <w:highlight w:val="none"/>
        </w:rPr>
        <w:t>，</w:t>
      </w:r>
      <w:r>
        <w:rPr>
          <w:rFonts w:hint="default" w:ascii="Times New Roman" w:hAnsi="Times New Roman" w:cs="Times New Roman"/>
          <w:b w:val="0"/>
          <w:bCs w:val="0"/>
          <w:highlight w:val="none"/>
          <w:lang w:val="en-US" w:eastAsia="zh-CN"/>
        </w:rPr>
        <w:t>实施企业总工程师与高校教授“双导师制”，按产业需求“反向定制”动态调整专业课程</w:t>
      </w:r>
      <w:r>
        <w:rPr>
          <w:rFonts w:hint="default" w:ascii="Times New Roman" w:hAnsi="Times New Roman" w:cs="Times New Roman"/>
          <w:szCs w:val="32"/>
          <w:highlight w:val="none"/>
        </w:rPr>
        <w:t>。</w:t>
      </w:r>
      <w:r>
        <w:rPr>
          <w:rFonts w:hint="default" w:ascii="Times New Roman" w:hAnsi="Times New Roman" w:cs="Times New Roman"/>
          <w:b w:val="0"/>
          <w:bCs w:val="0"/>
          <w:highlight w:val="none"/>
        </w:rPr>
        <w:t>支持产业龙头企业和职业院校协同创建产业实训基地，</w:t>
      </w:r>
      <w:r>
        <w:rPr>
          <w:rFonts w:hint="default" w:ascii="Times New Roman" w:hAnsi="Times New Roman" w:cs="Times New Roman"/>
          <w:b w:val="0"/>
          <w:bCs w:val="0"/>
          <w:highlight w:val="none"/>
          <w:lang w:val="en-US" w:eastAsia="zh-CN"/>
        </w:rPr>
        <w:t>将先进产线、真实场景与研发体系转化为“实战化课堂”，发挥好“哈尔滨工业大学学生实践基地”作用，</w:t>
      </w:r>
      <w:r>
        <w:rPr>
          <w:rFonts w:hint="default" w:ascii="Times New Roman" w:hAnsi="Times New Roman" w:cs="Times New Roman"/>
          <w:b w:val="0"/>
          <w:bCs w:val="0"/>
          <w:highlight w:val="none"/>
        </w:rPr>
        <w:t>大力培育与</w:t>
      </w:r>
      <w:r>
        <w:rPr>
          <w:rFonts w:hint="default" w:ascii="Times New Roman" w:hAnsi="Times New Roman" w:cs="Times New Roman"/>
          <w:b w:val="0"/>
          <w:bCs w:val="0"/>
          <w:szCs w:val="21"/>
          <w:highlight w:val="none"/>
        </w:rPr>
        <w:t>新经济、新业态、新市场发展相适应的技能型、复合型人才。</w:t>
      </w:r>
      <w:r>
        <w:rPr>
          <w:rFonts w:hint="default" w:ascii="Times New Roman" w:hAnsi="Times New Roman" w:cs="Times New Roman"/>
          <w:szCs w:val="32"/>
          <w:highlight w:val="none"/>
          <w:lang w:val="en-US" w:eastAsia="zh-CN"/>
        </w:rPr>
        <w:t>提升全县职业教育办学水平，</w:t>
      </w:r>
      <w:r>
        <w:rPr>
          <w:rFonts w:hint="default" w:ascii="Times New Roman" w:hAnsi="Times New Roman" w:cs="Times New Roman"/>
          <w:szCs w:val="32"/>
          <w:highlight w:val="none"/>
        </w:rPr>
        <w:t>加强中等职业学校与高等职业学校衔接培养，提升“双师型”教师占比</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rPr>
        <w:t>加快省级高水平中等职业学校建设，改善中职</w:t>
      </w:r>
      <w:r>
        <w:rPr>
          <w:rFonts w:hint="default" w:ascii="Times New Roman" w:hAnsi="Times New Roman" w:cs="Times New Roman"/>
          <w:szCs w:val="32"/>
          <w:highlight w:val="none"/>
          <w:lang w:val="en-US" w:eastAsia="zh-CN"/>
        </w:rPr>
        <w:t>院</w:t>
      </w:r>
      <w:r>
        <w:rPr>
          <w:rFonts w:hint="default" w:ascii="Times New Roman" w:hAnsi="Times New Roman" w:cs="Times New Roman"/>
          <w:szCs w:val="32"/>
          <w:highlight w:val="none"/>
        </w:rPr>
        <w:t>校办学条件，拓展职业教育发展空间，为五年长学制高职专业人才培养奠定基础。加大淄博</w:t>
      </w:r>
      <w:r>
        <w:rPr>
          <w:rFonts w:hint="default" w:ascii="Times New Roman" w:hAnsi="Times New Roman" w:cs="Times New Roman"/>
          <w:szCs w:val="32"/>
          <w:highlight w:val="none"/>
          <w:lang w:val="en-US" w:eastAsia="zh-CN"/>
        </w:rPr>
        <w:t>市</w:t>
      </w:r>
      <w:r>
        <w:rPr>
          <w:rFonts w:hint="default" w:ascii="Times New Roman" w:hAnsi="Times New Roman" w:cs="Times New Roman"/>
          <w:szCs w:val="32"/>
          <w:highlight w:val="none"/>
        </w:rPr>
        <w:t>乡村振兴学院建设力度，积极发展“互联网+</w:t>
      </w:r>
      <w:r>
        <w:rPr>
          <w:rFonts w:hint="default" w:ascii="Times New Roman" w:hAnsi="Times New Roman" w:cs="Times New Roman"/>
          <w:szCs w:val="32"/>
          <w:highlight w:val="none"/>
          <w:lang w:val="en-US" w:eastAsia="zh-CN"/>
        </w:rPr>
        <w:t>职业</w:t>
      </w:r>
      <w:r>
        <w:rPr>
          <w:rFonts w:hint="default" w:ascii="Times New Roman" w:hAnsi="Times New Roman" w:cs="Times New Roman"/>
          <w:szCs w:val="32"/>
          <w:highlight w:val="none"/>
        </w:rPr>
        <w:t>教育”“人工智能+</w:t>
      </w:r>
      <w:r>
        <w:rPr>
          <w:rFonts w:hint="default" w:ascii="Times New Roman" w:hAnsi="Times New Roman" w:cs="Times New Roman"/>
          <w:szCs w:val="32"/>
          <w:highlight w:val="none"/>
          <w:lang w:val="en-US" w:eastAsia="zh-CN"/>
        </w:rPr>
        <w:t>职业</w:t>
      </w:r>
      <w:r>
        <w:rPr>
          <w:rFonts w:hint="default" w:ascii="Times New Roman" w:hAnsi="Times New Roman" w:cs="Times New Roman"/>
          <w:szCs w:val="32"/>
          <w:highlight w:val="none"/>
        </w:rPr>
        <w:t>教育”。大力培育“</w:t>
      </w:r>
      <w:r>
        <w:rPr>
          <w:rFonts w:hint="default" w:ascii="Times New Roman" w:hAnsi="Times New Roman" w:cs="Times New Roman"/>
          <w:szCs w:val="32"/>
          <w:highlight w:val="none"/>
          <w:lang w:val="en-US" w:eastAsia="zh-CN"/>
        </w:rPr>
        <w:t>沂源</w:t>
      </w:r>
      <w:r>
        <w:rPr>
          <w:rFonts w:hint="default" w:ascii="Times New Roman" w:hAnsi="Times New Roman" w:cs="Times New Roman"/>
          <w:szCs w:val="32"/>
          <w:highlight w:val="none"/>
        </w:rPr>
        <w:t>工匠”，加快打造知识型、技能型、创新型劳动者大军</w:t>
      </w:r>
      <w:r>
        <w:rPr>
          <w:rFonts w:hint="default" w:ascii="Times New Roman" w:hAnsi="Times New Roman" w:cs="Times New Roman"/>
          <w:szCs w:val="32"/>
          <w:highlight w:val="none"/>
          <w:lang w:eastAsia="zh-CN"/>
        </w:rPr>
        <w:t>，</w:t>
      </w:r>
      <w:r>
        <w:rPr>
          <w:rFonts w:hint="default" w:ascii="Times New Roman" w:hAnsi="Times New Roman" w:cs="Times New Roman"/>
          <w:highlight w:val="none"/>
        </w:rPr>
        <w:t>面向在职职工等开展继续教育和职业技能培训</w:t>
      </w:r>
      <w:r>
        <w:rPr>
          <w:rFonts w:hint="default" w:ascii="Times New Roman" w:hAnsi="Times New Roman" w:cs="Times New Roman"/>
          <w:highlight w:val="none"/>
          <w:lang w:eastAsia="zh-CN"/>
        </w:rPr>
        <w:t>。</w:t>
      </w:r>
    </w:p>
    <w:p w14:paraId="70870A53">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r>
        <w:rPr>
          <w:rFonts w:hint="default" w:ascii="Times New Roman" w:hAnsi="Times New Roman" w:cs="Times New Roman"/>
          <w:highlight w:val="none"/>
        </w:rPr>
        <w:t>.</w:t>
      </w:r>
      <w:r>
        <w:rPr>
          <w:rFonts w:hint="default" w:ascii="Times New Roman" w:hAnsi="Times New Roman" w:cs="Times New Roman"/>
          <w:highlight w:val="none"/>
          <w:lang w:val="en-US" w:eastAsia="zh-CN"/>
        </w:rPr>
        <w:t>推进多层次人才队伍建设</w:t>
      </w:r>
    </w:p>
    <w:p w14:paraId="2A4A2C95">
      <w:pPr>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szCs w:val="21"/>
          <w:highlight w:val="none"/>
          <w:lang w:val="en-US" w:eastAsia="zh-CN"/>
        </w:rPr>
      </w:pPr>
      <w:r>
        <w:rPr>
          <w:rFonts w:hint="default" w:ascii="Times New Roman" w:hAnsi="Times New Roman" w:cs="Times New Roman"/>
          <w:b w:val="0"/>
          <w:bCs w:val="0"/>
          <w:highlight w:val="none"/>
          <w:lang w:val="en-US" w:eastAsia="zh-CN"/>
        </w:rPr>
        <w:t>系统实施“链上英才”精准引才、“绿色技能”标准开发、“沂源工匠”本土培育、“校友经济”情感引智四大行动，构建覆盖产业人才、技能人才、乡土人才、在外英才的多维人才发展体系。</w:t>
      </w:r>
      <w:r>
        <w:rPr>
          <w:rFonts w:hint="default" w:ascii="Times New Roman" w:hAnsi="Times New Roman" w:cs="Times New Roman"/>
          <w:b w:val="0"/>
          <w:bCs w:val="0"/>
          <w:highlight w:val="none"/>
        </w:rPr>
        <w:t>以</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高、精、尖、缺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为导向，统筹推进企业经营管理人才、技术创新人才、高技能人才等多层次人才队伍建设，实施泰山产业领军人才工程，落实</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淄博英才计划</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，用好淄博市</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人才金政50条</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w:t>
      </w:r>
      <w:r>
        <w:rPr>
          <w:rFonts w:hint="default" w:ascii="Times New Roman" w:hAnsi="Times New Roman" w:cs="Times New Roman"/>
          <w:b w:val="0"/>
          <w:bCs w:val="0"/>
          <w:highlight w:val="none"/>
          <w:lang w:val="en-US" w:eastAsia="zh-CN"/>
        </w:rPr>
        <w:t>广泛邀请在外校友、老乡担任</w:t>
      </w:r>
      <w:r>
        <w:rPr>
          <w:rFonts w:hint="default" w:ascii="Times New Roman" w:hAnsi="Times New Roman" w:cs="Times New Roman"/>
          <w:b w:val="0"/>
          <w:bCs w:val="0"/>
          <w:highlight w:val="none"/>
        </w:rPr>
        <w:t>“引才大使”</w:t>
      </w:r>
      <w:r>
        <w:rPr>
          <w:rFonts w:hint="default" w:ascii="Times New Roman" w:hAnsi="Times New Roman" w:cs="Times New Roman"/>
          <w:b w:val="0"/>
          <w:bCs w:val="0"/>
          <w:highlight w:val="none"/>
          <w:lang w:val="en-US" w:eastAsia="zh-CN"/>
        </w:rPr>
        <w:t>，实施</w:t>
      </w:r>
      <w:r>
        <w:rPr>
          <w:rFonts w:hint="default" w:ascii="Times New Roman" w:hAnsi="Times New Roman" w:cs="Times New Roman"/>
          <w:b w:val="0"/>
          <w:bCs w:val="0"/>
          <w:highlight w:val="none"/>
        </w:rPr>
        <w:t>“归雁兴源”情感连接工程，加快培育集聚产业发展急需紧缺人才。探索高层次人才协议工资制、股权期权激励等分配方式，开展企业分红、股权激励以及员工持股等多种中长期激励形式，让人才合理合法享有创新收益。鼓励瑞阳</w:t>
      </w:r>
      <w:r>
        <w:rPr>
          <w:rFonts w:hint="default" w:ascii="Times New Roman" w:hAnsi="Times New Roman" w:cs="Times New Roman"/>
          <w:b w:val="0"/>
          <w:bCs w:val="0"/>
          <w:highlight w:val="none"/>
          <w:lang w:val="en-US" w:eastAsia="zh-CN"/>
        </w:rPr>
        <w:t>制药</w:t>
      </w:r>
      <w:r>
        <w:rPr>
          <w:rFonts w:hint="default" w:ascii="Times New Roman" w:hAnsi="Times New Roman" w:cs="Times New Roman"/>
          <w:b w:val="0"/>
          <w:bCs w:val="0"/>
          <w:highlight w:val="none"/>
        </w:rPr>
        <w:t>等龙头企业加强科创飞地建设，借助北京、上海、深圳及国外等发达地区的科技创新资源、人才优势，建设技术研发创新中心，形成研发在飞地、生产在本地的创新格局。着力破除人才流动障碍，</w:t>
      </w:r>
      <w:r>
        <w:rPr>
          <w:rFonts w:hint="default" w:ascii="Times New Roman" w:hAnsi="Times New Roman" w:cs="Times New Roman"/>
          <w:b w:val="0"/>
          <w:bCs w:val="0"/>
          <w:highlight w:val="none"/>
          <w:lang w:val="en-US" w:eastAsia="zh-CN"/>
        </w:rPr>
        <w:t>坚持“不求所有、但求所用”，</w:t>
      </w:r>
      <w:r>
        <w:rPr>
          <w:rFonts w:hint="default" w:ascii="Times New Roman" w:hAnsi="Times New Roman" w:cs="Times New Roman"/>
          <w:b w:val="0"/>
          <w:bCs w:val="0"/>
          <w:highlight w:val="none"/>
        </w:rPr>
        <w:t>推广柔性引才政策，畅通高校、科研院所和企业人才交流渠道，拓展</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科技副总</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遴选范围，吸引国内知名科技企业中层管理干部到相关政府部门、园区管委会挂职。</w:t>
      </w:r>
      <w:r>
        <w:rPr>
          <w:rFonts w:hint="default" w:ascii="Times New Roman" w:hAnsi="Times New Roman" w:cs="Times New Roman"/>
          <w:b w:val="0"/>
          <w:bCs w:val="0"/>
          <w:highlight w:val="none"/>
          <w:lang w:val="en-US" w:eastAsia="zh-CN"/>
        </w:rPr>
        <w:t>打</w:t>
      </w:r>
      <w:r>
        <w:rPr>
          <w:rFonts w:hint="default" w:ascii="Times New Roman" w:hAnsi="Times New Roman" w:cs="Times New Roman"/>
          <w:b w:val="0"/>
          <w:bCs w:val="0"/>
          <w:highlight w:val="none"/>
        </w:rPr>
        <w:t>造良好人才</w:t>
      </w:r>
      <w:r>
        <w:rPr>
          <w:rFonts w:hint="default" w:ascii="Times New Roman" w:hAnsi="Times New Roman" w:cs="Times New Roman"/>
          <w:b w:val="0"/>
          <w:bCs w:val="0"/>
          <w:highlight w:val="none"/>
          <w:lang w:val="en-US" w:eastAsia="zh-CN"/>
        </w:rPr>
        <w:t>服务体系</w:t>
      </w:r>
      <w:r>
        <w:rPr>
          <w:rFonts w:hint="default" w:ascii="Times New Roman" w:hAnsi="Times New Roman" w:cs="Times New Roman"/>
          <w:b w:val="0"/>
          <w:bCs w:val="0"/>
          <w:highlight w:val="none"/>
        </w:rPr>
        <w:t>，</w:t>
      </w:r>
      <w:r>
        <w:rPr>
          <w:rFonts w:hint="default" w:ascii="Times New Roman" w:hAnsi="Times New Roman" w:cs="Times New Roman"/>
          <w:color w:val="auto"/>
          <w:highlight w:val="none"/>
        </w:rPr>
        <w:t>着力解决人才急难愁盼问题</w:t>
      </w:r>
      <w:r>
        <w:rPr>
          <w:rFonts w:hint="default" w:ascii="Times New Roman" w:hAnsi="Times New Roman" w:cs="Times New Roman"/>
          <w:color w:val="auto"/>
          <w:highlight w:val="none"/>
          <w:lang w:eastAsia="zh-CN"/>
        </w:rPr>
        <w:t>，</w:t>
      </w:r>
      <w:r>
        <w:rPr>
          <w:rFonts w:hint="default" w:ascii="Times New Roman" w:hAnsi="Times New Roman" w:cs="Times New Roman"/>
          <w:b w:val="0"/>
          <w:bCs w:val="0"/>
          <w:highlight w:val="none"/>
        </w:rPr>
        <w:t>增强人才归属感与获得感。</w:t>
      </w:r>
      <w:r>
        <w:rPr>
          <w:rFonts w:hint="default" w:ascii="Times New Roman" w:hAnsi="Times New Roman" w:cs="Times New Roman"/>
          <w:b w:val="0"/>
          <w:bCs w:val="0"/>
          <w:szCs w:val="21"/>
          <w:highlight w:val="none"/>
          <w:lang w:eastAsia="zh-CN"/>
        </w:rPr>
        <w:t>“</w:t>
      </w:r>
      <w:r>
        <w:rPr>
          <w:rFonts w:hint="default" w:ascii="Times New Roman" w:hAnsi="Times New Roman" w:cs="Times New Roman"/>
          <w:b w:val="0"/>
          <w:bCs w:val="0"/>
          <w:szCs w:val="21"/>
          <w:highlight w:val="none"/>
          <w:lang w:val="en-US" w:eastAsia="zh-CN"/>
        </w:rPr>
        <w:t>十五五</w:t>
      </w:r>
      <w:r>
        <w:rPr>
          <w:rFonts w:hint="default" w:ascii="Times New Roman" w:hAnsi="Times New Roman" w:cs="Times New Roman"/>
          <w:b w:val="0"/>
          <w:bCs w:val="0"/>
          <w:szCs w:val="21"/>
          <w:highlight w:val="none"/>
          <w:lang w:eastAsia="zh-CN"/>
        </w:rPr>
        <w:t>”</w:t>
      </w:r>
      <w:r>
        <w:rPr>
          <w:rFonts w:hint="default" w:ascii="Times New Roman" w:hAnsi="Times New Roman" w:cs="Times New Roman"/>
          <w:b w:val="0"/>
          <w:bCs w:val="0"/>
          <w:szCs w:val="21"/>
          <w:highlight w:val="none"/>
          <w:lang w:val="en-US" w:eastAsia="zh-CN"/>
        </w:rPr>
        <w:t>期间，年均引育国家级、省级高层次人才20人以上，打造一支支撑产业高质量发展的人才队伍。</w:t>
      </w:r>
    </w:p>
    <w:tbl>
      <w:tblPr>
        <w:tblStyle w:val="16"/>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5"/>
      </w:tblGrid>
      <w:tr w14:paraId="4BED18CB">
        <w:tblPrEx>
          <w:tblCellMar>
            <w:top w:w="0" w:type="dxa"/>
            <w:left w:w="108" w:type="dxa"/>
            <w:bottom w:w="0" w:type="dxa"/>
            <w:right w:w="108" w:type="dxa"/>
          </w:tblCellMar>
        </w:tblPrEx>
        <w:trPr>
          <w:trHeight w:val="90" w:hRule="atLeast"/>
          <w:jc w:val="center"/>
        </w:trPr>
        <w:tc>
          <w:tcPr>
            <w:tcW w:w="8575" w:type="dxa"/>
          </w:tcPr>
          <w:p w14:paraId="2EEADAA0">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专栏6：科技创新产业赋能行动</w:t>
            </w:r>
          </w:p>
        </w:tc>
      </w:tr>
      <w:tr w14:paraId="2305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5" w:type="dxa"/>
          </w:tcPr>
          <w:p w14:paraId="5982D8A5">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产业核心技术攻关工程。聚焦基础零部件、基础材料、基础工艺和产业技术基础，建立重点产业关键核心技术“创新图谱”，通过“揭榜挂帅”“赛马制”“军令状”等方式，深化产学研联合攻关，加快突破一批关键核心技术，开展专利转化运用行动，孵化培育一批创新领军企业。</w:t>
            </w:r>
          </w:p>
          <w:p w14:paraId="74D1D941">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创新平台扩量提升工程。加强产业共性技术平台建设，支持重点企业联合高校、科研院所和上下游企业组建产业技术创新联盟，围绕产业链关键环节开展技术攻关和产业化应用；推动创新资源整合集聚，提升骨干企业研发机构覆盖率，积极争创市级及以上创新载体。</w:t>
            </w:r>
          </w:p>
          <w:p w14:paraId="1DF1AA16">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产业人才队伍建设工程。推动“创新链、产业链、资金链、人才链”四链融合，实行更加积极、更加开放、更加有效的人才引进政策，灵活运用“专职+兼职”模式，精准引进创新链产业链急需紧缺人才；统筹推进职业教育、继续教育协同创新，积极推广工学一体化技能人才培养模式。</w:t>
            </w:r>
          </w:p>
          <w:p w14:paraId="61F074BF">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人才服务体系优化工程。建立高层次人才“一对一”服务专员制度，落实人才落户安居、配偶安置、子女就学、医疗健康、便利购房等政策优惠，在政务服务中心升级打造人才服务专区，为人才工作、生活提供“一站式”优质服务，解决人才后顾之忧。</w:t>
            </w:r>
          </w:p>
        </w:tc>
      </w:tr>
    </w:tbl>
    <w:p w14:paraId="5B69FD86">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60" w:name="_Toc26954"/>
      <w:r>
        <w:rPr>
          <w:rFonts w:hint="default" w:ascii="Times New Roman" w:hAnsi="Times New Roman" w:cs="Times New Roman"/>
          <w:sz w:val="32"/>
          <w:szCs w:val="22"/>
          <w:highlight w:val="none"/>
          <w:lang w:val="en-US" w:eastAsia="zh-CN"/>
        </w:rPr>
        <w:t>第三节  深入推进数字沂源建设</w:t>
      </w:r>
      <w:bookmarkEnd w:id="60"/>
    </w:p>
    <w:p w14:paraId="14A40B4E">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rPr>
        <w:t>1.以“</w:t>
      </w:r>
      <w:r>
        <w:rPr>
          <w:rFonts w:hint="default" w:ascii="Times New Roman" w:hAnsi="Times New Roman" w:cs="Times New Roman"/>
          <w:highlight w:val="none"/>
          <w:lang w:val="en-US" w:eastAsia="zh-CN"/>
        </w:rPr>
        <w:t>数</w:t>
      </w:r>
      <w:r>
        <w:rPr>
          <w:rFonts w:hint="default" w:ascii="Times New Roman" w:hAnsi="Times New Roman" w:cs="Times New Roman"/>
          <w:highlight w:val="none"/>
        </w:rPr>
        <w:t>赋</w:t>
      </w:r>
      <w:r>
        <w:rPr>
          <w:rFonts w:hint="default" w:ascii="Times New Roman" w:hAnsi="Times New Roman" w:cs="Times New Roman"/>
          <w:highlight w:val="none"/>
          <w:lang w:val="en-US" w:eastAsia="zh-CN"/>
        </w:rPr>
        <w:t>沂源</w:t>
      </w:r>
      <w:r>
        <w:rPr>
          <w:rFonts w:hint="default" w:ascii="Times New Roman" w:hAnsi="Times New Roman" w:cs="Times New Roman"/>
          <w:highlight w:val="none"/>
        </w:rPr>
        <w:t>”进一步优化发展生态</w:t>
      </w:r>
    </w:p>
    <w:p w14:paraId="4422ECE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b w:val="0"/>
          <w:bCs w:val="0"/>
          <w:kern w:val="2"/>
          <w:sz w:val="32"/>
          <w:szCs w:val="24"/>
          <w:highlight w:val="none"/>
          <w:lang w:val="en-US" w:eastAsia="zh-CN" w:bidi="ar-SA"/>
        </w:rPr>
        <w:t>基于县域经济特点，探索发展先进适用的新一代信息技术产业，实施数字经济跃升工程，加强企业梯度培育，推动技术落地转化，不断优化新一代信息技术产业生态。</w:t>
      </w:r>
      <w:r>
        <w:rPr>
          <w:rFonts w:hint="default" w:ascii="Times New Roman" w:hAnsi="Times New Roman" w:cs="Times New Roman"/>
          <w:highlight w:val="none"/>
          <w:lang w:val="en-US" w:eastAsia="zh-CN"/>
        </w:rPr>
        <w:t>深化数据要素市场化配置改革</w:t>
      </w:r>
      <w:r>
        <w:rPr>
          <w:rFonts w:hint="default" w:ascii="Times New Roman" w:hAnsi="Times New Roman" w:cs="Times New Roman"/>
          <w:highlight w:val="none"/>
          <w:lang w:eastAsia="zh-CN"/>
        </w:rPr>
        <w:t>，</w:t>
      </w:r>
      <w:r>
        <w:rPr>
          <w:rFonts w:hint="default" w:ascii="Times New Roman" w:hAnsi="Times New Roman" w:cs="Times New Roman"/>
          <w:highlight w:val="none"/>
        </w:rPr>
        <w:t>规范数据确权登记流程，探索建立数据估值体系，推动数据价值评估标准化、专业化。加强与国内头部数据交易机构合作，打造数据场景开发—存储—传输—计算—流通服务全要素数据产业链，发展数据清洗、标注、评估等新兴服务</w:t>
      </w:r>
      <w:r>
        <w:rPr>
          <w:rFonts w:hint="default" w:ascii="Times New Roman" w:hAnsi="Times New Roman" w:cs="Times New Roman"/>
          <w:highlight w:val="none"/>
          <w:lang w:eastAsia="zh-CN"/>
        </w:rPr>
        <w:t>，</w:t>
      </w:r>
      <w:r>
        <w:rPr>
          <w:rFonts w:hint="default" w:ascii="Times New Roman" w:hAnsi="Times New Roman" w:cs="Times New Roman"/>
          <w:highlight w:val="none"/>
        </w:rPr>
        <w:t>培育本地数据加工服务商。</w:t>
      </w:r>
    </w:p>
    <w:p w14:paraId="4EA9F44C">
      <w:pPr>
        <w:pStyle w:val="4"/>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cs="Times New Roman"/>
          <w:highlight w:val="none"/>
        </w:rPr>
      </w:pPr>
      <w:r>
        <w:rPr>
          <w:rFonts w:hint="default" w:ascii="Times New Roman" w:hAnsi="Times New Roman" w:cs="Times New Roman"/>
          <w:highlight w:val="none"/>
        </w:rPr>
        <w:t>2.以“工赋</w:t>
      </w:r>
      <w:r>
        <w:rPr>
          <w:rFonts w:hint="default" w:ascii="Times New Roman" w:hAnsi="Times New Roman" w:cs="Times New Roman"/>
          <w:highlight w:val="none"/>
          <w:lang w:val="en-US" w:eastAsia="zh-CN"/>
        </w:rPr>
        <w:t>沂源</w:t>
      </w:r>
      <w:r>
        <w:rPr>
          <w:rFonts w:hint="default" w:ascii="Times New Roman" w:hAnsi="Times New Roman" w:cs="Times New Roman"/>
          <w:highlight w:val="none"/>
        </w:rPr>
        <w:t>”助推制造业转型升级</w:t>
      </w:r>
    </w:p>
    <w:p w14:paraId="400F6AE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加快工业互联网等技术应用，推动制造业全要素全领域数字化转型。推进传统制造业数字化转型，创新政府购买服务等多种方式</w:t>
      </w:r>
      <w:r>
        <w:rPr>
          <w:rFonts w:hint="default" w:ascii="Times New Roman" w:hAnsi="Times New Roman" w:cs="Times New Roman"/>
          <w:highlight w:val="none"/>
          <w:lang w:eastAsia="zh-CN"/>
        </w:rPr>
        <w:t>，</w:t>
      </w:r>
      <w:r>
        <w:rPr>
          <w:rFonts w:hint="default" w:ascii="Times New Roman" w:hAnsi="Times New Roman" w:cs="Times New Roman"/>
          <w:highlight w:val="none"/>
        </w:rPr>
        <w:t>有效降低企业“上云用平台”成本</w:t>
      </w:r>
      <w:r>
        <w:rPr>
          <w:rFonts w:hint="default" w:ascii="Times New Roman" w:hAnsi="Times New Roman" w:cs="Times New Roman"/>
          <w:highlight w:val="none"/>
          <w:lang w:eastAsia="zh-CN"/>
        </w:rPr>
        <w:t>。</w:t>
      </w:r>
      <w:r>
        <w:rPr>
          <w:rFonts w:hint="default" w:ascii="Times New Roman" w:hAnsi="Times New Roman" w:cs="Times New Roman"/>
          <w:highlight w:val="none"/>
        </w:rPr>
        <w:t>以制造业智能化为导向</w:t>
      </w:r>
      <w:r>
        <w:rPr>
          <w:rFonts w:hint="default" w:ascii="Times New Roman" w:hAnsi="Times New Roman" w:cs="Times New Roman"/>
          <w:highlight w:val="none"/>
          <w:lang w:eastAsia="zh-CN"/>
        </w:rPr>
        <w:t>，</w:t>
      </w:r>
      <w:r>
        <w:rPr>
          <w:rFonts w:hint="default" w:ascii="Times New Roman" w:hAnsi="Times New Roman" w:cs="Times New Roman"/>
          <w:highlight w:val="none"/>
        </w:rPr>
        <w:t>探索“产业大脑+晨星工厂”新模式，实施以“机器换人”为重点的技改项目，推动工业机器人、智能加工设备、工业可穿戴设备等智能制造装备在产业内规模化应用，加快新一代信息技术与先进制造全过程、全要素深度融合，建设一批具有行业先进水平的智能车间、智能工厂、5G全连接工厂。鼓励制造业</w:t>
      </w:r>
      <w:r>
        <w:rPr>
          <w:rFonts w:hint="default" w:ascii="Times New Roman" w:hAnsi="Times New Roman" w:cs="Times New Roman"/>
          <w:highlight w:val="none"/>
          <w:lang w:val="en-US" w:eastAsia="zh-CN"/>
        </w:rPr>
        <w:t>龙头</w:t>
      </w:r>
      <w:r>
        <w:rPr>
          <w:rFonts w:hint="default" w:ascii="Times New Roman" w:hAnsi="Times New Roman" w:cs="Times New Roman"/>
          <w:highlight w:val="none"/>
        </w:rPr>
        <w:t>企业</w:t>
      </w:r>
      <w:r>
        <w:rPr>
          <w:rFonts w:hint="eastAsia" w:ascii="Times New Roman" w:hAnsi="Times New Roman" w:cs="Times New Roman"/>
          <w:highlight w:val="none"/>
          <w:lang w:eastAsia="zh-CN"/>
        </w:rPr>
        <w:t>通过</w:t>
      </w:r>
      <w:r>
        <w:rPr>
          <w:rFonts w:hint="default" w:ascii="Times New Roman" w:hAnsi="Times New Roman" w:cs="Times New Roman"/>
          <w:highlight w:val="none"/>
        </w:rPr>
        <w:t>平台化设计、智能化制造、网络化协同、个性化定制、服务化延伸、数字化管理等改变价值输出模式，加快生产方式、企业形态、商业模式变革，打造</w:t>
      </w:r>
      <w:r>
        <w:rPr>
          <w:rFonts w:hint="default" w:ascii="Times New Roman" w:hAnsi="Times New Roman" w:cs="Times New Roman"/>
          <w:highlight w:val="none"/>
          <w:lang w:val="en-US" w:eastAsia="zh-CN"/>
        </w:rPr>
        <w:t>一批</w:t>
      </w:r>
      <w:r>
        <w:rPr>
          <w:rFonts w:hint="default" w:ascii="Times New Roman" w:hAnsi="Times New Roman" w:cs="Times New Roman"/>
          <w:highlight w:val="none"/>
        </w:rPr>
        <w:t>先进制造与数字技术融合发展标杆企业。</w:t>
      </w:r>
    </w:p>
    <w:p w14:paraId="1FDF5EF3">
      <w:pPr>
        <w:pStyle w:val="4"/>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cs="Times New Roman"/>
          <w:highlight w:val="none"/>
        </w:rPr>
      </w:pPr>
      <w:r>
        <w:rPr>
          <w:rFonts w:hint="default" w:ascii="Times New Roman" w:hAnsi="Times New Roman" w:cs="Times New Roman"/>
          <w:highlight w:val="none"/>
        </w:rPr>
        <w:t>3.以“智赋</w:t>
      </w:r>
      <w:r>
        <w:rPr>
          <w:rFonts w:hint="default" w:ascii="Times New Roman" w:hAnsi="Times New Roman" w:cs="Times New Roman"/>
          <w:highlight w:val="none"/>
          <w:lang w:val="en-US" w:eastAsia="zh-CN"/>
        </w:rPr>
        <w:t>沂源</w:t>
      </w:r>
      <w:r>
        <w:rPr>
          <w:rFonts w:hint="default" w:ascii="Times New Roman" w:hAnsi="Times New Roman" w:cs="Times New Roman"/>
          <w:highlight w:val="none"/>
        </w:rPr>
        <w:t>”助力政府效能提升</w:t>
      </w:r>
    </w:p>
    <w:p w14:paraId="302C61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拓展</w:t>
      </w:r>
      <w:r>
        <w:rPr>
          <w:rFonts w:hint="default" w:ascii="Times New Roman" w:hAnsi="Times New Roman" w:cs="Times New Roman"/>
          <w:highlight w:val="none"/>
        </w:rPr>
        <w:t>大数据在数字政府建设中应用的广度和深度，加速政府数字化转型，助力政府效能提升和经济社会高质量发展。推动经济运行“一网监测”，加强宏观调控、经济运行、产业发展、营商环境等领域数据整合、汇聚、应用。强化市场监管“一体监管”，建立健全</w:t>
      </w:r>
      <w:r>
        <w:rPr>
          <w:rFonts w:hint="default" w:ascii="Times New Roman" w:hAnsi="Times New Roman" w:cs="Times New Roman"/>
          <w:highlight w:val="none"/>
          <w:lang w:val="en-US" w:eastAsia="zh-CN"/>
        </w:rPr>
        <w:t>覆盖</w:t>
      </w:r>
      <w:r>
        <w:rPr>
          <w:rFonts w:hint="default" w:ascii="Times New Roman" w:hAnsi="Times New Roman" w:cs="Times New Roman"/>
          <w:highlight w:val="none"/>
        </w:rPr>
        <w:t>信用、国资、投资、自然资源等</w:t>
      </w:r>
      <w:r>
        <w:rPr>
          <w:rFonts w:hint="default" w:ascii="Times New Roman" w:hAnsi="Times New Roman" w:cs="Times New Roman"/>
          <w:highlight w:val="none"/>
          <w:lang w:val="en-US" w:eastAsia="zh-CN"/>
        </w:rPr>
        <w:t>领域的</w:t>
      </w:r>
      <w:r>
        <w:rPr>
          <w:rFonts w:hint="default" w:ascii="Times New Roman" w:hAnsi="Times New Roman" w:cs="Times New Roman"/>
          <w:highlight w:val="none"/>
        </w:rPr>
        <w:t>全方位、多层次、立体化、数字化监管体系。促进社会治理“一网统管”，推进城市基础设施、社区基础设施数字化、智能化改造。深化公共服务“一网通办”，持续完善线上线下融合办理的综合服务体系。推动决策支持“一屏统览”，加快打造覆盖各领域、各层级、各部门的“指挥决策大脑”。</w:t>
      </w:r>
    </w:p>
    <w:p w14:paraId="13C39ED3">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p>
    <w:p w14:paraId="67FE34E8">
      <w:pPr>
        <w:pStyle w:val="2"/>
        <w:pageBreakBefore w:val="0"/>
        <w:widowControl w:val="0"/>
        <w:kinsoku/>
        <w:wordWrap/>
        <w:overflowPunct/>
        <w:topLinePunct w:val="0"/>
        <w:autoSpaceDE/>
        <w:autoSpaceDN/>
        <w:bidi w:val="0"/>
        <w:adjustRightInd/>
        <w:snapToGrid/>
        <w:spacing w:after="312" w:line="560" w:lineRule="exact"/>
        <w:textAlignment w:val="auto"/>
        <w:rPr>
          <w:rFonts w:hint="default" w:ascii="Times New Roman" w:hAnsi="Times New Roman" w:cs="Times New Roman"/>
          <w:sz w:val="32"/>
          <w:szCs w:val="21"/>
          <w:highlight w:val="none"/>
        </w:rPr>
      </w:pPr>
      <w:bookmarkStart w:id="61" w:name="_Toc22407"/>
      <w:r>
        <w:rPr>
          <w:rFonts w:hint="default" w:ascii="Times New Roman" w:hAnsi="Times New Roman" w:cs="Times New Roman"/>
          <w:sz w:val="32"/>
          <w:szCs w:val="24"/>
          <w:highlight w:val="none"/>
        </w:rPr>
        <w:t>第</w:t>
      </w:r>
      <w:r>
        <w:rPr>
          <w:rFonts w:hint="default" w:ascii="Times New Roman" w:hAnsi="Times New Roman" w:cs="Times New Roman"/>
          <w:sz w:val="32"/>
          <w:szCs w:val="24"/>
          <w:highlight w:val="none"/>
          <w:lang w:val="en-US" w:eastAsia="zh-CN"/>
        </w:rPr>
        <w:t>四</w:t>
      </w:r>
      <w:r>
        <w:rPr>
          <w:rFonts w:hint="default" w:ascii="Times New Roman" w:hAnsi="Times New Roman" w:cs="Times New Roman"/>
          <w:sz w:val="32"/>
          <w:szCs w:val="24"/>
          <w:highlight w:val="none"/>
        </w:rPr>
        <w:t>章  聚焦持续扩大内需</w:t>
      </w:r>
      <w:r>
        <w:rPr>
          <w:rFonts w:hint="default" w:ascii="Times New Roman" w:hAnsi="Times New Roman" w:cs="Times New Roman"/>
          <w:sz w:val="32"/>
          <w:szCs w:val="24"/>
          <w:highlight w:val="none"/>
          <w:lang w:eastAsia="zh-CN"/>
        </w:rPr>
        <w:t>，</w:t>
      </w:r>
      <w:r>
        <w:rPr>
          <w:rFonts w:hint="default" w:ascii="Times New Roman" w:hAnsi="Times New Roman" w:cs="Times New Roman"/>
          <w:sz w:val="32"/>
          <w:szCs w:val="24"/>
          <w:highlight w:val="none"/>
        </w:rPr>
        <w:t>更好服务和融入新发展格局</w:t>
      </w:r>
      <w:bookmarkEnd w:id="61"/>
    </w:p>
    <w:p w14:paraId="519238FD">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highlight w:val="none"/>
          <w:lang w:val="en-US" w:eastAsia="zh-CN"/>
        </w:rPr>
      </w:pPr>
      <w:r>
        <w:rPr>
          <w:rFonts w:hint="default" w:ascii="Times New Roman" w:hAnsi="Times New Roman" w:cs="Times New Roman"/>
          <w:highlight w:val="none"/>
        </w:rPr>
        <w:t>进一步发挥消费对扩大有效需求的基础引领作用</w:t>
      </w:r>
      <w:r>
        <w:rPr>
          <w:rFonts w:hint="default" w:ascii="Times New Roman" w:hAnsi="Times New Roman" w:cs="Times New Roman"/>
          <w:highlight w:val="none"/>
          <w:lang w:val="en-US" w:eastAsia="zh-CN"/>
        </w:rPr>
        <w:t>和</w:t>
      </w:r>
      <w:r>
        <w:rPr>
          <w:rFonts w:hint="default" w:ascii="Times New Roman" w:hAnsi="Times New Roman" w:cs="Times New Roman"/>
          <w:highlight w:val="none"/>
        </w:rPr>
        <w:t>投资对优化供给结构的关键支撑作用，</w:t>
      </w:r>
      <w:r>
        <w:rPr>
          <w:rFonts w:hint="default" w:ascii="Times New Roman" w:hAnsi="Times New Roman" w:cs="Times New Roman"/>
          <w:highlight w:val="none"/>
          <w:lang w:val="en-US" w:eastAsia="zh-CN"/>
        </w:rPr>
        <w:t>以有效投资带动消费能力提升，以消费升级牵引投资方向优化，</w:t>
      </w:r>
      <w:r>
        <w:rPr>
          <w:rFonts w:hint="default" w:ascii="Times New Roman" w:hAnsi="Times New Roman" w:cs="Times New Roman"/>
          <w:spacing w:val="6"/>
          <w:highlight w:val="none"/>
        </w:rPr>
        <w:t>深度参与全国统一大市场建设</w:t>
      </w:r>
      <w:r>
        <w:rPr>
          <w:rFonts w:hint="default" w:ascii="Times New Roman" w:hAnsi="Times New Roman" w:cs="Times New Roman"/>
          <w:spacing w:val="6"/>
          <w:highlight w:val="none"/>
          <w:lang w:eastAsia="zh-CN"/>
        </w:rPr>
        <w:t>，</w:t>
      </w:r>
      <w:r>
        <w:rPr>
          <w:rFonts w:hint="default" w:ascii="Times New Roman" w:hAnsi="Times New Roman" w:cs="Times New Roman"/>
          <w:spacing w:val="6"/>
          <w:highlight w:val="none"/>
          <w:lang w:val="en-US" w:eastAsia="zh-CN"/>
        </w:rPr>
        <w:t>更好服务和融入新发展格局。</w:t>
      </w:r>
    </w:p>
    <w:p w14:paraId="6D74CBE6">
      <w:pPr>
        <w:pStyle w:val="3"/>
        <w:pageBreakBefore w:val="0"/>
        <w:widowControl w:val="0"/>
        <w:kinsoku/>
        <w:wordWrap/>
        <w:overflowPunct/>
        <w:topLinePunct w:val="0"/>
        <w:autoSpaceDE/>
        <w:autoSpaceDN/>
        <w:bidi w:val="0"/>
        <w:adjustRightInd/>
        <w:snapToGrid/>
        <w:spacing w:before="156" w:after="156" w:line="560" w:lineRule="exact"/>
        <w:textAlignment w:val="auto"/>
        <w:rPr>
          <w:rFonts w:hint="default" w:ascii="Times New Roman" w:hAnsi="Times New Roman" w:cs="Times New Roman"/>
          <w:highlight w:val="none"/>
        </w:rPr>
      </w:pPr>
      <w:bookmarkStart w:id="62" w:name="_Toc10757"/>
      <w:r>
        <w:rPr>
          <w:rFonts w:hint="default" w:ascii="Times New Roman" w:hAnsi="Times New Roman" w:cs="Times New Roman"/>
          <w:sz w:val="32"/>
          <w:szCs w:val="22"/>
          <w:highlight w:val="none"/>
        </w:rPr>
        <w:t>第一节  促进消费提质扩容</w:t>
      </w:r>
      <w:bookmarkEnd w:id="62"/>
    </w:p>
    <w:p w14:paraId="2EEBCDE5">
      <w:pPr>
        <w:pStyle w:val="4"/>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1.促进传统消费提质升级</w:t>
      </w:r>
    </w:p>
    <w:p w14:paraId="040957A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加大消费品以旧换新政策落实力度，稳定汽车、家电、家居等大宗商品消费。坚持“政策+活动”双驱动，接续开展“消费促进年”活动，提振城市消费活力，使城市更时尚、更有烟火气。系统打造高品质、多元化、复合式服务消费创新场景，</w:t>
      </w:r>
      <w:r>
        <w:rPr>
          <w:rFonts w:hint="default" w:ascii="Times New Roman" w:hAnsi="Times New Roman" w:cs="Times New Roman"/>
          <w:highlight w:val="none"/>
          <w:lang w:val="en-US" w:eastAsia="zh-CN"/>
        </w:rPr>
        <w:t>大</w:t>
      </w:r>
      <w:r>
        <w:rPr>
          <w:rFonts w:hint="default" w:ascii="Times New Roman" w:hAnsi="Times New Roman" w:cs="Times New Roman"/>
          <w:highlight w:val="none"/>
        </w:rPr>
        <w:t>力发展服务消费新业态。鼓励大型商超、建材家居、小商品市场等设施改造，加强与文旅休闲、创意体验等业态融合发展。吸引国内外知名</w:t>
      </w:r>
      <w:r>
        <w:rPr>
          <w:rFonts w:hint="default" w:ascii="Times New Roman" w:hAnsi="Times New Roman" w:cs="Times New Roman"/>
          <w:highlight w:val="none"/>
          <w:lang w:val="en-US" w:eastAsia="zh-CN"/>
        </w:rPr>
        <w:t>商贸</w:t>
      </w:r>
      <w:r>
        <w:rPr>
          <w:rFonts w:hint="default" w:ascii="Times New Roman" w:hAnsi="Times New Roman" w:cs="Times New Roman"/>
          <w:highlight w:val="none"/>
        </w:rPr>
        <w:t>企业落地沂源</w:t>
      </w:r>
      <w:r>
        <w:rPr>
          <w:rFonts w:hint="default" w:ascii="Times New Roman" w:hAnsi="Times New Roman" w:cs="Times New Roman"/>
          <w:highlight w:val="none"/>
          <w:lang w:eastAsia="zh-CN"/>
        </w:rPr>
        <w:t>，</w:t>
      </w:r>
      <w:r>
        <w:rPr>
          <w:rFonts w:hint="default" w:ascii="Times New Roman" w:hAnsi="Times New Roman" w:cs="Times New Roman"/>
          <w:highlight w:val="none"/>
        </w:rPr>
        <w:t>培育一批具有发展潜力的</w:t>
      </w:r>
      <w:r>
        <w:rPr>
          <w:rFonts w:hint="default" w:ascii="Times New Roman" w:hAnsi="Times New Roman" w:cs="Times New Roman"/>
          <w:highlight w:val="none"/>
          <w:lang w:val="en-US" w:eastAsia="zh-CN"/>
        </w:rPr>
        <w:t>本地</w:t>
      </w:r>
      <w:r>
        <w:rPr>
          <w:rFonts w:hint="default" w:ascii="Times New Roman" w:hAnsi="Times New Roman" w:cs="Times New Roman"/>
          <w:highlight w:val="none"/>
        </w:rPr>
        <w:t>商贸企业。实施商圈平台建设行动，推进县域重点商圈改造提升，推动运营主体做好青啤活力片区、润生文教科创沙龙等项目的商圈业态规划、植入、调整，提升县域商业核心吸引力和竞争力，形成多层次、差异化的城中、城西、城东商业中心协同发展格局。对接优质运营商和品牌，大力发展首店经济、首发经济。</w:t>
      </w:r>
      <w:r>
        <w:rPr>
          <w:rFonts w:hint="default" w:ascii="Times New Roman" w:hAnsi="Times New Roman" w:cs="Times New Roman"/>
          <w:szCs w:val="32"/>
          <w:highlight w:val="none"/>
        </w:rPr>
        <w:t>改造提升城区重点老街区和重点镇特色街区、商贸老街，推进中创智慧商贸城、义乌商贸城、润生文教科创沙龙等商业综合体建设，打造场景数字化、服务精准化、管理智能化的县域商业地标。强化品牌引领，持续擦亮“沂蒙山”“沂源红”等地域品牌，不断塑强“沂源味道”特色品牌。发挥县域生态农业与传统技艺资源优势，进一步做强“沂源苹果”“沂源</w:t>
      </w:r>
      <w:r>
        <w:rPr>
          <w:rFonts w:hint="default" w:ascii="Times New Roman" w:hAnsi="Times New Roman" w:cs="Times New Roman"/>
          <w:szCs w:val="32"/>
          <w:highlight w:val="none"/>
          <w:lang w:val="en-US" w:eastAsia="zh-CN"/>
        </w:rPr>
        <w:t>大</w:t>
      </w:r>
      <w:r>
        <w:rPr>
          <w:rFonts w:hint="default" w:ascii="Times New Roman" w:hAnsi="Times New Roman" w:cs="Times New Roman"/>
          <w:szCs w:val="32"/>
          <w:highlight w:val="none"/>
        </w:rPr>
        <w:t>樱桃”“沂源全羊”“手工老酱油”等特色品牌</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lang w:val="en-US" w:eastAsia="zh-CN"/>
        </w:rPr>
        <w:t>支持飞龙食品提升</w:t>
      </w:r>
      <w:r>
        <w:rPr>
          <w:rFonts w:hint="default" w:ascii="Times New Roman" w:hAnsi="Times New Roman" w:cs="Times New Roman"/>
          <w:szCs w:val="32"/>
          <w:highlight w:val="none"/>
          <w:lang w:val="en-US" w:eastAsia="zh-CN"/>
        </w:rPr>
        <w:fldChar w:fldCharType="begin"/>
      </w:r>
      <w:r>
        <w:rPr>
          <w:rFonts w:hint="default" w:ascii="Times New Roman" w:hAnsi="Times New Roman" w:cs="Times New Roman"/>
          <w:szCs w:val="32"/>
          <w:highlight w:val="none"/>
          <w:lang w:val="en-US" w:eastAsia="zh-CN"/>
        </w:rPr>
        <w:instrText xml:space="preserve"> HYPERLINK "javascript:;" </w:instrText>
      </w:r>
      <w:r>
        <w:rPr>
          <w:rFonts w:hint="default" w:ascii="Times New Roman" w:hAnsi="Times New Roman" w:cs="Times New Roman"/>
          <w:szCs w:val="32"/>
          <w:highlight w:val="none"/>
          <w:lang w:val="en-US" w:eastAsia="zh-CN"/>
        </w:rPr>
        <w:fldChar w:fldCharType="separate"/>
      </w:r>
      <w:r>
        <w:rPr>
          <w:rFonts w:hint="default" w:ascii="Times New Roman" w:hAnsi="Times New Roman" w:cs="Times New Roman"/>
          <w:szCs w:val="32"/>
          <w:highlight w:val="none"/>
          <w:lang w:val="en-US" w:eastAsia="zh-CN"/>
        </w:rPr>
        <w:t>果脯、果干、果糕等产品</w:t>
      </w:r>
      <w:r>
        <w:rPr>
          <w:rFonts w:hint="default" w:ascii="Times New Roman" w:hAnsi="Times New Roman" w:cs="Times New Roman"/>
          <w:szCs w:val="32"/>
          <w:highlight w:val="none"/>
          <w:lang w:val="en-US" w:eastAsia="zh-CN"/>
        </w:rPr>
        <w:fldChar w:fldCharType="end"/>
      </w:r>
      <w:r>
        <w:rPr>
          <w:rFonts w:hint="default" w:ascii="Times New Roman" w:hAnsi="Times New Roman" w:cs="Times New Roman"/>
          <w:szCs w:val="32"/>
          <w:highlight w:val="none"/>
          <w:lang w:val="en-US" w:eastAsia="zh-CN"/>
        </w:rPr>
        <w:t>市场占有率</w:t>
      </w:r>
      <w:r>
        <w:rPr>
          <w:rFonts w:hint="default" w:ascii="Times New Roman" w:hAnsi="Times New Roman" w:cs="Times New Roman"/>
          <w:szCs w:val="32"/>
          <w:highlight w:val="none"/>
        </w:rPr>
        <w:t>。引导老字号企业搭建数字化销售场景，促进老字号品牌迭代升级与创新发展。</w:t>
      </w:r>
      <w:r>
        <w:rPr>
          <w:rFonts w:hint="default" w:ascii="Times New Roman" w:hAnsi="Times New Roman" w:cs="Times New Roman"/>
          <w:highlight w:val="none"/>
        </w:rPr>
        <w:t>全面推进一刻钟便民生活圈建设，实现城区社区全覆盖。</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15F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522" w:type="dxa"/>
          </w:tcPr>
          <w:p w14:paraId="5A4C601F">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专栏7：西部宜居新城青啤活力片区</w:t>
            </w:r>
          </w:p>
        </w:tc>
      </w:tr>
      <w:tr w14:paraId="2822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8522" w:type="dxa"/>
          </w:tcPr>
          <w:p w14:paraId="45D412DC">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重点推进青岛啤酒小镇文商旅项目，构建“一园两轴七区”的总体空间布局。“一园”</w:t>
            </w:r>
            <w:r>
              <w:rPr>
                <w:rFonts w:hint="eastAsia" w:eastAsia="仿宋_GB2312" w:cs="Times New Roman"/>
                <w:b w:val="0"/>
                <w:bCs w:val="0"/>
                <w:sz w:val="24"/>
                <w:szCs w:val="24"/>
                <w:highlight w:val="none"/>
                <w:lang w:val="en-US" w:eastAsia="zh-CN"/>
              </w:rPr>
              <w:t>：</w:t>
            </w:r>
            <w:r>
              <w:rPr>
                <w:rFonts w:hint="default" w:ascii="Times New Roman" w:hAnsi="Times New Roman" w:eastAsia="仿宋_GB2312" w:cs="Times New Roman"/>
                <w:b w:val="0"/>
                <w:bCs w:val="0"/>
                <w:sz w:val="24"/>
                <w:szCs w:val="24"/>
                <w:highlight w:val="none"/>
                <w:lang w:val="en-US" w:eastAsia="zh-CN"/>
              </w:rPr>
              <w:t>青岛啤酒文创园区；“两轴”：通往山野休闲区的民宿干道和通往祈福休闲区的欢乐秀场干道；七区：欢乐秀场区、竹林运动区、山地欢乐区、特色餐饮区、汤池养生区、森林民俗区、山水休闲区。</w:t>
            </w:r>
          </w:p>
        </w:tc>
      </w:tr>
    </w:tbl>
    <w:p w14:paraId="28FE9D79">
      <w:pPr>
        <w:pStyle w:val="4"/>
        <w:ind w:firstLine="640"/>
        <w:rPr>
          <w:rFonts w:hint="default" w:ascii="Times New Roman" w:hAnsi="Times New Roman" w:cs="Times New Roman"/>
          <w:highlight w:val="none"/>
        </w:rPr>
      </w:pPr>
      <w:r>
        <w:rPr>
          <w:rFonts w:hint="default" w:ascii="Times New Roman" w:hAnsi="Times New Roman" w:cs="Times New Roman"/>
          <w:highlight w:val="none"/>
        </w:rPr>
        <w:t>2.大力发展改善型和新型消费</w:t>
      </w:r>
    </w:p>
    <w:p w14:paraId="78E4B485">
      <w:pPr>
        <w:spacing w:line="560" w:lineRule="exact"/>
        <w:ind w:firstLine="640"/>
        <w:rPr>
          <w:rFonts w:hint="default" w:ascii="Times New Roman" w:hAnsi="Times New Roman" w:cs="Times New Roman"/>
          <w:highlight w:val="none"/>
        </w:rPr>
      </w:pPr>
      <w:r>
        <w:rPr>
          <w:rFonts w:hint="default" w:ascii="Times New Roman" w:hAnsi="Times New Roman" w:cs="Times New Roman"/>
          <w:highlight w:val="none"/>
        </w:rPr>
        <w:t>扩大服务消费，有效激发银发消费、家政消费、康养消费、网上消费、绿色消费、体育消费等改善型和新型消费活力。大力发展银发消费，加快构建集养老、医疗、康体、休闲等于一体的综合性健康服务体系，推进“互联网+医疗健康”产业发展。鼓励有条件的物业服务企业与养老、托育、餐饮、家政等企业开展合作。大力发展绿色消费，创新消费模式，促进居民耐用消费品绿色更新和品质升级，加快形成简约适度、绿色低碳的生活方式和消费模式。大力发展体育消费，打造体育健身消费新场景，依托精品赛事、特色活动带动相关住宿、餐饮等消费。大力发展数字消费，鼓励和支持县域电商发展，依托直播电商行业协会，打通传统商贸产业链采购、营销、销售、服务等环节，拓宽网上销售渠道，提</w:t>
      </w:r>
      <w:r>
        <w:rPr>
          <w:rFonts w:hint="default" w:ascii="Times New Roman" w:hAnsi="Times New Roman" w:cs="Times New Roman"/>
          <w:highlight w:val="none"/>
          <w:lang w:val="en-US" w:eastAsia="zh-CN"/>
        </w:rPr>
        <w:t>升</w:t>
      </w:r>
      <w:r>
        <w:rPr>
          <w:rFonts w:hint="default" w:ascii="Times New Roman" w:hAnsi="Times New Roman" w:cs="Times New Roman"/>
          <w:highlight w:val="none"/>
        </w:rPr>
        <w:t>县域电子商务发展水平。</w:t>
      </w:r>
      <w:r>
        <w:rPr>
          <w:rFonts w:hint="default" w:ascii="Times New Roman" w:hAnsi="Times New Roman" w:cs="Times New Roman"/>
          <w:szCs w:val="32"/>
          <w:highlight w:val="none"/>
        </w:rPr>
        <w:t>大力发展夜</w:t>
      </w:r>
      <w:r>
        <w:rPr>
          <w:rFonts w:hint="default" w:ascii="Times New Roman" w:hAnsi="Times New Roman" w:cs="Times New Roman"/>
          <w:szCs w:val="32"/>
          <w:highlight w:val="none"/>
          <w:lang w:val="en-US" w:eastAsia="zh-CN"/>
        </w:rPr>
        <w:t>间</w:t>
      </w:r>
      <w:r>
        <w:rPr>
          <w:rFonts w:hint="default" w:ascii="Times New Roman" w:hAnsi="Times New Roman" w:cs="Times New Roman"/>
          <w:szCs w:val="32"/>
          <w:highlight w:val="none"/>
        </w:rPr>
        <w:t>经济，将</w:t>
      </w:r>
      <w:r>
        <w:rPr>
          <w:rFonts w:hint="default" w:ascii="Times New Roman" w:hAnsi="Times New Roman" w:cs="Times New Roman"/>
          <w:szCs w:val="32"/>
          <w:highlight w:val="none"/>
          <w:lang w:val="en-US" w:eastAsia="zh-CN"/>
        </w:rPr>
        <w:t>东方红剧场商业街区、“麻城里”新街区</w:t>
      </w:r>
      <w:r>
        <w:rPr>
          <w:rFonts w:hint="default" w:ascii="Times New Roman" w:hAnsi="Times New Roman" w:cs="Times New Roman"/>
          <w:szCs w:val="32"/>
          <w:highlight w:val="none"/>
        </w:rPr>
        <w:t>等打造成为</w:t>
      </w:r>
      <w:r>
        <w:rPr>
          <w:rFonts w:hint="default" w:ascii="Times New Roman" w:hAnsi="Times New Roman" w:cs="Times New Roman"/>
          <w:szCs w:val="32"/>
          <w:highlight w:val="none"/>
          <w:lang w:val="en-US" w:eastAsia="zh-CN"/>
        </w:rPr>
        <w:t>集</w:t>
      </w:r>
      <w:r>
        <w:rPr>
          <w:rFonts w:hint="default" w:ascii="Times New Roman" w:hAnsi="Times New Roman" w:cs="Times New Roman"/>
          <w:szCs w:val="32"/>
          <w:highlight w:val="none"/>
        </w:rPr>
        <w:t>文创展示、农特美食、休闲娱乐</w:t>
      </w:r>
      <w:r>
        <w:rPr>
          <w:rFonts w:hint="default" w:ascii="Times New Roman" w:hAnsi="Times New Roman" w:cs="Times New Roman"/>
          <w:szCs w:val="32"/>
          <w:highlight w:val="none"/>
          <w:lang w:val="en-US" w:eastAsia="zh-CN"/>
        </w:rPr>
        <w:t>于一体的</w:t>
      </w:r>
      <w:r>
        <w:rPr>
          <w:rFonts w:hint="default" w:ascii="Times New Roman" w:hAnsi="Times New Roman" w:cs="Times New Roman"/>
          <w:szCs w:val="32"/>
          <w:highlight w:val="none"/>
        </w:rPr>
        <w:t>夜间网红打卡地，推动城区城市书房等场所夜间开放，鼓励</w:t>
      </w:r>
      <w:r>
        <w:rPr>
          <w:rFonts w:hint="default" w:ascii="Times New Roman" w:hAnsi="Times New Roman" w:cs="Times New Roman"/>
          <w:szCs w:val="32"/>
          <w:highlight w:val="none"/>
          <w:lang w:val="en-US" w:eastAsia="zh-CN"/>
        </w:rPr>
        <w:t>引导</w:t>
      </w:r>
      <w:r>
        <w:rPr>
          <w:rFonts w:hint="default" w:ascii="Times New Roman" w:hAnsi="Times New Roman" w:cs="Times New Roman"/>
          <w:szCs w:val="32"/>
          <w:highlight w:val="none"/>
        </w:rPr>
        <w:t>农特产品零售店、特色餐饮店延长夜间经营时间。</w:t>
      </w:r>
    </w:p>
    <w:p w14:paraId="3B53CD8D">
      <w:pPr>
        <w:pStyle w:val="4"/>
        <w:ind w:firstLine="640"/>
        <w:rPr>
          <w:rFonts w:hint="default" w:ascii="Times New Roman" w:hAnsi="Times New Roman" w:cs="Times New Roman"/>
          <w:highlight w:val="none"/>
        </w:rPr>
      </w:pPr>
      <w:r>
        <w:rPr>
          <w:rFonts w:hint="default" w:ascii="Times New Roman" w:hAnsi="Times New Roman" w:cs="Times New Roman"/>
          <w:highlight w:val="none"/>
        </w:rPr>
        <w:t>3.全面优化消费环境</w:t>
      </w:r>
    </w:p>
    <w:p w14:paraId="613E9527">
      <w:pPr>
        <w:spacing w:line="560" w:lineRule="exact"/>
        <w:ind w:firstLine="640"/>
        <w:rPr>
          <w:rFonts w:hint="default" w:ascii="Times New Roman" w:hAnsi="Times New Roman" w:cs="Times New Roman"/>
          <w:highlight w:val="none"/>
        </w:rPr>
      </w:pPr>
      <w:r>
        <w:rPr>
          <w:rFonts w:hint="default" w:ascii="Times New Roman" w:hAnsi="Times New Roman" w:cs="Times New Roman"/>
          <w:highlight w:val="none"/>
        </w:rPr>
        <w:t>通过荣誉认定、政策激励、宣传推广等多种措施，推动特色商业街区规范化管理、品质化运营，为消费者提供更为舒适的消费体验空间。定期梳理现有政策执行情况，健全消费品和服务消费标准体系，加强消费领域信用体系建设，放宽新型消费领域市场准入，简化消费品以旧换新补贴</w:t>
      </w:r>
      <w:r>
        <w:rPr>
          <w:rFonts w:hint="eastAsia" w:ascii="Times New Roman" w:hAnsi="Times New Roman" w:cs="Times New Roman"/>
          <w:highlight w:val="none"/>
          <w:lang w:val="en-US" w:eastAsia="zh-CN"/>
        </w:rPr>
        <w:t>等</w:t>
      </w:r>
      <w:r>
        <w:rPr>
          <w:rFonts w:hint="default" w:ascii="Times New Roman" w:hAnsi="Times New Roman" w:cs="Times New Roman"/>
          <w:highlight w:val="none"/>
          <w:lang w:val="en-US" w:eastAsia="zh-CN"/>
        </w:rPr>
        <w:t>政策</w:t>
      </w:r>
      <w:r>
        <w:rPr>
          <w:rFonts w:hint="default" w:ascii="Times New Roman" w:hAnsi="Times New Roman" w:cs="Times New Roman"/>
          <w:spacing w:val="6"/>
          <w:highlight w:val="none"/>
        </w:rPr>
        <w:t>兑现流程，消除不合理消费限制。强化市场监管效能，严厉打击假冒伪劣商品，规范市场秩序。健全消费者权益保护体系，建立统一高效的投诉处理机制，畅通公众举报渠道，鼓励企业开展线下实体店无理由退货承诺。加强城乡信息基础设施和物流基础设施建设，打通农产品上行通道，推动城乡终端消费与生产供给良性循环</w:t>
      </w:r>
      <w:r>
        <w:rPr>
          <w:rFonts w:hint="default" w:ascii="Times New Roman" w:hAnsi="Times New Roman" w:cs="Times New Roman"/>
          <w:highlight w:val="none"/>
        </w:rPr>
        <w:t>。</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37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99316B8">
            <w:pPr>
              <w:pStyle w:val="26"/>
              <w:bidi w:val="0"/>
              <w:rPr>
                <w:rFonts w:hint="default" w:ascii="Times New Roman" w:hAnsi="Times New Roman" w:cs="Times New Roman"/>
                <w:highlight w:val="none"/>
              </w:rPr>
            </w:pPr>
            <w:r>
              <w:rPr>
                <w:rFonts w:hint="default" w:ascii="Times New Roman" w:hAnsi="Times New Roman" w:cs="Times New Roman"/>
                <w:highlight w:val="none"/>
              </w:rPr>
              <w:t>专栏</w:t>
            </w:r>
            <w:r>
              <w:rPr>
                <w:rFonts w:hint="default" w:ascii="Times New Roman" w:hAnsi="Times New Roman" w:cs="Times New Roman"/>
                <w:highlight w:val="none"/>
                <w:lang w:val="en-US" w:eastAsia="zh-CN"/>
              </w:rPr>
              <w:t>8</w:t>
            </w:r>
            <w:r>
              <w:rPr>
                <w:rFonts w:hint="default" w:ascii="Times New Roman" w:hAnsi="Times New Roman" w:cs="Times New Roman"/>
                <w:highlight w:val="none"/>
              </w:rPr>
              <w:t>：农村消费提档升级工程</w:t>
            </w:r>
          </w:p>
        </w:tc>
      </w:tr>
      <w:tr w14:paraId="17CE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4" w:hRule="atLeast"/>
          <w:jc w:val="center"/>
        </w:trPr>
        <w:tc>
          <w:tcPr>
            <w:tcW w:w="8522" w:type="dxa"/>
          </w:tcPr>
          <w:p w14:paraId="6D6F0964">
            <w:pPr>
              <w:pStyle w:val="27"/>
              <w:keepNext w:val="0"/>
              <w:keepLines w:val="0"/>
              <w:pageBreakBefore w:val="0"/>
              <w:widowControl w:val="0"/>
              <w:kinsoku/>
              <w:wordWrap/>
              <w:overflowPunct/>
              <w:topLinePunct w:val="0"/>
              <w:autoSpaceDE/>
              <w:autoSpaceDN/>
              <w:bidi w:val="0"/>
              <w:adjustRightInd/>
              <w:snapToGrid/>
              <w:spacing w:line="400" w:lineRule="exact"/>
              <w:ind w:firstLine="44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打造样板大集。在</w:t>
            </w:r>
            <w:r>
              <w:rPr>
                <w:rFonts w:hint="default" w:ascii="Times New Roman" w:hAnsi="Times New Roman" w:eastAsia="仿宋_GB2312" w:cs="Times New Roman"/>
                <w:sz w:val="24"/>
                <w:szCs w:val="24"/>
                <w:highlight w:val="none"/>
                <w:lang w:val="en-US" w:eastAsia="zh-CN"/>
              </w:rPr>
              <w:t>各镇街</w:t>
            </w:r>
            <w:r>
              <w:rPr>
                <w:rFonts w:hint="default" w:ascii="Times New Roman" w:hAnsi="Times New Roman" w:eastAsia="仿宋_GB2312" w:cs="Times New Roman"/>
                <w:sz w:val="24"/>
                <w:szCs w:val="24"/>
                <w:highlight w:val="none"/>
              </w:rPr>
              <w:t>现有常态化大集基础上，重点打造发展特色农业成效明显、具有网红打卡性质的乡</w:t>
            </w:r>
            <w:r>
              <w:rPr>
                <w:rFonts w:hint="default" w:ascii="Times New Roman" w:hAnsi="Times New Roman" w:eastAsia="仿宋_GB2312" w:cs="Times New Roman"/>
                <w:sz w:val="24"/>
                <w:szCs w:val="24"/>
                <w:highlight w:val="none"/>
                <w:lang w:val="en-US" w:eastAsia="zh-CN"/>
              </w:rPr>
              <w:t>村</w:t>
            </w:r>
            <w:r>
              <w:rPr>
                <w:rFonts w:hint="default" w:ascii="Times New Roman" w:hAnsi="Times New Roman" w:eastAsia="仿宋_GB2312" w:cs="Times New Roman"/>
                <w:sz w:val="24"/>
                <w:szCs w:val="24"/>
                <w:highlight w:val="none"/>
              </w:rPr>
              <w:t>大集，将特色农产品、非物质文化遗产、文化创意产品等引进集市，融入更多新元素，</w:t>
            </w:r>
            <w:r>
              <w:rPr>
                <w:rFonts w:hint="default" w:ascii="Times New Roman" w:hAnsi="Times New Roman" w:eastAsia="仿宋_GB2312" w:cs="Times New Roman"/>
                <w:sz w:val="24"/>
                <w:szCs w:val="24"/>
                <w:highlight w:val="none"/>
                <w:lang w:val="en-US" w:eastAsia="zh-CN"/>
              </w:rPr>
              <w:t>为消费者</w:t>
            </w:r>
            <w:r>
              <w:rPr>
                <w:rFonts w:hint="default" w:ascii="Times New Roman" w:hAnsi="Times New Roman" w:eastAsia="仿宋_GB2312" w:cs="Times New Roman"/>
                <w:sz w:val="24"/>
                <w:szCs w:val="24"/>
                <w:highlight w:val="none"/>
              </w:rPr>
              <w:t>提供沉浸式、更新鲜的消费体验，将</w:t>
            </w:r>
            <w:r>
              <w:rPr>
                <w:rFonts w:hint="default" w:ascii="Times New Roman" w:hAnsi="Times New Roman" w:eastAsia="仿宋_GB2312" w:cs="Times New Roman"/>
                <w:sz w:val="24"/>
                <w:szCs w:val="24"/>
                <w:highlight w:val="none"/>
                <w:lang w:val="en-US" w:eastAsia="zh-CN"/>
              </w:rPr>
              <w:t>乡村</w:t>
            </w:r>
            <w:r>
              <w:rPr>
                <w:rFonts w:hint="default" w:ascii="Times New Roman" w:hAnsi="Times New Roman" w:eastAsia="仿宋_GB2312" w:cs="Times New Roman"/>
                <w:sz w:val="24"/>
                <w:szCs w:val="24"/>
                <w:highlight w:val="none"/>
              </w:rPr>
              <w:t>“集市”打造为</w:t>
            </w:r>
            <w:r>
              <w:rPr>
                <w:rFonts w:hint="default" w:ascii="Times New Roman" w:hAnsi="Times New Roman" w:eastAsia="仿宋_GB2312" w:cs="Times New Roman"/>
                <w:sz w:val="24"/>
                <w:szCs w:val="24"/>
                <w:highlight w:val="none"/>
                <w:lang w:val="en-US" w:eastAsia="zh-CN"/>
              </w:rPr>
              <w:t>开展</w:t>
            </w:r>
            <w:r>
              <w:rPr>
                <w:rFonts w:hint="default" w:ascii="Times New Roman" w:hAnsi="Times New Roman" w:eastAsia="仿宋_GB2312" w:cs="Times New Roman"/>
                <w:sz w:val="24"/>
                <w:szCs w:val="24"/>
                <w:highlight w:val="none"/>
              </w:rPr>
              <w:t>地方特色民俗活动和便民消费的场所。</w:t>
            </w:r>
          </w:p>
          <w:p w14:paraId="2139BD73">
            <w:pPr>
              <w:pStyle w:val="27"/>
              <w:keepNext w:val="0"/>
              <w:keepLines w:val="0"/>
              <w:pageBreakBefore w:val="0"/>
              <w:widowControl w:val="0"/>
              <w:kinsoku/>
              <w:wordWrap/>
              <w:overflowPunct/>
              <w:topLinePunct w:val="0"/>
              <w:autoSpaceDE/>
              <w:autoSpaceDN/>
              <w:bidi w:val="0"/>
              <w:adjustRightInd/>
              <w:snapToGrid/>
              <w:spacing w:line="400" w:lineRule="exact"/>
              <w:ind w:firstLine="44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升级集贸市场。有序推动</w:t>
            </w:r>
            <w:r>
              <w:rPr>
                <w:rFonts w:hint="default" w:ascii="Times New Roman" w:hAnsi="Times New Roman" w:eastAsia="仿宋_GB2312" w:cs="Times New Roman"/>
                <w:sz w:val="24"/>
                <w:szCs w:val="24"/>
                <w:highlight w:val="none"/>
                <w:lang w:val="en-US" w:eastAsia="zh-CN"/>
              </w:rPr>
              <w:t>镇街</w:t>
            </w:r>
            <w:r>
              <w:rPr>
                <w:rFonts w:hint="default" w:ascii="Times New Roman" w:hAnsi="Times New Roman" w:eastAsia="仿宋_GB2312" w:cs="Times New Roman"/>
                <w:sz w:val="24"/>
                <w:szCs w:val="24"/>
                <w:highlight w:val="none"/>
              </w:rPr>
              <w:t>集（农）贸市场标准化改造，提升停车设施、简易仓储等硬件水平，支持</w:t>
            </w:r>
            <w:r>
              <w:rPr>
                <w:rFonts w:hint="default" w:ascii="Times New Roman" w:hAnsi="Times New Roman" w:eastAsia="仿宋_GB2312" w:cs="Times New Roman"/>
                <w:sz w:val="24"/>
                <w:szCs w:val="24"/>
                <w:highlight w:val="none"/>
                <w:lang w:val="en-US" w:eastAsia="zh-CN"/>
              </w:rPr>
              <w:t>镇街</w:t>
            </w:r>
            <w:r>
              <w:rPr>
                <w:rFonts w:hint="default" w:ascii="Times New Roman" w:hAnsi="Times New Roman" w:eastAsia="仿宋_GB2312" w:cs="Times New Roman"/>
                <w:sz w:val="24"/>
                <w:szCs w:val="24"/>
                <w:highlight w:val="none"/>
              </w:rPr>
              <w:t>集（农）贸市场积极拓展餐饮、休闲、娱乐、小修小补等消费场景。</w:t>
            </w:r>
          </w:p>
          <w:p w14:paraId="4FEAEF3C">
            <w:pPr>
              <w:pStyle w:val="27"/>
              <w:keepNext w:val="0"/>
              <w:keepLines w:val="0"/>
              <w:pageBreakBefore w:val="0"/>
              <w:widowControl w:val="0"/>
              <w:kinsoku/>
              <w:wordWrap/>
              <w:overflowPunct/>
              <w:topLinePunct w:val="0"/>
              <w:autoSpaceDE/>
              <w:autoSpaceDN/>
              <w:bidi w:val="0"/>
              <w:adjustRightInd/>
              <w:snapToGrid/>
              <w:spacing w:line="400" w:lineRule="exact"/>
              <w:ind w:firstLine="44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推进产品下乡。落实绿色智能家电下乡</w:t>
            </w:r>
            <w:r>
              <w:rPr>
                <w:rFonts w:hint="default" w:ascii="Times New Roman" w:hAnsi="Times New Roman" w:eastAsia="仿宋_GB2312" w:cs="Times New Roman"/>
                <w:sz w:val="24"/>
                <w:szCs w:val="24"/>
                <w:highlight w:val="none"/>
                <w:lang w:val="en-US" w:eastAsia="zh-CN"/>
              </w:rPr>
              <w:t>补贴</w:t>
            </w:r>
            <w:r>
              <w:rPr>
                <w:rFonts w:hint="default" w:ascii="Times New Roman" w:hAnsi="Times New Roman" w:eastAsia="仿宋_GB2312" w:cs="Times New Roman"/>
                <w:sz w:val="24"/>
                <w:szCs w:val="24"/>
                <w:highlight w:val="none"/>
              </w:rPr>
              <w:t>、家电以旧换新补贴</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绿色建材消费补贴和贷款贴息</w:t>
            </w:r>
            <w:r>
              <w:rPr>
                <w:rFonts w:hint="default" w:ascii="Times New Roman" w:hAnsi="Times New Roman" w:eastAsia="仿宋_GB2312" w:cs="Times New Roman"/>
                <w:sz w:val="24"/>
                <w:szCs w:val="24"/>
                <w:highlight w:val="none"/>
                <w:lang w:val="en-US" w:eastAsia="zh-CN"/>
              </w:rPr>
              <w:t>等</w:t>
            </w:r>
            <w:r>
              <w:rPr>
                <w:rFonts w:hint="default" w:ascii="Times New Roman" w:hAnsi="Times New Roman" w:eastAsia="仿宋_GB2312" w:cs="Times New Roman"/>
                <w:sz w:val="24"/>
                <w:szCs w:val="24"/>
                <w:highlight w:val="none"/>
              </w:rPr>
              <w:t>政策，发展农村即时零售，推进国家级电子商务进农村综合示范县建设。</w:t>
            </w:r>
          </w:p>
          <w:p w14:paraId="66B25ACD">
            <w:pPr>
              <w:pStyle w:val="27"/>
              <w:keepNext w:val="0"/>
              <w:keepLines w:val="0"/>
              <w:pageBreakBefore w:val="0"/>
              <w:widowControl w:val="0"/>
              <w:kinsoku/>
              <w:wordWrap/>
              <w:overflowPunct/>
              <w:topLinePunct w:val="0"/>
              <w:autoSpaceDE/>
              <w:autoSpaceDN/>
              <w:bidi w:val="0"/>
              <w:adjustRightInd/>
              <w:snapToGrid/>
              <w:spacing w:line="400" w:lineRule="exact"/>
              <w:ind w:firstLine="44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畅通流通网络。推</w:t>
            </w:r>
            <w:r>
              <w:rPr>
                <w:rFonts w:hint="default" w:ascii="Times New Roman" w:hAnsi="Times New Roman" w:eastAsia="仿宋_GB2312" w:cs="Times New Roman"/>
                <w:sz w:val="24"/>
                <w:szCs w:val="24"/>
                <w:highlight w:val="none"/>
                <w:lang w:val="en-US" w:eastAsia="zh-CN"/>
              </w:rPr>
              <w:t>进</w:t>
            </w:r>
            <w:r>
              <w:rPr>
                <w:rFonts w:hint="default" w:ascii="Times New Roman" w:hAnsi="Times New Roman" w:eastAsia="仿宋_GB2312" w:cs="Times New Roman"/>
                <w:sz w:val="24"/>
                <w:szCs w:val="24"/>
                <w:highlight w:val="none"/>
              </w:rPr>
              <w:t>流通服务网络体系建设，</w:t>
            </w:r>
            <w:r>
              <w:rPr>
                <w:rFonts w:hint="default" w:ascii="Times New Roman" w:hAnsi="Times New Roman" w:eastAsia="仿宋_GB2312" w:cs="Times New Roman"/>
                <w:sz w:val="24"/>
                <w:szCs w:val="24"/>
                <w:highlight w:val="none"/>
                <w:lang w:val="en-US" w:eastAsia="zh-CN"/>
              </w:rPr>
              <w:t>健全</w:t>
            </w:r>
            <w:r>
              <w:rPr>
                <w:rFonts w:hint="default" w:ascii="Times New Roman" w:hAnsi="Times New Roman" w:eastAsia="仿宋_GB2312" w:cs="Times New Roman"/>
                <w:sz w:val="24"/>
                <w:szCs w:val="24"/>
                <w:highlight w:val="none"/>
              </w:rPr>
              <w:t>完善农资流通服务网络体系，县级集采集配中心、镇街供销综合服务站、村级供销综合服务社三级联动服务体系</w:t>
            </w:r>
            <w:r>
              <w:rPr>
                <w:rFonts w:hint="default" w:ascii="Times New Roman" w:hAnsi="Times New Roman" w:eastAsia="仿宋_GB2312" w:cs="Times New Roman"/>
                <w:sz w:val="24"/>
                <w:szCs w:val="24"/>
                <w:highlight w:val="none"/>
                <w:lang w:val="en-US" w:eastAsia="zh-CN"/>
              </w:rPr>
              <w:t>及</w:t>
            </w:r>
            <w:r>
              <w:rPr>
                <w:rFonts w:hint="default" w:ascii="Times New Roman" w:hAnsi="Times New Roman" w:eastAsia="仿宋_GB2312" w:cs="Times New Roman"/>
                <w:sz w:val="24"/>
                <w:szCs w:val="24"/>
                <w:highlight w:val="none"/>
              </w:rPr>
              <w:t>电商服务和物流配送体系。</w:t>
            </w:r>
          </w:p>
        </w:tc>
      </w:tr>
    </w:tbl>
    <w:p w14:paraId="5D1D02B5">
      <w:pPr>
        <w:pStyle w:val="3"/>
        <w:pageBreakBefore w:val="0"/>
        <w:widowControl/>
        <w:kinsoku/>
        <w:wordWrap/>
        <w:overflowPunct/>
        <w:topLinePunct w:val="0"/>
        <w:autoSpaceDE/>
        <w:autoSpaceDN/>
        <w:bidi w:val="0"/>
        <w:adjustRightInd/>
        <w:snapToGrid/>
        <w:spacing w:before="156" w:after="156" w:line="560" w:lineRule="exact"/>
        <w:textAlignment w:val="auto"/>
        <w:rPr>
          <w:rFonts w:hint="default" w:ascii="Times New Roman" w:hAnsi="Times New Roman" w:cs="Times New Roman"/>
          <w:highlight w:val="none"/>
        </w:rPr>
      </w:pPr>
      <w:bookmarkStart w:id="63" w:name="_Toc5658"/>
      <w:r>
        <w:rPr>
          <w:rFonts w:hint="default" w:ascii="Times New Roman" w:hAnsi="Times New Roman" w:cs="Times New Roman"/>
          <w:sz w:val="32"/>
          <w:szCs w:val="22"/>
          <w:highlight w:val="none"/>
        </w:rPr>
        <w:t>第二节  积极扩大有效投资</w:t>
      </w:r>
      <w:bookmarkEnd w:id="63"/>
    </w:p>
    <w:p w14:paraId="05AAC1BE">
      <w:pPr>
        <w:pStyle w:val="4"/>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1.提升投资效益</w:t>
      </w:r>
    </w:p>
    <w:p w14:paraId="35E406A2">
      <w:pPr>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zCs w:val="32"/>
          <w:highlight w:val="none"/>
        </w:rPr>
      </w:pPr>
      <w:r>
        <w:rPr>
          <w:rFonts w:hint="default" w:ascii="Times New Roman" w:hAnsi="Times New Roman" w:cs="Times New Roman"/>
          <w:szCs w:val="32"/>
          <w:highlight w:val="none"/>
        </w:rPr>
        <w:t>聚焦技术攻关、新型基础设施建设、关键产业发展、生态环境、安全保障等关键领域和公共服务等薄弱环节，进一步加大投资力度，加快</w:t>
      </w:r>
      <w:r>
        <w:rPr>
          <w:rFonts w:hint="default" w:ascii="Times New Roman" w:hAnsi="Times New Roman" w:cs="Times New Roman"/>
          <w:szCs w:val="32"/>
          <w:highlight w:val="none"/>
          <w:lang w:val="en-US" w:eastAsia="zh-CN"/>
        </w:rPr>
        <w:t>实施</w:t>
      </w:r>
      <w:r>
        <w:rPr>
          <w:rFonts w:hint="default" w:ascii="Times New Roman" w:hAnsi="Times New Roman" w:cs="Times New Roman"/>
          <w:szCs w:val="32"/>
          <w:highlight w:val="none"/>
        </w:rPr>
        <w:t>华电</w:t>
      </w:r>
      <w:r>
        <w:rPr>
          <w:rFonts w:hint="default" w:ascii="Times New Roman" w:hAnsi="Times New Roman" w:cs="Times New Roman"/>
          <w:szCs w:val="32"/>
          <w:highlight w:val="none"/>
          <w:lang w:val="en-US" w:eastAsia="zh-CN"/>
        </w:rPr>
        <w:t>石桥</w:t>
      </w:r>
      <w:r>
        <w:rPr>
          <w:rFonts w:hint="default" w:ascii="Times New Roman" w:hAnsi="Times New Roman" w:cs="Times New Roman"/>
          <w:szCs w:val="32"/>
          <w:highlight w:val="none"/>
        </w:rPr>
        <w:t>抽水蓄能电站项目、潍邹高速沂源段、G341黄海线沂源鱼台至沂源钢城界段改建工程等一批利长远、增后劲的重大项目。实施“产业契合度—资源集约度—收益覆盖度”三维评审，对重大项目联动开展可研、社会风险及生态影响评估。统筹超长期</w:t>
      </w:r>
      <w:r>
        <w:rPr>
          <w:rFonts w:hint="default" w:ascii="Times New Roman" w:hAnsi="Times New Roman" w:cs="Times New Roman"/>
          <w:szCs w:val="32"/>
          <w:highlight w:val="none"/>
          <w:lang w:val="en-US" w:eastAsia="zh-CN"/>
        </w:rPr>
        <w:t>特别</w:t>
      </w:r>
      <w:r>
        <w:rPr>
          <w:rFonts w:hint="default" w:ascii="Times New Roman" w:hAnsi="Times New Roman" w:cs="Times New Roman"/>
          <w:szCs w:val="32"/>
          <w:highlight w:val="none"/>
        </w:rPr>
        <w:t>国债、地方政府专项</w:t>
      </w:r>
      <w:r>
        <w:rPr>
          <w:rFonts w:hint="default" w:ascii="Times New Roman" w:hAnsi="Times New Roman" w:cs="Times New Roman"/>
          <w:szCs w:val="32"/>
          <w:highlight w:val="none"/>
          <w:lang w:val="en-US" w:eastAsia="zh-CN"/>
        </w:rPr>
        <w:t>债券</w:t>
      </w:r>
      <w:r>
        <w:rPr>
          <w:rFonts w:hint="default" w:ascii="Times New Roman" w:hAnsi="Times New Roman" w:cs="Times New Roman"/>
          <w:szCs w:val="32"/>
          <w:highlight w:val="none"/>
        </w:rPr>
        <w:t>等政策工具，健全债务与绩效双控机制，实行“资金—项目—绩效”闭环监管，推行“一债一策”精细化管理，试点偿债备付金制度，整合TOD溢价回收等稳定偿债</w:t>
      </w:r>
      <w:r>
        <w:rPr>
          <w:rFonts w:hint="default" w:ascii="Times New Roman" w:hAnsi="Times New Roman" w:cs="Times New Roman"/>
          <w:szCs w:val="32"/>
          <w:highlight w:val="none"/>
          <w:lang w:val="en-US" w:eastAsia="zh-CN"/>
        </w:rPr>
        <w:t>资金来</w:t>
      </w:r>
      <w:r>
        <w:rPr>
          <w:rFonts w:hint="default" w:ascii="Times New Roman" w:hAnsi="Times New Roman" w:cs="Times New Roman"/>
          <w:spacing w:val="6"/>
          <w:sz w:val="32"/>
          <w:szCs w:val="32"/>
          <w:highlight w:val="none"/>
          <w:lang w:val="en-US" w:eastAsia="zh-CN"/>
        </w:rPr>
        <w:t>源</w:t>
      </w:r>
      <w:r>
        <w:rPr>
          <w:rFonts w:hint="default" w:ascii="Times New Roman" w:hAnsi="Times New Roman" w:cs="Times New Roman"/>
          <w:spacing w:val="6"/>
          <w:sz w:val="32"/>
          <w:szCs w:val="32"/>
          <w:highlight w:val="none"/>
        </w:rPr>
        <w:t>，积极探索碳汇收益、数据交易收益等新型收益路径。完善亩均效益评价机制，对低效用地实施“腾笼换鸟”。强化场景投资牵引，创新“场景包+社会资本”联合招标，推动投资从“规模扩张”向“质效提升”转</w:t>
      </w:r>
      <w:r>
        <w:rPr>
          <w:rFonts w:hint="default" w:ascii="Times New Roman" w:hAnsi="Times New Roman" w:cs="Times New Roman"/>
          <w:szCs w:val="32"/>
          <w:highlight w:val="none"/>
        </w:rPr>
        <w:t>型。</w:t>
      </w:r>
    </w:p>
    <w:p w14:paraId="2C9CDED5">
      <w:pPr>
        <w:pStyle w:val="4"/>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2.激发投资活力</w:t>
      </w:r>
    </w:p>
    <w:p w14:paraId="24476243">
      <w:pPr>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zCs w:val="32"/>
          <w:highlight w:val="none"/>
        </w:rPr>
      </w:pPr>
      <w:r>
        <w:rPr>
          <w:rFonts w:hint="default" w:ascii="Times New Roman" w:hAnsi="Times New Roman" w:cs="Times New Roman"/>
          <w:szCs w:val="32"/>
          <w:highlight w:val="none"/>
        </w:rPr>
        <w:t>探索构建“财政资金为引导、社会资本为主体、金融资本为补充”的多元化投融资体系。强化政府有效投资带动作用，建立政府投资支持基础性、公益性、长远性重大项目建设长效机制，重点</w:t>
      </w:r>
      <w:r>
        <w:rPr>
          <w:rFonts w:hint="default" w:ascii="Times New Roman" w:hAnsi="Times New Roman" w:cs="Times New Roman"/>
          <w:szCs w:val="32"/>
          <w:highlight w:val="none"/>
          <w:lang w:val="en-US" w:eastAsia="zh-CN"/>
        </w:rPr>
        <w:t>加强</w:t>
      </w:r>
      <w:r>
        <w:rPr>
          <w:rFonts w:hint="default" w:ascii="Times New Roman" w:hAnsi="Times New Roman" w:cs="Times New Roman"/>
          <w:szCs w:val="32"/>
          <w:highlight w:val="none"/>
        </w:rPr>
        <w:t>民生领域补短板</w:t>
      </w:r>
      <w:r>
        <w:rPr>
          <w:rFonts w:hint="default" w:ascii="Times New Roman" w:hAnsi="Times New Roman" w:cs="Times New Roman"/>
          <w:szCs w:val="32"/>
          <w:highlight w:val="none"/>
          <w:lang w:val="en-US" w:eastAsia="zh-CN"/>
        </w:rPr>
        <w:t>项目</w:t>
      </w:r>
      <w:r>
        <w:rPr>
          <w:rFonts w:hint="default" w:ascii="Times New Roman" w:hAnsi="Times New Roman" w:cs="Times New Roman"/>
          <w:szCs w:val="32"/>
          <w:highlight w:val="none"/>
        </w:rPr>
        <w:t>投资力度。严格遵守政府投资项目管理规定，加强项目全周期成本管控和债务风险评估，坚决遏制新增隐性</w:t>
      </w:r>
      <w:r>
        <w:rPr>
          <w:rFonts w:hint="default" w:ascii="Times New Roman" w:hAnsi="Times New Roman" w:cs="Times New Roman"/>
          <w:spacing w:val="6"/>
          <w:szCs w:val="32"/>
          <w:highlight w:val="none"/>
        </w:rPr>
        <w:t>债务。有效激发民间投资活力，持续扩大民间资本投资占比，拓宽民间投资领域和范围，鼓励民间资本进入基础设施、公用事业、社会事业等领域参与重大项目建设。强化投资项目要素保障，坚持“要素跟着项目走”。拓宽</w:t>
      </w:r>
      <w:r>
        <w:rPr>
          <w:rFonts w:hint="default" w:ascii="Times New Roman" w:hAnsi="Times New Roman" w:cs="Times New Roman"/>
          <w:spacing w:val="6"/>
          <w:szCs w:val="32"/>
          <w:highlight w:val="none"/>
          <w:lang w:val="en-US" w:eastAsia="zh-CN"/>
        </w:rPr>
        <w:t>企业</w:t>
      </w:r>
      <w:r>
        <w:rPr>
          <w:rFonts w:hint="default" w:ascii="Times New Roman" w:hAnsi="Times New Roman" w:cs="Times New Roman"/>
          <w:spacing w:val="6"/>
          <w:szCs w:val="32"/>
          <w:highlight w:val="none"/>
        </w:rPr>
        <w:t>与银行等金融机构合作渠道，建立常态化的银企对接工作机制和银企对接金融平台、金融超市，促进双方供需信息共享互换。建立年度重大项目</w:t>
      </w:r>
      <w:r>
        <w:rPr>
          <w:rFonts w:hint="default" w:ascii="Times New Roman" w:hAnsi="Times New Roman" w:cs="Times New Roman"/>
          <w:spacing w:val="6"/>
          <w:szCs w:val="32"/>
          <w:highlight w:val="none"/>
          <w:lang w:val="en-US" w:eastAsia="zh-CN"/>
        </w:rPr>
        <w:t>亟需</w:t>
      </w:r>
      <w:r>
        <w:rPr>
          <w:rFonts w:hint="default" w:ascii="Times New Roman" w:hAnsi="Times New Roman" w:cs="Times New Roman"/>
          <w:spacing w:val="6"/>
          <w:szCs w:val="32"/>
          <w:highlight w:val="none"/>
        </w:rPr>
        <w:t>用地名单，确保重大项目用地应保尽保，努力做到投资需求与用地保障高效匹配。构建投资项目“精准服务”机制，用好“淄博市企业综合服务云平台”，提高政策推送</w:t>
      </w:r>
      <w:r>
        <w:rPr>
          <w:rFonts w:hint="default" w:ascii="Times New Roman" w:hAnsi="Times New Roman" w:cs="Times New Roman"/>
          <w:spacing w:val="6"/>
          <w:szCs w:val="32"/>
          <w:highlight w:val="none"/>
          <w:lang w:val="en-US" w:eastAsia="zh-CN"/>
        </w:rPr>
        <w:t>的</w:t>
      </w:r>
      <w:r>
        <w:rPr>
          <w:rFonts w:hint="default" w:ascii="Times New Roman" w:hAnsi="Times New Roman" w:cs="Times New Roman"/>
          <w:spacing w:val="6"/>
          <w:szCs w:val="32"/>
          <w:highlight w:val="none"/>
        </w:rPr>
        <w:t>智能化</w:t>
      </w:r>
      <w:r>
        <w:rPr>
          <w:rFonts w:hint="default" w:ascii="Times New Roman" w:hAnsi="Times New Roman" w:cs="Times New Roman"/>
          <w:spacing w:val="6"/>
          <w:szCs w:val="32"/>
          <w:highlight w:val="none"/>
          <w:lang w:val="en-US" w:eastAsia="zh-CN"/>
        </w:rPr>
        <w:t>水平</w:t>
      </w:r>
      <w:r>
        <w:rPr>
          <w:rFonts w:hint="default" w:ascii="Times New Roman" w:hAnsi="Times New Roman" w:cs="Times New Roman"/>
          <w:spacing w:val="6"/>
          <w:szCs w:val="32"/>
          <w:highlight w:val="none"/>
        </w:rPr>
        <w:t>和精准度，帮助企业及时获取政策信</w:t>
      </w:r>
      <w:r>
        <w:rPr>
          <w:rFonts w:hint="default" w:ascii="Times New Roman" w:hAnsi="Times New Roman" w:cs="Times New Roman"/>
          <w:szCs w:val="32"/>
          <w:highlight w:val="none"/>
        </w:rPr>
        <w:t>息，把准投资方向。</w:t>
      </w:r>
    </w:p>
    <w:p w14:paraId="4BAAEA2D">
      <w:pPr>
        <w:pStyle w:val="4"/>
        <w:pageBreakBefore w:val="0"/>
        <w:widowControl/>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3.加强招商引资</w:t>
      </w:r>
    </w:p>
    <w:p w14:paraId="376846EB">
      <w:pPr>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default" w:ascii="Times New Roman" w:hAnsi="Times New Roman" w:cs="Times New Roman"/>
          <w:spacing w:val="-2"/>
          <w:highlight w:val="none"/>
        </w:rPr>
      </w:pPr>
      <w:r>
        <w:rPr>
          <w:rFonts w:hint="default" w:ascii="Times New Roman" w:hAnsi="Times New Roman" w:cs="Times New Roman"/>
          <w:spacing w:val="-2"/>
          <w:highlight w:val="none"/>
        </w:rPr>
        <w:t>深耕</w:t>
      </w:r>
      <w:r>
        <w:rPr>
          <w:rFonts w:hint="default" w:ascii="Times New Roman" w:hAnsi="Times New Roman" w:cs="Times New Roman"/>
          <w:spacing w:val="6"/>
          <w:sz w:val="32"/>
          <w:highlight w:val="none"/>
        </w:rPr>
        <w:t>京津冀、长三角、珠三角、成渝经济圈等产业密集区域，紧盯行业百强、央企国企、上市公司、专精特新企业等，创新运用</w:t>
      </w:r>
      <w:r>
        <w:rPr>
          <w:rFonts w:hint="default" w:ascii="Times New Roman" w:hAnsi="Times New Roman" w:cs="Times New Roman"/>
          <w:spacing w:val="6"/>
          <w:sz w:val="32"/>
          <w:highlight w:val="none"/>
          <w:lang w:val="en-US" w:eastAsia="zh-CN"/>
        </w:rPr>
        <w:t>链式招商、资本招商、平台招商、场景招商、以商招商等方式</w:t>
      </w:r>
      <w:r>
        <w:rPr>
          <w:rFonts w:hint="default" w:ascii="Times New Roman" w:hAnsi="Times New Roman" w:cs="Times New Roman"/>
          <w:spacing w:val="6"/>
          <w:sz w:val="32"/>
          <w:highlight w:val="none"/>
        </w:rPr>
        <w:t>，精准开展产业集群招商活动。发挥产业链图谱“导航仪”作用，用好“产业大脑”“招商数字人”等数字化招商工具，编制产业、企业、项目、技术四张清单，深化一个重点产业、一个工作专班、一本招商图谱、一个专家顾问团的“四个一”招引机制，建立动态更新的目标企业库。发挥沂源在外能人和各地商会作用，发展城市合伙人，积极开展“朋友圈”招商。深化与优势一度、山东产业研究院等第三方专业机构合作，拓展招商渠道、项目资源。瞄准目标企业，依托</w:t>
      </w:r>
      <w:r>
        <w:rPr>
          <w:rFonts w:hint="default" w:ascii="Times New Roman" w:hAnsi="Times New Roman" w:cs="Times New Roman"/>
          <w:spacing w:val="6"/>
          <w:sz w:val="32"/>
          <w:highlight w:val="none"/>
          <w:lang w:val="en-US" w:eastAsia="zh-CN"/>
        </w:rPr>
        <w:t>现有</w:t>
      </w:r>
      <w:r>
        <w:rPr>
          <w:rFonts w:hint="default" w:ascii="Times New Roman" w:hAnsi="Times New Roman" w:cs="Times New Roman"/>
          <w:spacing w:val="6"/>
          <w:sz w:val="32"/>
          <w:highlight w:val="none"/>
        </w:rPr>
        <w:t>合作央企国企外企和近年来招引落地的重点企业，积极开展“以商招商”。夯实“投促+国投+园区+部门</w:t>
      </w:r>
      <w:r>
        <w:rPr>
          <w:rFonts w:hint="default" w:ascii="Times New Roman" w:hAnsi="Times New Roman" w:cs="Times New Roman"/>
          <w:spacing w:val="6"/>
          <w:sz w:val="32"/>
          <w:highlight w:val="none"/>
          <w:lang w:val="en-US" w:eastAsia="zh-CN"/>
        </w:rPr>
        <w:t>镇街</w:t>
      </w:r>
      <w:r>
        <w:rPr>
          <w:rFonts w:hint="default" w:ascii="Times New Roman" w:hAnsi="Times New Roman" w:cs="Times New Roman"/>
          <w:spacing w:val="6"/>
          <w:sz w:val="32"/>
          <w:highlight w:val="none"/>
        </w:rPr>
        <w:t>”一体化协同招商体系。严格落实服务企业制度和“护商专员”制度，开展“一对一”结对帮扶，建立招商项目直联机制，强化全流程、全要素、全天候包靠服务，构建“招商引资—项目建设—企业投产—培育纳统”全链条成长体系。探索产业链异地配套模式，紧盯济南、青岛等“一群两心三圈”核心城市的产业链缺口，发展配套产品和下游产品。</w:t>
      </w:r>
    </w:p>
    <w:p w14:paraId="12137D6D">
      <w:pPr>
        <w:keepNext/>
        <w:keepLines/>
        <w:pageBreakBefore w:val="0"/>
        <w:widowControl/>
        <w:kinsoku/>
        <w:wordWrap/>
        <w:overflowPunct/>
        <w:topLinePunct w:val="0"/>
        <w:autoSpaceDE/>
        <w:autoSpaceDN/>
        <w:bidi w:val="0"/>
        <w:adjustRightInd/>
        <w:snapToGrid/>
        <w:spacing w:before="156" w:beforeLines="50" w:after="156" w:afterLines="50" w:line="580" w:lineRule="exact"/>
        <w:ind w:firstLine="0" w:firstLineChars="0"/>
        <w:jc w:val="center"/>
        <w:textAlignment w:val="auto"/>
        <w:outlineLvl w:val="1"/>
        <w:rPr>
          <w:rFonts w:hint="default" w:ascii="Times New Roman" w:hAnsi="Times New Roman" w:eastAsia="黑体" w:cs="Times New Roman"/>
          <w:sz w:val="36"/>
          <w:highlight w:val="none"/>
        </w:rPr>
      </w:pPr>
      <w:bookmarkStart w:id="64" w:name="_Toc13721"/>
      <w:r>
        <w:rPr>
          <w:rFonts w:hint="default" w:ascii="Times New Roman" w:hAnsi="Times New Roman" w:eastAsia="黑体" w:cs="Times New Roman"/>
          <w:sz w:val="32"/>
          <w:szCs w:val="22"/>
          <w:highlight w:val="none"/>
        </w:rPr>
        <w:t>第三节  主动融入和服务全国统一大市场建设</w:t>
      </w:r>
      <w:bookmarkEnd w:id="64"/>
    </w:p>
    <w:p w14:paraId="6EE21C81">
      <w:pPr>
        <w:keepNext/>
        <w:keepLines/>
        <w:pageBreakBefore w:val="0"/>
        <w:widowControl/>
        <w:kinsoku/>
        <w:wordWrap/>
        <w:overflowPunct/>
        <w:topLinePunct w:val="0"/>
        <w:autoSpaceDE/>
        <w:autoSpaceDN/>
        <w:bidi w:val="0"/>
        <w:adjustRightInd/>
        <w:snapToGrid/>
        <w:spacing w:line="580" w:lineRule="exact"/>
        <w:ind w:firstLine="640"/>
        <w:textAlignment w:val="auto"/>
        <w:outlineLvl w:val="2"/>
        <w:rPr>
          <w:rFonts w:hint="default" w:ascii="Times New Roman" w:hAnsi="Times New Roman" w:eastAsia="楷体_GB2312" w:cs="Times New Roman"/>
          <w:spacing w:val="6"/>
          <w:sz w:val="32"/>
          <w:highlight w:val="none"/>
        </w:rPr>
      </w:pPr>
      <w:r>
        <w:rPr>
          <w:rFonts w:hint="default" w:ascii="Times New Roman" w:hAnsi="Times New Roman" w:eastAsia="楷体_GB2312" w:cs="Times New Roman"/>
          <w:spacing w:val="6"/>
          <w:sz w:val="32"/>
          <w:highlight w:val="none"/>
        </w:rPr>
        <w:t>1.全力打造一流营商环境</w:t>
      </w:r>
    </w:p>
    <w:p w14:paraId="2D80461E">
      <w:pPr>
        <w:keepNext w:val="0"/>
        <w:keepLines w:val="0"/>
        <w:pageBreakBefore w:val="0"/>
        <w:widowControl/>
        <w:kinsoku/>
        <w:wordWrap/>
        <w:overflowPunct/>
        <w:topLinePunct w:val="0"/>
        <w:autoSpaceDE/>
        <w:autoSpaceDN/>
        <w:bidi w:val="0"/>
        <w:adjustRightInd/>
        <w:snapToGrid/>
        <w:spacing w:line="600" w:lineRule="exact"/>
        <w:ind w:firstLine="641" w:firstLineChars="0"/>
        <w:textAlignment w:val="auto"/>
        <w:outlineLvl w:val="9"/>
        <w:rPr>
          <w:rFonts w:hint="default" w:ascii="Times New Roman" w:hAnsi="Times New Roman" w:cs="Times New Roman"/>
          <w:spacing w:val="6"/>
          <w:sz w:val="32"/>
          <w:highlight w:val="none"/>
          <w:lang w:bidi="ar"/>
        </w:rPr>
      </w:pPr>
      <w:r>
        <w:rPr>
          <w:rFonts w:hint="default" w:ascii="Times New Roman" w:hAnsi="Times New Roman" w:cs="Times New Roman"/>
          <w:spacing w:val="6"/>
          <w:sz w:val="32"/>
          <w:highlight w:val="none"/>
          <w:lang w:val="en-US" w:eastAsia="zh-CN" w:bidi="ar"/>
        </w:rPr>
        <w:t>健全推进</w:t>
      </w:r>
      <w:r>
        <w:rPr>
          <w:rFonts w:hint="default" w:ascii="Times New Roman" w:hAnsi="Times New Roman" w:cs="Times New Roman"/>
          <w:spacing w:val="6"/>
          <w:sz w:val="32"/>
          <w:highlight w:val="none"/>
          <w:lang w:bidi="ar"/>
        </w:rPr>
        <w:t>“五统一、一开放”</w:t>
      </w:r>
      <w:r>
        <w:rPr>
          <w:rFonts w:hint="default" w:ascii="Times New Roman" w:hAnsi="Times New Roman" w:cs="Times New Roman"/>
          <w:spacing w:val="6"/>
          <w:sz w:val="32"/>
          <w:highlight w:val="none"/>
          <w:lang w:val="en-US" w:eastAsia="zh-CN" w:bidi="ar"/>
        </w:rPr>
        <w:t>配套政策体系。</w:t>
      </w:r>
      <w:r>
        <w:rPr>
          <w:rFonts w:hint="default" w:ascii="Times New Roman" w:hAnsi="Times New Roman" w:cs="Times New Roman"/>
          <w:spacing w:val="6"/>
          <w:sz w:val="32"/>
          <w:highlight w:val="none"/>
          <w:lang w:bidi="ar"/>
        </w:rPr>
        <w:t>深入推进依法行政，以“高效办成一件事”为牵引，推动重点事项清单管理和常态化实施，在更多领域更大范围实现部门协同和服务集成</w:t>
      </w:r>
      <w:r>
        <w:rPr>
          <w:rFonts w:hint="default" w:ascii="Times New Roman" w:hAnsi="Times New Roman" w:cs="Times New Roman"/>
          <w:spacing w:val="6"/>
          <w:sz w:val="32"/>
          <w:highlight w:val="none"/>
          <w:lang w:eastAsia="zh-CN" w:bidi="ar"/>
        </w:rPr>
        <w:t>，</w:t>
      </w:r>
      <w:r>
        <w:rPr>
          <w:rFonts w:hint="default" w:ascii="Times New Roman" w:hAnsi="Times New Roman" w:cs="Times New Roman"/>
          <w:spacing w:val="6"/>
          <w:sz w:val="32"/>
          <w:highlight w:val="none"/>
          <w:lang w:bidi="ar"/>
        </w:rPr>
        <w:t>畅通“企呼即办”“圆桌会议”“流动的企业技改专家服务队”等工作机制。加强产权执法司法保护，对侵犯各种所有制经济产权和合法利益的行为实行同责同罪同罚。推行对新技术、新产业、新业态的包容审慎监管，构建“无事不扰”“包容审慎”涉企监管执法制度，细化落实“免罚轻罚”和不予实施行政强制措施清单。完善土地收储和“标准地”改革，实现“交地即交证、拿地即开工”。完善招标投标规则、标准，深化制度、技术、数据融合，推进县公共资源电子交易服务平台重构升级。加强“信用沂源”建设，</w:t>
      </w:r>
      <w:r>
        <w:rPr>
          <w:rFonts w:hint="default" w:ascii="Times New Roman" w:hAnsi="Times New Roman" w:cs="Times New Roman"/>
          <w:spacing w:val="6"/>
          <w:sz w:val="32"/>
          <w:szCs w:val="32"/>
          <w:highlight w:val="none"/>
        </w:rPr>
        <w:t>完善信用分级分类和失信联合惩戒机制</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highlight w:val="none"/>
          <w:lang w:bidi="ar"/>
        </w:rPr>
        <w:t>建立以经营主体信用为基础的市场准营承诺即入制</w:t>
      </w:r>
      <w:r>
        <w:rPr>
          <w:rFonts w:hint="default" w:ascii="Times New Roman" w:hAnsi="Times New Roman" w:cs="Times New Roman"/>
          <w:spacing w:val="6"/>
          <w:sz w:val="32"/>
          <w:highlight w:val="none"/>
          <w:lang w:eastAsia="zh-CN" w:bidi="ar"/>
        </w:rPr>
        <w:t>。</w:t>
      </w:r>
      <w:r>
        <w:rPr>
          <w:rFonts w:hint="default" w:ascii="Times New Roman" w:hAnsi="Times New Roman" w:cs="Times New Roman"/>
          <w:spacing w:val="6"/>
          <w:sz w:val="32"/>
          <w:highlight w:val="none"/>
          <w:lang w:bidi="ar"/>
        </w:rPr>
        <w:t>加快建立以信用监管为基础、以“双随机、一公开”监管为抓手、以重点监管为补充的新型监管机制</w:t>
      </w:r>
      <w:r>
        <w:rPr>
          <w:rFonts w:hint="default" w:ascii="Times New Roman" w:hAnsi="Times New Roman" w:cs="Times New Roman"/>
          <w:spacing w:val="6"/>
          <w:sz w:val="32"/>
          <w:szCs w:val="32"/>
          <w:highlight w:val="none"/>
        </w:rPr>
        <w:t>。</w:t>
      </w:r>
      <w:r>
        <w:rPr>
          <w:rFonts w:hint="default" w:ascii="Times New Roman" w:hAnsi="Times New Roman" w:cs="Times New Roman"/>
          <w:spacing w:val="6"/>
          <w:sz w:val="32"/>
          <w:highlight w:val="none"/>
          <w:lang w:bidi="ar"/>
        </w:rPr>
        <w:t>加强营商环境政策宣传，推动政策从“企业找政策”向“政策找企业”转变。开展政法机关优化法治化营商环境创新提升行动，依法打击破坏市场经济秩序违法犯罪，强化违规异地执法和趋利性执法司法监督检查，开展虚假诉讼专项治理。</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0AD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522" w:type="dxa"/>
            <w:vAlign w:val="center"/>
          </w:tcPr>
          <w:p w14:paraId="7859C30E">
            <w:pPr>
              <w:pStyle w:val="26"/>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highlight w:val="none"/>
              </w:rPr>
            </w:pPr>
            <w:r>
              <w:rPr>
                <w:rFonts w:hint="default" w:ascii="Times New Roman" w:hAnsi="Times New Roman" w:cs="Times New Roman"/>
                <w:highlight w:val="none"/>
              </w:rPr>
              <w:t>专栏</w:t>
            </w:r>
            <w:r>
              <w:rPr>
                <w:rFonts w:hint="default" w:ascii="Times New Roman" w:hAnsi="Times New Roman" w:cs="Times New Roman"/>
                <w:highlight w:val="none"/>
                <w:lang w:val="en-US" w:eastAsia="zh-CN"/>
              </w:rPr>
              <w:t>9</w:t>
            </w:r>
            <w:r>
              <w:rPr>
                <w:rFonts w:hint="default" w:ascii="Times New Roman" w:hAnsi="Times New Roman" w:cs="Times New Roman"/>
                <w:highlight w:val="none"/>
              </w:rPr>
              <w:t>：“投资沂源”涉企服务综合体</w:t>
            </w:r>
          </w:p>
        </w:tc>
      </w:tr>
      <w:tr w14:paraId="1762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8522" w:type="dxa"/>
            <w:vAlign w:val="center"/>
          </w:tcPr>
          <w:p w14:paraId="51CE89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pacing w:val="0"/>
                <w:sz w:val="24"/>
                <w:szCs w:val="24"/>
                <w:highlight w:val="none"/>
              </w:rPr>
            </w:pPr>
            <w:r>
              <w:rPr>
                <w:rFonts w:hint="default" w:ascii="Times New Roman" w:hAnsi="Times New Roman" w:eastAsia="仿宋_GB2312" w:cs="Times New Roman"/>
                <w:spacing w:val="0"/>
                <w:sz w:val="24"/>
                <w:szCs w:val="24"/>
                <w:highlight w:val="none"/>
              </w:rPr>
              <w:t>核心功能升级。整合展示接待、招商洽谈、政务服务、企业服务、培训交流、诉求响应等六大核心功能，打造多元共建、系统集成的涉企服务综合体。</w:t>
            </w:r>
          </w:p>
          <w:p w14:paraId="62EDE1DE">
            <w:pPr>
              <w:keepNext w:val="0"/>
              <w:keepLines w:val="0"/>
              <w:pageBreakBefore w:val="0"/>
              <w:widowControl w:val="0"/>
              <w:kinsoku/>
              <w:wordWrap/>
              <w:overflowPunct/>
              <w:topLinePunct w:val="0"/>
              <w:autoSpaceDE/>
              <w:autoSpaceDN/>
              <w:bidi w:val="0"/>
              <w:adjustRightInd/>
              <w:snapToGrid/>
              <w:spacing w:line="440" w:lineRule="exact"/>
              <w:ind w:firstLine="440"/>
              <w:jc w:val="both"/>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pacing w:val="0"/>
                <w:sz w:val="24"/>
                <w:szCs w:val="24"/>
                <w:highlight w:val="none"/>
              </w:rPr>
              <w:t>跨</w:t>
            </w:r>
            <w:r>
              <w:rPr>
                <w:rFonts w:hint="default" w:ascii="Times New Roman" w:hAnsi="Times New Roman" w:eastAsia="仿宋_GB2312" w:cs="Times New Roman"/>
                <w:spacing w:val="6"/>
                <w:sz w:val="24"/>
                <w:szCs w:val="24"/>
                <w:highlight w:val="none"/>
              </w:rPr>
              <w:t>领域资源网络构建。积极推动涉企服务综合体与产业协会、知名高校、头部企业、优质机构等单位合作，构建跨领域资源网络，形成“产学研用服”协同生态。</w:t>
            </w:r>
          </w:p>
        </w:tc>
      </w:tr>
    </w:tbl>
    <w:p w14:paraId="4166A78A">
      <w:pPr>
        <w:keepNext/>
        <w:keepLines/>
        <w:pageBreakBefore w:val="0"/>
        <w:widowControl/>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2.</w:t>
      </w:r>
      <w:r>
        <w:rPr>
          <w:rFonts w:hint="default" w:ascii="Times New Roman" w:hAnsi="Times New Roman" w:eastAsia="楷体_GB2312" w:cs="Times New Roman"/>
          <w:highlight w:val="none"/>
          <w:lang w:val="en-US" w:eastAsia="zh-CN"/>
        </w:rPr>
        <w:t>持续纠</w:t>
      </w:r>
      <w:r>
        <w:rPr>
          <w:rFonts w:hint="eastAsia" w:ascii="Times New Roman" w:hAnsi="Times New Roman" w:eastAsia="楷体_GB2312" w:cs="Times New Roman"/>
          <w:highlight w:val="none"/>
          <w:lang w:val="en-US" w:eastAsia="zh-CN"/>
        </w:rPr>
        <w:t>治</w:t>
      </w:r>
      <w:r>
        <w:rPr>
          <w:rFonts w:hint="default" w:ascii="Times New Roman" w:hAnsi="Times New Roman" w:eastAsia="楷体_GB2312" w:cs="Times New Roman"/>
          <w:highlight w:val="none"/>
        </w:rPr>
        <w:t>不</w:t>
      </w:r>
      <w:r>
        <w:rPr>
          <w:rFonts w:hint="default" w:ascii="Times New Roman" w:hAnsi="Times New Roman" w:eastAsia="楷体_GB2312" w:cs="Times New Roman"/>
          <w:highlight w:val="none"/>
          <w:lang w:val="en-US" w:eastAsia="zh-CN"/>
        </w:rPr>
        <w:t>正当</w:t>
      </w:r>
      <w:r>
        <w:rPr>
          <w:rFonts w:hint="default" w:ascii="Times New Roman" w:hAnsi="Times New Roman" w:eastAsia="楷体_GB2312" w:cs="Times New Roman"/>
          <w:highlight w:val="none"/>
        </w:rPr>
        <w:t>市场竞争和市场干预行为</w:t>
      </w:r>
    </w:p>
    <w:p w14:paraId="2F5980F6">
      <w:pPr>
        <w:pageBreakBefore w:val="0"/>
        <w:widowControl/>
        <w:kinsoku/>
        <w:wordWrap/>
        <w:overflowPunct/>
        <w:topLinePunct w:val="0"/>
        <w:autoSpaceDE/>
        <w:autoSpaceDN/>
        <w:bidi w:val="0"/>
        <w:adjustRightInd/>
        <w:snapToGrid/>
        <w:spacing w:line="560" w:lineRule="exact"/>
        <w:ind w:firstLine="640" w:firstLineChars="0"/>
        <w:jc w:val="left"/>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加强公平竞争审查刚性约束，防止出台或实施妨碍公平竞争的政策措施，优化公平竞争审查举报、抽查等工作机制。持续开展政策措施动态清理，纠正妨碍全国统一市场和公平竞争的各种规定做法，持续加强对民生领域的价格监管和反垄断执法，严厉打击商业贿赂、虚假宣传、侵犯商业秘密、商业诋毁等不正当竞争行为。完善产权保护制度，</w:t>
      </w:r>
      <w:r>
        <w:rPr>
          <w:rFonts w:hint="default" w:ascii="Times New Roman" w:hAnsi="Times New Roman" w:cs="Times New Roman"/>
          <w:highlight w:val="none"/>
          <w:lang w:val="en-US" w:eastAsia="zh-CN" w:bidi="ar"/>
        </w:rPr>
        <w:t>杜绝</w:t>
      </w:r>
      <w:r>
        <w:rPr>
          <w:rFonts w:hint="default" w:ascii="Times New Roman" w:hAnsi="Times New Roman" w:cs="Times New Roman"/>
          <w:highlight w:val="none"/>
          <w:lang w:bidi="ar"/>
        </w:rPr>
        <w:t>利用行政、刑事手段违法干预经济纠纷</w:t>
      </w:r>
      <w:r>
        <w:rPr>
          <w:rFonts w:hint="default" w:ascii="Times New Roman" w:hAnsi="Times New Roman" w:cs="Times New Roman"/>
          <w:highlight w:val="none"/>
          <w:lang w:eastAsia="zh-CN" w:bidi="ar"/>
        </w:rPr>
        <w:t>，</w:t>
      </w:r>
      <w:r>
        <w:rPr>
          <w:rFonts w:hint="default" w:ascii="Times New Roman" w:hAnsi="Times New Roman" w:cs="Times New Roman"/>
          <w:highlight w:val="none"/>
          <w:lang w:bidi="ar"/>
        </w:rPr>
        <w:t>侵害经营主体权益。依法依规治理企业低价无序竞争，实施“品质沂源”提升工程，引导企业提升产品品质</w:t>
      </w:r>
      <w:r>
        <w:rPr>
          <w:rFonts w:hint="eastAsia" w:ascii="Times New Roman" w:hAnsi="Times New Roman" w:cs="Times New Roman"/>
          <w:highlight w:val="none"/>
          <w:lang w:eastAsia="zh-CN" w:bidi="ar"/>
        </w:rPr>
        <w:t>，推动落后产能有序退出</w:t>
      </w:r>
      <w:r>
        <w:rPr>
          <w:rFonts w:hint="default" w:ascii="Times New Roman" w:hAnsi="Times New Roman" w:cs="Times New Roman"/>
          <w:highlight w:val="none"/>
          <w:lang w:bidi="ar"/>
        </w:rPr>
        <w:t>。</w:t>
      </w:r>
    </w:p>
    <w:p w14:paraId="482DD2C8">
      <w:pPr>
        <w:keepNext/>
        <w:keepLines/>
        <w:pageBreakBefore w:val="0"/>
        <w:widowControl/>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3.健全经营主体准入和退出机制</w:t>
      </w:r>
    </w:p>
    <w:p w14:paraId="79C348FC">
      <w:pPr>
        <w:pageBreakBefore w:val="0"/>
        <w:widowControl/>
        <w:kinsoku/>
        <w:wordWrap/>
        <w:overflowPunct/>
        <w:topLinePunct w:val="0"/>
        <w:autoSpaceDE/>
        <w:autoSpaceDN/>
        <w:bidi w:val="0"/>
        <w:adjustRightInd/>
        <w:snapToGrid/>
        <w:spacing w:line="560" w:lineRule="exact"/>
        <w:ind w:firstLine="640" w:firstLineChars="0"/>
        <w:jc w:val="left"/>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建立更加公开透明有效的准入评估制度，优化新业态新领域市场准入环境。严格执行行政许可事项清单化管理模式，做到“法无禁止即可为，清单之外无审批”。畅通企业退出渠道，全面实施简易注销</w:t>
      </w:r>
      <w:r>
        <w:rPr>
          <w:rFonts w:hint="default" w:ascii="Times New Roman" w:hAnsi="Times New Roman" w:cs="Times New Roman"/>
          <w:highlight w:val="none"/>
          <w:lang w:eastAsia="zh-CN" w:bidi="ar"/>
        </w:rPr>
        <w:t>，</w:t>
      </w:r>
      <w:r>
        <w:rPr>
          <w:rFonts w:hint="default" w:ascii="Times New Roman" w:hAnsi="Times New Roman" w:cs="Times New Roman"/>
          <w:highlight w:val="none"/>
          <w:lang w:bidi="ar"/>
        </w:rPr>
        <w:t>加大对破产领域“逃废债”监督力度。清理对企业跨区域经营、迁移设置的不合理条件，进一步破除区域分割和地方保护等不合理限制。</w:t>
      </w:r>
      <w:r>
        <w:rPr>
          <w:rFonts w:hint="default" w:ascii="Times New Roman" w:hAnsi="Times New Roman" w:cs="Times New Roman"/>
          <w:highlight w:val="none"/>
          <w:lang w:val="en-US" w:eastAsia="zh-CN" w:bidi="ar"/>
        </w:rPr>
        <w:t>深入</w:t>
      </w:r>
      <w:r>
        <w:rPr>
          <w:rFonts w:hint="default" w:ascii="Times New Roman" w:hAnsi="Times New Roman" w:cs="Times New Roman"/>
          <w:highlight w:val="none"/>
          <w:lang w:bidi="ar"/>
        </w:rPr>
        <w:t>落实府院</w:t>
      </w:r>
      <w:r>
        <w:rPr>
          <w:rFonts w:hint="eastAsia" w:ascii="Times New Roman" w:hAnsi="Times New Roman" w:cs="Times New Roman"/>
          <w:color w:val="auto"/>
          <w:highlight w:val="none"/>
          <w:lang w:eastAsia="zh-CN" w:bidi="ar"/>
        </w:rPr>
        <w:t>、</w:t>
      </w:r>
      <w:r>
        <w:rPr>
          <w:rFonts w:hint="default" w:ascii="Times New Roman" w:hAnsi="Times New Roman" w:cs="Times New Roman"/>
          <w:highlight w:val="none"/>
          <w:lang w:val="en-US" w:eastAsia="zh-CN" w:bidi="ar"/>
        </w:rPr>
        <w:t>府检</w:t>
      </w:r>
      <w:r>
        <w:rPr>
          <w:rFonts w:hint="default" w:ascii="Times New Roman" w:hAnsi="Times New Roman" w:cs="Times New Roman"/>
          <w:highlight w:val="none"/>
          <w:lang w:bidi="ar"/>
        </w:rPr>
        <w:t>联动机制，探索建立危困中小微企业综合挽救工作机制，不断拓展“执破融合”改革的深度、广度和精度。优化经常性涉企服务，加快建立健全高效便捷、优质普惠的经营主体全生命周期服务体系。</w:t>
      </w:r>
    </w:p>
    <w:p w14:paraId="24E14516">
      <w:pPr>
        <w:keepNext/>
        <w:keepLines/>
        <w:pageBreakBefore w:val="0"/>
        <w:widowControl/>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4.健全统一商品市场标准和质量体系</w:t>
      </w:r>
    </w:p>
    <w:p w14:paraId="495D7CF6">
      <w:pPr>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推动果品、化工等重点领域标准化体系建设，积极参与国家、行业标准研制，加快标准升级迭代。深化标准化综合改革，鼓励龙头企业、行业协会牵头制定先进标准，培育标准创新型标杆企业。围绕产业转型升级、交通一体化、生态环境保护等重点领域，推动计量技术规范共建共享，推进区域计量互认和区域诚信计量建设，强化区域计量监管合作。持续推进“好品山东”建设，加快制造业高端品牌培育，</w:t>
      </w:r>
      <w:r>
        <w:rPr>
          <w:rFonts w:hint="default" w:ascii="Times New Roman" w:hAnsi="Times New Roman" w:cs="Times New Roman"/>
          <w:highlight w:val="none"/>
          <w:lang w:val="en-US" w:eastAsia="zh-CN" w:bidi="ar"/>
        </w:rPr>
        <w:t>实施</w:t>
      </w:r>
      <w:r>
        <w:rPr>
          <w:rFonts w:hint="default" w:ascii="Times New Roman" w:hAnsi="Times New Roman" w:cs="Times New Roman"/>
          <w:highlight w:val="none"/>
          <w:lang w:bidi="ar"/>
        </w:rPr>
        <w:t>先进标准培育激励</w:t>
      </w:r>
      <w:r>
        <w:rPr>
          <w:rFonts w:hint="default" w:ascii="Times New Roman" w:hAnsi="Times New Roman" w:cs="Times New Roman"/>
          <w:spacing w:val="6"/>
          <w:highlight w:val="none"/>
          <w:lang w:bidi="ar"/>
        </w:rPr>
        <w:t>机制</w:t>
      </w:r>
      <w:r>
        <w:rPr>
          <w:rFonts w:hint="default" w:ascii="Times New Roman" w:hAnsi="Times New Roman" w:cs="Times New Roman"/>
          <w:spacing w:val="0"/>
          <w:highlight w:val="none"/>
          <w:lang w:bidi="ar"/>
        </w:rPr>
        <w:t>，落实质量强企、质量强链等质量提升政策措施。围绕</w:t>
      </w:r>
      <w:r>
        <w:rPr>
          <w:rFonts w:hint="default" w:ascii="Times New Roman" w:hAnsi="Times New Roman" w:cs="Times New Roman"/>
          <w:spacing w:val="0"/>
          <w:highlight w:val="none"/>
          <w:lang w:val="en-US" w:eastAsia="zh-CN" w:bidi="ar"/>
        </w:rPr>
        <w:t>制造业优势</w:t>
      </w:r>
      <w:r>
        <w:rPr>
          <w:rFonts w:hint="default" w:ascii="Times New Roman" w:hAnsi="Times New Roman" w:cs="Times New Roman"/>
          <w:spacing w:val="0"/>
          <w:highlight w:val="none"/>
          <w:lang w:bidi="ar"/>
        </w:rPr>
        <w:t>产业集群和重点产业链，开展质量强链行动，支持有较强技术研发能力和市场竞争力的企业组建质量创新联合体，实现上下游质量一致性管控。瞄准消费</w:t>
      </w:r>
      <w:r>
        <w:rPr>
          <w:rFonts w:hint="default" w:ascii="Times New Roman" w:hAnsi="Times New Roman" w:cs="Times New Roman"/>
          <w:spacing w:val="0"/>
          <w:highlight w:val="none"/>
          <w:lang w:val="en-US" w:eastAsia="zh-CN" w:bidi="ar"/>
        </w:rPr>
        <w:t>变化</w:t>
      </w:r>
      <w:r>
        <w:rPr>
          <w:rFonts w:hint="default" w:ascii="Times New Roman" w:hAnsi="Times New Roman" w:cs="Times New Roman"/>
          <w:spacing w:val="0"/>
          <w:highlight w:val="none"/>
          <w:lang w:bidi="ar"/>
        </w:rPr>
        <w:t>趋势，深化增品种、提品质、创品牌“三品”行动，</w:t>
      </w:r>
      <w:r>
        <w:rPr>
          <w:rFonts w:hint="eastAsia" w:ascii="Times New Roman" w:hAnsi="Times New Roman" w:cs="Times New Roman"/>
          <w:spacing w:val="0"/>
          <w:highlight w:val="none"/>
          <w:lang w:eastAsia="zh-CN" w:bidi="ar"/>
        </w:rPr>
        <w:t>力</w:t>
      </w:r>
      <w:r>
        <w:rPr>
          <w:rFonts w:hint="default" w:ascii="Times New Roman" w:hAnsi="Times New Roman" w:cs="Times New Roman"/>
          <w:spacing w:val="0"/>
          <w:highlight w:val="none"/>
          <w:lang w:bidi="ar"/>
        </w:rPr>
        <w:t>争培育一批省级质量标杆。</w:t>
      </w:r>
    </w:p>
    <w:p w14:paraId="7F81A065">
      <w:pPr>
        <w:keepNext w:val="0"/>
        <w:keepLines w:val="0"/>
        <w:pageBreakBefore w:val="0"/>
        <w:widowControl/>
        <w:kinsoku/>
        <w:wordWrap/>
        <w:overflowPunct/>
        <w:topLinePunct w:val="0"/>
        <w:autoSpaceDE/>
        <w:autoSpaceDN/>
        <w:bidi w:val="0"/>
        <w:adjustRightInd/>
        <w:snapToGrid/>
        <w:spacing w:line="500" w:lineRule="exact"/>
        <w:textAlignment w:val="auto"/>
        <w:rPr>
          <w:rFonts w:hint="default" w:ascii="Times New Roman" w:hAnsi="Times New Roman" w:cs="Times New Roman"/>
          <w:spacing w:val="0"/>
          <w:highlight w:val="none"/>
          <w:lang w:bidi="ar"/>
        </w:rPr>
      </w:pPr>
    </w:p>
    <w:p w14:paraId="79D92EBB">
      <w:pPr>
        <w:pStyle w:val="2"/>
        <w:keepNext/>
        <w:keepLines/>
        <w:pageBreakBefore w:val="0"/>
        <w:widowControl/>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val="0"/>
          <w:bCs w:val="0"/>
          <w:sz w:val="32"/>
          <w:szCs w:val="21"/>
          <w:highlight w:val="none"/>
          <w:lang w:val="en-US" w:eastAsia="zh-CN"/>
        </w:rPr>
      </w:pPr>
      <w:bookmarkStart w:id="65" w:name="_Toc16534"/>
      <w:r>
        <w:rPr>
          <w:rFonts w:hint="default" w:ascii="Times New Roman" w:hAnsi="Times New Roman" w:eastAsia="方正小标宋简体" w:cs="Times New Roman"/>
          <w:b w:val="0"/>
          <w:bCs w:val="0"/>
          <w:sz w:val="32"/>
          <w:szCs w:val="24"/>
          <w:highlight w:val="none"/>
          <w:lang w:val="en-US" w:eastAsia="zh-CN"/>
        </w:rPr>
        <w:t>第</w:t>
      </w:r>
      <w:r>
        <w:rPr>
          <w:rFonts w:hint="default" w:ascii="Times New Roman" w:hAnsi="Times New Roman" w:cs="Times New Roman"/>
          <w:b w:val="0"/>
          <w:bCs w:val="0"/>
          <w:sz w:val="32"/>
          <w:szCs w:val="24"/>
          <w:highlight w:val="none"/>
          <w:lang w:val="en-US" w:eastAsia="zh-CN"/>
        </w:rPr>
        <w:t>五</w:t>
      </w:r>
      <w:r>
        <w:rPr>
          <w:rFonts w:hint="default" w:ascii="Times New Roman" w:hAnsi="Times New Roman" w:eastAsia="方正小标宋简体" w:cs="Times New Roman"/>
          <w:b w:val="0"/>
          <w:bCs w:val="0"/>
          <w:sz w:val="32"/>
          <w:szCs w:val="24"/>
          <w:highlight w:val="none"/>
          <w:lang w:val="en-US" w:eastAsia="zh-CN"/>
        </w:rPr>
        <w:t xml:space="preserve">章  </w:t>
      </w:r>
      <w:r>
        <w:rPr>
          <w:rFonts w:hint="default" w:ascii="Times New Roman" w:hAnsi="Times New Roman" w:cs="Times New Roman"/>
          <w:b w:val="0"/>
          <w:bCs w:val="0"/>
          <w:sz w:val="32"/>
          <w:szCs w:val="24"/>
          <w:highlight w:val="none"/>
          <w:lang w:val="en-US" w:eastAsia="zh-CN"/>
        </w:rPr>
        <w:t>聚焦</w:t>
      </w:r>
      <w:r>
        <w:rPr>
          <w:rFonts w:hint="default" w:ascii="Times New Roman" w:hAnsi="Times New Roman" w:eastAsia="方正小标宋简体" w:cs="Times New Roman"/>
          <w:b w:val="0"/>
          <w:bCs w:val="0"/>
          <w:sz w:val="32"/>
          <w:szCs w:val="24"/>
          <w:highlight w:val="none"/>
          <w:lang w:val="en-US" w:eastAsia="zh-CN"/>
        </w:rPr>
        <w:t>深化改革开放</w:t>
      </w:r>
      <w:r>
        <w:rPr>
          <w:rFonts w:hint="default" w:ascii="Times New Roman" w:hAnsi="Times New Roman" w:cs="Times New Roman"/>
          <w:b w:val="0"/>
          <w:bCs w:val="0"/>
          <w:sz w:val="32"/>
          <w:szCs w:val="24"/>
          <w:highlight w:val="none"/>
          <w:lang w:val="en-US" w:eastAsia="zh-CN"/>
        </w:rPr>
        <w:t>，</w:t>
      </w:r>
      <w:r>
        <w:rPr>
          <w:rFonts w:hint="default" w:ascii="Times New Roman" w:hAnsi="Times New Roman" w:eastAsia="方正小标宋简体" w:cs="Times New Roman"/>
          <w:b w:val="0"/>
          <w:bCs w:val="0"/>
          <w:sz w:val="32"/>
          <w:szCs w:val="24"/>
          <w:highlight w:val="none"/>
          <w:lang w:val="en-US" w:eastAsia="zh-CN"/>
        </w:rPr>
        <w:t>不断增强市场活力和发展动力</w:t>
      </w:r>
      <w:bookmarkEnd w:id="65"/>
    </w:p>
    <w:p w14:paraId="4381575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更好发挥经济体制改革牵引作用，扎实推进重点领域和关键环节改革攻坚，推动标志性改革举措加快落地，实施更大范围、更宽领域、更深层次的对内对外开放，以开放促改革促发展，塑造县域开放型经济新优势。</w:t>
      </w:r>
      <w:bookmarkStart w:id="66" w:name="_Toc25895"/>
    </w:p>
    <w:p w14:paraId="16798EC5">
      <w:pPr>
        <w:pStyle w:val="3"/>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第一节  充分激发各类经营主体活力</w:t>
      </w:r>
      <w:bookmarkEnd w:id="66"/>
    </w:p>
    <w:p w14:paraId="6691AAC7">
      <w:pPr>
        <w:pStyle w:val="4"/>
        <w:keepNext/>
        <w:keepLines/>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rPr>
        <w:t>1</w:t>
      </w:r>
      <w:r>
        <w:rPr>
          <w:rFonts w:hint="default" w:ascii="Times New Roman" w:hAnsi="Times New Roman" w:cs="Times New Roman"/>
          <w:highlight w:val="none"/>
          <w:lang w:val="en-US" w:eastAsia="zh-CN"/>
        </w:rPr>
        <w:t>.</w:t>
      </w:r>
      <w:r>
        <w:rPr>
          <w:rFonts w:hint="default" w:ascii="Times New Roman" w:hAnsi="Times New Roman" w:cs="Times New Roman"/>
          <w:highlight w:val="none"/>
        </w:rPr>
        <w:t>深入</w:t>
      </w:r>
      <w:r>
        <w:rPr>
          <w:rFonts w:hint="default" w:ascii="Times New Roman" w:hAnsi="Times New Roman" w:cs="Times New Roman"/>
          <w:highlight w:val="none"/>
          <w:lang w:val="en-US" w:eastAsia="zh-CN"/>
        </w:rPr>
        <w:t>推进国有企业改革</w:t>
      </w:r>
    </w:p>
    <w:p w14:paraId="242C4F39">
      <w:pPr>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优化国有资本布局，推动国有资本向产业链价值链中高端集中，向战略性新兴产业集中，着力提升产业链供应链韧性和安全水平。加快推进县属国有企业深度转型，强化企业运营，突出主业，增强国有企业盈利能力。国投集团按照强力化债、全面转型、发展壮大、服务全县的思路，加快战略性重组和专业化整合，发展为具有强大引领力、贡献力的现代化企业，实现从融资建设“主力军”向城市运营和产业培育“生力军”转变。产创集团聚焦战略性新兴产业和未来产业研究、项目孵化</w:t>
      </w:r>
      <w:r>
        <w:rPr>
          <w:rFonts w:hint="default" w:ascii="Times New Roman" w:hAnsi="Times New Roman" w:cs="Times New Roman"/>
          <w:b w:val="0"/>
          <w:bCs w:val="0"/>
          <w:spacing w:val="6"/>
          <w:highlight w:val="none"/>
          <w:lang w:val="en-US" w:eastAsia="zh-CN"/>
        </w:rPr>
        <w:t>，提高国有资本运营效率。落实以管资本为核心的“清单式”监管，进一步明确国资监管、行业监管与企业自主经营的权责划分。依据县属国有企业功能属性、核心业务、治理效能及管理能力，开展差异化分类考核。深化国有企业劳动、人事、分配制度改</w:t>
      </w:r>
      <w:r>
        <w:rPr>
          <w:rFonts w:hint="default" w:ascii="Times New Roman" w:hAnsi="Times New Roman" w:cs="Times New Roman"/>
          <w:b w:val="0"/>
          <w:bCs w:val="0"/>
          <w:highlight w:val="none"/>
          <w:lang w:val="en-US" w:eastAsia="zh-CN"/>
        </w:rPr>
        <w:t>革，完善市场化薪酬分配机制。</w:t>
      </w:r>
    </w:p>
    <w:p w14:paraId="317463CF">
      <w:pPr>
        <w:pStyle w:val="4"/>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2.发展壮大民营经济</w:t>
      </w:r>
    </w:p>
    <w:p w14:paraId="146FF785">
      <w:pPr>
        <w:pageBreakBefore w:val="0"/>
        <w:widowControl/>
        <w:kinsoku/>
        <w:wordWrap/>
        <w:overflowPunct/>
        <w:topLinePunct w:val="0"/>
        <w:autoSpaceDE/>
        <w:autoSpaceDN/>
        <w:bidi w:val="0"/>
        <w:adjustRightInd/>
        <w:snapToGrid/>
        <w:spacing w:line="580" w:lineRule="exact"/>
        <w:ind w:firstLine="0"/>
        <w:textAlignment w:val="auto"/>
        <w:rPr>
          <w:rFonts w:hint="default" w:ascii="Times New Roman" w:hAnsi="Times New Roman" w:cs="Times New Roman"/>
          <w:highlight w:val="none"/>
        </w:rPr>
      </w:pPr>
      <w:r>
        <w:rPr>
          <w:rFonts w:hint="default" w:ascii="Times New Roman" w:hAnsi="Times New Roman" w:cs="Times New Roman"/>
          <w:highlight w:val="none"/>
          <w:lang w:val="en-US"/>
        </w:rPr>
        <w:t>加大对民营经济</w:t>
      </w:r>
      <w:r>
        <w:rPr>
          <w:rFonts w:hint="default" w:ascii="Times New Roman" w:hAnsi="Times New Roman" w:cs="Times New Roman"/>
          <w:highlight w:val="none"/>
          <w:lang w:val="en-US" w:eastAsia="zh-CN"/>
        </w:rPr>
        <w:t>全方位</w:t>
      </w:r>
      <w:r>
        <w:rPr>
          <w:rFonts w:hint="default" w:ascii="Times New Roman" w:hAnsi="Times New Roman" w:cs="Times New Roman"/>
          <w:highlight w:val="none"/>
          <w:lang w:val="en-US"/>
        </w:rPr>
        <w:t>支持力度，</w:t>
      </w:r>
      <w:r>
        <w:rPr>
          <w:rFonts w:hint="default" w:ascii="Times New Roman" w:hAnsi="Times New Roman" w:cs="Times New Roman"/>
          <w:highlight w:val="none"/>
          <w:lang w:val="en-US" w:eastAsia="zh-CN"/>
        </w:rPr>
        <w:t>落实</w:t>
      </w:r>
      <w:r>
        <w:rPr>
          <w:rFonts w:hint="default" w:ascii="Times New Roman" w:hAnsi="Times New Roman" w:cs="Times New Roman"/>
          <w:highlight w:val="none"/>
        </w:rPr>
        <w:t>民营经济促进法，</w:t>
      </w:r>
      <w:r>
        <w:rPr>
          <w:rFonts w:hint="default" w:ascii="Times New Roman" w:hAnsi="Times New Roman" w:cs="Times New Roman"/>
          <w:highlight w:val="none"/>
          <w:lang w:val="en-US" w:eastAsia="zh-CN"/>
        </w:rPr>
        <w:t>健全</w:t>
      </w:r>
      <w:r>
        <w:rPr>
          <w:rFonts w:hint="default" w:ascii="Times New Roman" w:hAnsi="Times New Roman" w:cs="Times New Roman"/>
          <w:highlight w:val="none"/>
        </w:rPr>
        <w:t>民营企业纾困解难长效机制，保障</w:t>
      </w:r>
      <w:r>
        <w:rPr>
          <w:rFonts w:hint="default" w:ascii="Times New Roman" w:hAnsi="Times New Roman" w:cs="Times New Roman"/>
          <w:highlight w:val="none"/>
          <w:lang w:val="en-US" w:eastAsia="zh-CN"/>
        </w:rPr>
        <w:t>民营企业</w:t>
      </w:r>
      <w:r>
        <w:rPr>
          <w:rFonts w:hint="default" w:ascii="Times New Roman" w:hAnsi="Times New Roman" w:cs="Times New Roman"/>
          <w:highlight w:val="none"/>
        </w:rPr>
        <w:t>平等使用生产要素、公平参与市场竞争、有效保护合法权益，推进基础设施竞争性领域、重要应用场景、公共技术资源向</w:t>
      </w:r>
      <w:r>
        <w:rPr>
          <w:rFonts w:hint="default" w:ascii="Times New Roman" w:hAnsi="Times New Roman" w:cs="Times New Roman"/>
          <w:highlight w:val="none"/>
          <w:lang w:val="en-US" w:eastAsia="zh-CN"/>
        </w:rPr>
        <w:t>各类</w:t>
      </w:r>
      <w:r>
        <w:rPr>
          <w:rFonts w:hint="default" w:ascii="Times New Roman" w:hAnsi="Times New Roman" w:cs="Times New Roman"/>
          <w:highlight w:val="none"/>
        </w:rPr>
        <w:t>经营主体公平开放。支持中小企业和个体工商户发展，推动大中小企业协同融通发展。健全涉企收费长效监管</w:t>
      </w:r>
      <w:r>
        <w:rPr>
          <w:rFonts w:hint="default" w:ascii="Times New Roman" w:hAnsi="Times New Roman" w:cs="Times New Roman"/>
          <w:highlight w:val="none"/>
          <w:lang w:val="en-US" w:eastAsia="zh-CN"/>
        </w:rPr>
        <w:t>和</w:t>
      </w:r>
      <w:r>
        <w:rPr>
          <w:rFonts w:hint="default" w:ascii="Times New Roman" w:hAnsi="Times New Roman" w:cs="Times New Roman"/>
          <w:highlight w:val="none"/>
        </w:rPr>
        <w:t>拖欠企业账款清偿机制</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加快建立民营企业信用状况综合评价体系，保障民营企业公平享受普惠性政策。深化落实企业家“圆桌会议”、流动的技改服务队等机制，构建亲清统一新型政商关系。引导企业强化“命运共同体”理念，推动建立健全现代企业制度，弘扬企业家精神，培育更多高能级企业。</w:t>
      </w:r>
    </w:p>
    <w:p w14:paraId="5E0C332D">
      <w:pPr>
        <w:pStyle w:val="3"/>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67" w:name="_Toc24842"/>
      <w:r>
        <w:rPr>
          <w:rFonts w:hint="default" w:ascii="Times New Roman" w:hAnsi="Times New Roman" w:cs="Times New Roman"/>
          <w:sz w:val="32"/>
          <w:szCs w:val="22"/>
          <w:highlight w:val="none"/>
          <w:lang w:val="en-US" w:eastAsia="zh-CN"/>
        </w:rPr>
        <w:t>第二节  加快推进重点领域和关键环节改革</w:t>
      </w:r>
      <w:bookmarkEnd w:id="67"/>
    </w:p>
    <w:p w14:paraId="1E667ACF">
      <w:pPr>
        <w:pStyle w:val="4"/>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1.</w:t>
      </w:r>
      <w:r>
        <w:rPr>
          <w:rFonts w:hint="default" w:ascii="Times New Roman" w:hAnsi="Times New Roman" w:cs="Times New Roman"/>
          <w:highlight w:val="none"/>
        </w:rPr>
        <w:t>深</w:t>
      </w:r>
      <w:r>
        <w:rPr>
          <w:rFonts w:hint="default" w:ascii="Times New Roman" w:hAnsi="Times New Roman" w:cs="Times New Roman"/>
          <w:highlight w:val="none"/>
          <w:lang w:val="en-US" w:eastAsia="zh-CN"/>
        </w:rPr>
        <w:t>化</w:t>
      </w:r>
      <w:r>
        <w:rPr>
          <w:rFonts w:hint="default" w:ascii="Times New Roman" w:hAnsi="Times New Roman" w:cs="Times New Roman"/>
          <w:highlight w:val="none"/>
        </w:rPr>
        <w:t>要素市场化配置改革</w:t>
      </w:r>
    </w:p>
    <w:p w14:paraId="08C94F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highlight w:val="none"/>
          <w:lang w:eastAsia="zh-CN" w:bidi="ar"/>
        </w:rPr>
      </w:pPr>
      <w:r>
        <w:rPr>
          <w:rFonts w:hint="default" w:ascii="Times New Roman" w:hAnsi="Times New Roman" w:cs="Times New Roman"/>
          <w:highlight w:val="none"/>
          <w:lang w:bidi="ar"/>
        </w:rPr>
        <w:t>促进各类要素资源高效配置，推动用地市场、劳动力市场、技术市场、数据市场建设</w:t>
      </w:r>
      <w:r>
        <w:rPr>
          <w:rFonts w:hint="default" w:ascii="Times New Roman" w:hAnsi="Times New Roman" w:cs="Times New Roman"/>
          <w:highlight w:val="none"/>
          <w:lang w:eastAsia="zh-CN" w:bidi="ar"/>
        </w:rPr>
        <w:t>，</w:t>
      </w:r>
      <w:r>
        <w:rPr>
          <w:rFonts w:hint="default" w:ascii="Times New Roman" w:hAnsi="Times New Roman" w:cs="Times New Roman"/>
          <w:highlight w:val="none"/>
          <w:lang w:bidi="ar"/>
        </w:rPr>
        <w:t>积极参与资本市场建设。</w:t>
      </w:r>
      <w:r>
        <w:rPr>
          <w:rFonts w:hint="default" w:ascii="Times New Roman" w:hAnsi="Times New Roman" w:eastAsia="仿宋_GB2312" w:cs="Times New Roman"/>
          <w:b w:val="0"/>
          <w:bCs w:val="0"/>
          <w:i w:val="0"/>
          <w:iCs w:val="0"/>
          <w:spacing w:val="0"/>
          <w:sz w:val="32"/>
          <w:szCs w:val="24"/>
          <w:highlight w:val="none"/>
          <w:lang w:bidi="ar"/>
        </w:rPr>
        <w:t>建立健全城乡统一的建设用地市场，依法稳妥推进工商业用地使用权续期工作，全面深化“亩产效益”综合评价改革，提升土地等资源要素节约集约利用水平。</w:t>
      </w:r>
      <w:r>
        <w:rPr>
          <w:rFonts w:hint="default" w:ascii="Times New Roman" w:hAnsi="Times New Roman" w:cs="Times New Roman"/>
          <w:highlight w:val="none"/>
          <w:lang w:bidi="ar"/>
        </w:rPr>
        <w:t>落实并购、破产、置换等政策，盘活用好低效用地、闲置房产</w:t>
      </w:r>
      <w:r>
        <w:rPr>
          <w:rFonts w:hint="default" w:ascii="Times New Roman" w:hAnsi="Times New Roman" w:cs="Times New Roman"/>
          <w:highlight w:val="none"/>
          <w:lang w:eastAsia="zh-CN" w:bidi="ar"/>
        </w:rPr>
        <w:t>、</w:t>
      </w:r>
      <w:r>
        <w:rPr>
          <w:rFonts w:hint="default" w:ascii="Times New Roman" w:hAnsi="Times New Roman" w:cs="Times New Roman"/>
          <w:highlight w:val="none"/>
          <w:lang w:bidi="ar"/>
        </w:rPr>
        <w:t>存量基础设施。</w:t>
      </w:r>
      <w:r>
        <w:rPr>
          <w:rFonts w:hint="default" w:ascii="Times New Roman" w:hAnsi="Times New Roman" w:eastAsia="仿宋_GB2312" w:cs="Times New Roman"/>
          <w:b w:val="0"/>
          <w:bCs w:val="0"/>
          <w:i w:val="0"/>
          <w:iCs w:val="0"/>
          <w:spacing w:val="0"/>
          <w:sz w:val="32"/>
          <w:szCs w:val="24"/>
          <w:highlight w:val="none"/>
          <w:lang w:bidi="ar"/>
        </w:rPr>
        <w:t>建立健全流动顺畅的劳动力市场，促进劳动力和人才有序流动、合理分布。</w:t>
      </w:r>
      <w:r>
        <w:rPr>
          <w:rFonts w:hint="default" w:ascii="Times New Roman" w:hAnsi="Times New Roman" w:cs="Times New Roman"/>
          <w:highlight w:val="none"/>
          <w:lang w:bidi="ar"/>
        </w:rPr>
        <w:t>编制地方资产负债表，全面摸清存量资源资产底数，优化资产负债结构。推进行政事业单位存量国有资产盘活共享。推动司法判决执行与破产制度有机衔接，依法有效盘活被查封冻结</w:t>
      </w:r>
      <w:r>
        <w:rPr>
          <w:rFonts w:hint="default" w:ascii="Times New Roman" w:hAnsi="Times New Roman" w:cs="Times New Roman"/>
          <w:highlight w:val="none"/>
          <w:lang w:val="en-US" w:eastAsia="zh-CN" w:bidi="ar"/>
        </w:rPr>
        <w:t>的</w:t>
      </w:r>
      <w:r>
        <w:rPr>
          <w:rFonts w:hint="default" w:ascii="Times New Roman" w:hAnsi="Times New Roman" w:cs="Times New Roman"/>
          <w:highlight w:val="none"/>
          <w:lang w:bidi="ar"/>
        </w:rPr>
        <w:t>财产</w:t>
      </w:r>
      <w:r>
        <w:rPr>
          <w:rFonts w:hint="default" w:ascii="Times New Roman" w:hAnsi="Times New Roman" w:cs="Times New Roman"/>
          <w:highlight w:val="none"/>
          <w:lang w:eastAsia="zh-CN" w:bidi="ar"/>
        </w:rPr>
        <w:t>。完善数据交易规则和标准规范，广泛引导和激励各类主体积极参与数据要素开发利用。</w:t>
      </w:r>
    </w:p>
    <w:p w14:paraId="1E13B9E9">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2.</w:t>
      </w:r>
      <w:r>
        <w:rPr>
          <w:rFonts w:hint="default" w:ascii="Times New Roman" w:hAnsi="Times New Roman" w:cs="Times New Roman"/>
          <w:highlight w:val="none"/>
        </w:rPr>
        <w:t>提升经济治理效能</w:t>
      </w:r>
    </w:p>
    <w:p w14:paraId="0577A0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jc w:val="both"/>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lang w:val="en-US" w:eastAsia="zh-CN"/>
        </w:rPr>
        <w:t>强化发展规划战略导向作用。</w:t>
      </w:r>
      <w:r>
        <w:rPr>
          <w:rFonts w:hint="default" w:ascii="Times New Roman" w:hAnsi="Times New Roman" w:eastAsia="仿宋_GB2312" w:cs="Times New Roman"/>
          <w:b w:val="0"/>
          <w:bCs w:val="0"/>
          <w:highlight w:val="none"/>
        </w:rPr>
        <w:t>落实更加积极的宏观政策，发挥产业、价格、就业、消费、投资、贸易、区域、环保、监管等政策作用，促进形成由内需主导、消费拉动、内生增长的经济发展模式，持续稳增长、稳就业、稳预期。系统梳理现有政策体系，增强政策取向一致性，强化政策实施效果评价</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健全预期管理机制</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优化高质量发展综合绩效考核</w:t>
      </w:r>
      <w:r>
        <w:rPr>
          <w:rFonts w:hint="default" w:ascii="Times New Roman" w:hAnsi="Times New Roman" w:cs="Times New Roman"/>
          <w:b w:val="0"/>
          <w:bCs w:val="0"/>
          <w:highlight w:val="none"/>
          <w:lang w:eastAsia="zh-CN"/>
        </w:rPr>
        <w:t>。</w:t>
      </w:r>
    </w:p>
    <w:p w14:paraId="455BE5A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1"/>
        <w:jc w:val="both"/>
        <w:textAlignment w:val="auto"/>
        <w:rPr>
          <w:rFonts w:hint="default" w:ascii="Times New Roman" w:hAnsi="Times New Roman" w:cs="Times New Roman"/>
          <w:b w:val="0"/>
          <w:bCs w:val="0"/>
          <w:kern w:val="2"/>
          <w:sz w:val="32"/>
          <w:szCs w:val="24"/>
          <w:highlight w:val="none"/>
          <w:lang w:val="en-US" w:eastAsia="zh-CN" w:bidi="ar"/>
        </w:rPr>
      </w:pPr>
      <w:r>
        <w:rPr>
          <w:rFonts w:hint="default" w:ascii="Times New Roman" w:hAnsi="Times New Roman" w:cs="Times New Roman"/>
          <w:b w:val="0"/>
          <w:bCs w:val="0"/>
          <w:highlight w:val="none"/>
          <w:lang w:val="en-US" w:eastAsia="zh-CN"/>
        </w:rPr>
        <w:t>深化财税改革。加强财源培植，挖掘潜在税源，扩大政府综合财力。深化全口径收入预算管理，增强预算编制的精准性与严肃性。健全现代预算制度，强化基本民生财力保障。坚持“先有预算、后有支出”，深化零基预算改革与预算绩效管理，提升资金使用效益。加大资产统筹盘活力度，建立低效闲置资产常态化盘活机制。聚焦超长期特别国债、地方政府债券及中央及省预算内资金等政策渠道，建立“政策包+项目库”动态管理机制，提高项目储备质量和资金争取实效。实施新一轮县镇财政体制改革，建立财权事权匹配、激励增收争优的财政管理体制。强化财会监督，构建同高质量发展相适应的政府债务管理机制，有效防范化解地方债务风险，确保财政运行安全稳健。</w:t>
      </w:r>
    </w:p>
    <w:p w14:paraId="2E2B0B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jc w:val="both"/>
        <w:textAlignment w:val="auto"/>
        <w:rPr>
          <w:rFonts w:hint="default" w:ascii="Times New Roman" w:hAnsi="Times New Roman" w:eastAsia="仿宋_GB2312" w:cs="Times New Roman"/>
          <w:b w:val="0"/>
          <w:bCs w:val="0"/>
          <w:highlight w:val="none"/>
        </w:rPr>
      </w:pPr>
      <w:r>
        <w:rPr>
          <w:rFonts w:hint="default" w:ascii="Times New Roman" w:hAnsi="Times New Roman" w:cs="Times New Roman"/>
          <w:b w:val="0"/>
          <w:bCs w:val="0"/>
          <w:highlight w:val="none"/>
          <w:lang w:val="en-US" w:eastAsia="zh-CN"/>
        </w:rPr>
        <w:t>深化金融改革。加强财政金融协同联动，运用“资本补充+风险补偿+财金协作”三</w:t>
      </w:r>
      <w:r>
        <w:rPr>
          <w:rFonts w:hint="default" w:ascii="Times New Roman" w:hAnsi="Times New Roman" w:eastAsia="仿宋_GB2312" w:cs="Times New Roman"/>
          <w:b w:val="0"/>
          <w:bCs w:val="0"/>
          <w:highlight w:val="none"/>
        </w:rPr>
        <w:t>项机制，优化金融供给，推动形成</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财政引导+金融撬动</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的产业赋能新模式。积极发展科技金融、绿色金融、普惠金融、养老金融、数字金融，有序发展直接融资，稳步推进金融创新。优化金融机构体系，推动各类金融机构专注主业、完善治理、错位发展，推进地方中小金融机构改革化险、高质量发展</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严厉打击非法金融活动，全面加强金融监管</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highlight w:val="none"/>
        </w:rPr>
        <w:t>丰富风险处置资源和手段，构建风险防范化解体系，保障金融稳健运行。</w:t>
      </w:r>
      <w:r>
        <w:rPr>
          <w:rFonts w:hint="default" w:ascii="Times New Roman" w:hAnsi="Times New Roman" w:cs="Times New Roman"/>
          <w:b w:val="0"/>
          <w:bCs w:val="0"/>
          <w:highlight w:val="none"/>
          <w:lang w:val="en-US" w:eastAsia="zh-CN"/>
        </w:rPr>
        <w:t>稳妥</w:t>
      </w:r>
      <w:r>
        <w:rPr>
          <w:rFonts w:hint="default" w:ascii="Times New Roman" w:hAnsi="Times New Roman" w:eastAsia="仿宋_GB2312" w:cs="Times New Roman"/>
          <w:b w:val="0"/>
          <w:bCs w:val="0"/>
          <w:highlight w:val="none"/>
        </w:rPr>
        <w:t>推进</w:t>
      </w:r>
      <w:r>
        <w:rPr>
          <w:rFonts w:hint="default" w:ascii="Times New Roman" w:hAnsi="Times New Roman" w:cs="Times New Roman"/>
          <w:b w:val="0"/>
          <w:bCs w:val="0"/>
          <w:highlight w:val="none"/>
          <w:lang w:val="en-US" w:eastAsia="zh-CN"/>
        </w:rPr>
        <w:t>农村金融体制</w:t>
      </w:r>
      <w:r>
        <w:rPr>
          <w:rFonts w:hint="default" w:ascii="Times New Roman" w:hAnsi="Times New Roman" w:eastAsia="仿宋_GB2312" w:cs="Times New Roman"/>
          <w:b w:val="0"/>
          <w:bCs w:val="0"/>
          <w:highlight w:val="none"/>
        </w:rPr>
        <w:t>改革相关工作。</w:t>
      </w:r>
    </w:p>
    <w:p w14:paraId="5F3E0BDC">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3.</w:t>
      </w:r>
      <w:r>
        <w:rPr>
          <w:rFonts w:hint="default" w:ascii="Times New Roman" w:hAnsi="Times New Roman" w:cs="Times New Roman"/>
          <w:highlight w:val="none"/>
        </w:rPr>
        <w:t>深入推进开发区改革创新发展</w:t>
      </w:r>
    </w:p>
    <w:p w14:paraId="00473AE5">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突出沂源经济开发区发展实体经济的主体功能，厘清社会事务管理职能，进一步强化项目建设、招商引资、企业服务等经济发展主责主业，推动沂源经济开发区从“管理者”向“运营商”转变。支持沂源经济开发区以“园中园”为载体，强化产业链协同效应，引导链群头部企业组建产业联盟，搭建公共服务平台，构建“技术攻关—中试转化—规模生产—市场拓展”的服务体系，打造多方参与、优势互补、开放共享的产业生态，推动产业集群从“规模扩张”迈向“价值攀升”。积极推进标准厂房、电子信息产业园、创业大厦等产业发展平台提质增效，扎实开展“腾笼换鸟”，有效推动闲置资产盘活，保障项目落地实施。</w:t>
      </w:r>
    </w:p>
    <w:p w14:paraId="0164FF7A">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default" w:ascii="Times New Roman" w:hAnsi="Times New Roman" w:cs="Times New Roman"/>
          <w:highlight w:val="none"/>
        </w:rPr>
        <w:t>巩固和完善农村基本经营制度</w:t>
      </w:r>
    </w:p>
    <w:p w14:paraId="1202979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1"/>
        <w:jc w:val="left"/>
        <w:textAlignment w:val="auto"/>
        <w:rPr>
          <w:rFonts w:hint="default" w:ascii="Times New Roman" w:hAnsi="Times New Roman" w:cs="Times New Roman"/>
          <w:b w:val="0"/>
          <w:bCs w:val="0"/>
          <w:spacing w:val="6"/>
          <w:kern w:val="2"/>
          <w:sz w:val="32"/>
          <w:szCs w:val="24"/>
          <w:highlight w:val="none"/>
          <w:lang w:bidi="ar"/>
        </w:rPr>
      </w:pPr>
      <w:r>
        <w:rPr>
          <w:rFonts w:hint="default" w:ascii="Times New Roman" w:hAnsi="Times New Roman" w:cs="Times New Roman"/>
          <w:b w:val="0"/>
          <w:bCs w:val="0"/>
          <w:spacing w:val="6"/>
          <w:kern w:val="2"/>
          <w:sz w:val="32"/>
          <w:szCs w:val="24"/>
          <w:highlight w:val="none"/>
          <w:lang w:bidi="ar"/>
        </w:rPr>
        <w:t>有序推进第二轮土地承包到期后再延长三十年试点，深化承包地所有权、承包权、经营权分置改革</w:t>
      </w:r>
      <w:r>
        <w:rPr>
          <w:rFonts w:hint="default" w:ascii="Times New Roman" w:hAnsi="Times New Roman" w:cs="Times New Roman"/>
          <w:b w:val="0"/>
          <w:bCs w:val="0"/>
          <w:spacing w:val="6"/>
          <w:kern w:val="2"/>
          <w:sz w:val="32"/>
          <w:szCs w:val="24"/>
          <w:highlight w:val="none"/>
          <w:lang w:eastAsia="zh-CN" w:bidi="ar"/>
        </w:rPr>
        <w:t>，健全土地经营权流转管理和服务体系。</w:t>
      </w:r>
      <w:r>
        <w:rPr>
          <w:rFonts w:hint="default" w:ascii="Times New Roman" w:hAnsi="Times New Roman" w:cs="Times New Roman"/>
          <w:b w:val="0"/>
          <w:bCs w:val="0"/>
          <w:spacing w:val="6"/>
          <w:kern w:val="2"/>
          <w:sz w:val="32"/>
          <w:szCs w:val="24"/>
          <w:highlight w:val="none"/>
          <w:lang w:bidi="ar"/>
        </w:rPr>
        <w:t>有序推进农村集体经营性建设用地入市、入股联营试点相关改革，</w:t>
      </w:r>
      <w:r>
        <w:rPr>
          <w:rFonts w:hint="default" w:ascii="Times New Roman" w:hAnsi="Times New Roman" w:cs="Times New Roman"/>
          <w:b w:val="0"/>
          <w:bCs w:val="0"/>
          <w:spacing w:val="6"/>
          <w:highlight w:val="none"/>
        </w:rPr>
        <w:t>在符合国土空间规划、用途管制和依法取得的前提下</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rPr>
        <w:t>与国有建设用地同等入市、同权同价</w:t>
      </w:r>
      <w:r>
        <w:rPr>
          <w:rFonts w:hint="default" w:ascii="Times New Roman" w:hAnsi="Times New Roman" w:cs="Times New Roman"/>
          <w:b w:val="0"/>
          <w:bCs w:val="0"/>
          <w:spacing w:val="6"/>
          <w:kern w:val="2"/>
          <w:sz w:val="32"/>
          <w:szCs w:val="24"/>
          <w:highlight w:val="none"/>
          <w:lang w:bidi="ar"/>
        </w:rPr>
        <w:t>，拓展农村集体建设用地使用路径。推广</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联合社+合作社+农户</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果业技术全托管模式，发展多种形式适度规模经营，实现小农户和现代农业发展有机衔接。巩固提升农村集体产权制度改革成果，规范农村集体经济组织及其运行管理、农村产权流转交易</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val="en-US" w:eastAsia="zh-CN" w:bidi="ar"/>
        </w:rPr>
        <w:t>探索资源发包、物业租赁、股份合作等多元化路径，壮大新型农村集体经济，建立符合市场经济要求的集体经济运行新机制。</w:t>
      </w:r>
      <w:r>
        <w:rPr>
          <w:rFonts w:hint="default" w:ascii="Times New Roman" w:hAnsi="Times New Roman" w:cs="Times New Roman"/>
          <w:b w:val="0"/>
          <w:bCs w:val="0"/>
          <w:spacing w:val="6"/>
          <w:kern w:val="2"/>
          <w:sz w:val="32"/>
          <w:szCs w:val="24"/>
          <w:highlight w:val="none"/>
          <w:lang w:bidi="ar"/>
        </w:rPr>
        <w:t>强化宅基地规范管理，探索农户合法拥有的住房通过出租、入股、合作等方式盘活利用的有效实现形式。落实农村产业融合发展和设施农业用地保障政策，保障乡村重点产业和项目合理用地需求。完善集体林地</w:t>
      </w:r>
      <w:r>
        <w:rPr>
          <w:rFonts w:hint="default" w:ascii="Times New Roman" w:hAnsi="Times New Roman" w:cs="Times New Roman"/>
          <w:b w:val="0"/>
          <w:bCs w:val="0"/>
          <w:spacing w:val="6"/>
          <w:kern w:val="2"/>
          <w:sz w:val="32"/>
          <w:szCs w:val="24"/>
          <w:highlight w:val="none"/>
          <w:lang w:eastAsia="zh-CN" w:bidi="ar"/>
        </w:rPr>
        <w:t>“三权”分置</w:t>
      </w:r>
      <w:r>
        <w:rPr>
          <w:rFonts w:hint="default" w:ascii="Times New Roman" w:hAnsi="Times New Roman" w:cs="Times New Roman"/>
          <w:b w:val="0"/>
          <w:bCs w:val="0"/>
          <w:spacing w:val="6"/>
          <w:kern w:val="2"/>
          <w:sz w:val="32"/>
          <w:szCs w:val="24"/>
          <w:highlight w:val="none"/>
          <w:lang w:bidi="ar"/>
        </w:rPr>
        <w:t>工作机制，健全集体林地股权量化等林业经营收益权登记机制。深化国有林场改革</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利用公益林补偿等收益权质押进行融资促进产业发展</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依托国有林场人才、技术和资金优势，探索推广</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场村共建</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等</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国有林场+</w:t>
      </w:r>
      <w:r>
        <w:rPr>
          <w:rFonts w:hint="default" w:ascii="Times New Roman" w:hAnsi="Times New Roman" w:cs="Times New Roman"/>
          <w:b w:val="0"/>
          <w:bCs w:val="0"/>
          <w:spacing w:val="6"/>
          <w:kern w:val="2"/>
          <w:sz w:val="32"/>
          <w:szCs w:val="24"/>
          <w:highlight w:val="none"/>
          <w:lang w:eastAsia="zh-CN" w:bidi="ar"/>
        </w:rPr>
        <w:t>”</w:t>
      </w:r>
      <w:r>
        <w:rPr>
          <w:rFonts w:hint="default" w:ascii="Times New Roman" w:hAnsi="Times New Roman" w:cs="Times New Roman"/>
          <w:b w:val="0"/>
          <w:bCs w:val="0"/>
          <w:spacing w:val="6"/>
          <w:kern w:val="2"/>
          <w:sz w:val="32"/>
          <w:szCs w:val="24"/>
          <w:highlight w:val="none"/>
          <w:lang w:bidi="ar"/>
        </w:rPr>
        <w:t>模式，与联营村集体合作发展林业产业，推动适度规模经营，助力强村富民。</w:t>
      </w:r>
    </w:p>
    <w:p w14:paraId="55B2A5B0">
      <w:pPr>
        <w:pStyle w:val="3"/>
        <w:keepNext/>
        <w:keepLines/>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rPr>
      </w:pPr>
      <w:bookmarkStart w:id="68" w:name="_Toc16912"/>
      <w:r>
        <w:rPr>
          <w:rFonts w:hint="default" w:ascii="Times New Roman" w:hAnsi="Times New Roman" w:cs="Times New Roman"/>
          <w:sz w:val="32"/>
          <w:szCs w:val="22"/>
          <w:highlight w:val="none"/>
          <w:lang w:val="en-US" w:eastAsia="zh-CN"/>
        </w:rPr>
        <w:t>第三节  持续提升对外开放水平</w:t>
      </w:r>
      <w:bookmarkEnd w:id="68"/>
    </w:p>
    <w:p w14:paraId="53100EEB">
      <w:pPr>
        <w:pStyle w:val="4"/>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rPr>
      </w:pPr>
      <w:r>
        <w:rPr>
          <w:rFonts w:hint="default" w:ascii="Times New Roman" w:hAnsi="Times New Roman" w:cs="Times New Roman"/>
          <w:highlight w:val="none"/>
        </w:rPr>
        <w:t>1</w:t>
      </w:r>
      <w:r>
        <w:rPr>
          <w:rFonts w:hint="default" w:ascii="Times New Roman" w:hAnsi="Times New Roman" w:cs="Times New Roman"/>
          <w:highlight w:val="none"/>
          <w:lang w:val="en-US" w:eastAsia="zh-CN"/>
        </w:rPr>
        <w:t>.</w:t>
      </w:r>
      <w:r>
        <w:rPr>
          <w:rFonts w:hint="default" w:ascii="Times New Roman" w:hAnsi="Times New Roman" w:cs="Times New Roman"/>
          <w:highlight w:val="none"/>
        </w:rPr>
        <w:t>进一步融入区域重大发展战略</w:t>
      </w:r>
    </w:p>
    <w:p w14:paraId="4F255457">
      <w:pPr>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b w:val="0"/>
          <w:bCs w:val="0"/>
          <w:highlight w:val="none"/>
          <w:lang w:bidi="ar"/>
        </w:rPr>
      </w:pPr>
      <w:r>
        <w:rPr>
          <w:rFonts w:hint="default" w:ascii="Times New Roman" w:hAnsi="Times New Roman" w:cs="Times New Roman"/>
          <w:b w:val="0"/>
          <w:bCs w:val="0"/>
          <w:highlight w:val="none"/>
          <w:lang w:val="en-US" w:eastAsia="zh-CN"/>
        </w:rPr>
        <w:t>积极融入国家区域战略。充</w:t>
      </w:r>
      <w:r>
        <w:rPr>
          <w:rFonts w:hint="default" w:ascii="Times New Roman" w:hAnsi="Times New Roman" w:eastAsia="仿宋_GB2312" w:cs="Times New Roman"/>
          <w:b w:val="0"/>
          <w:bCs w:val="0"/>
          <w:spacing w:val="6"/>
          <w:kern w:val="2"/>
          <w:sz w:val="32"/>
          <w:szCs w:val="24"/>
          <w:highlight w:val="none"/>
          <w:lang w:val="en-US" w:eastAsia="zh-CN" w:bidi="ar-SA"/>
        </w:rPr>
        <w:t>分发挥沂源</w:t>
      </w:r>
      <w:r>
        <w:rPr>
          <w:rFonts w:hint="default" w:ascii="Times New Roman" w:hAnsi="Times New Roman" w:cs="Times New Roman"/>
          <w:b w:val="0"/>
          <w:bCs w:val="0"/>
          <w:spacing w:val="6"/>
          <w:kern w:val="2"/>
          <w:sz w:val="32"/>
          <w:szCs w:val="24"/>
          <w:highlight w:val="none"/>
          <w:lang w:val="en-US" w:eastAsia="zh-CN" w:bidi="ar-SA"/>
        </w:rPr>
        <w:t>县</w:t>
      </w:r>
      <w:r>
        <w:rPr>
          <w:rFonts w:hint="default" w:ascii="Times New Roman" w:hAnsi="Times New Roman" w:eastAsia="仿宋_GB2312" w:cs="Times New Roman"/>
          <w:b w:val="0"/>
          <w:bCs w:val="0"/>
          <w:spacing w:val="6"/>
          <w:kern w:val="2"/>
          <w:sz w:val="32"/>
          <w:szCs w:val="24"/>
          <w:highlight w:val="none"/>
          <w:lang w:val="en-US" w:eastAsia="zh-CN" w:bidi="ar-SA"/>
        </w:rPr>
        <w:t>生态空间大、产业基础好、劳动力成本低等优势，深化与共建“一带一路”国家在经贸、人文交流、文旅等方面务实合作</w:t>
      </w:r>
      <w:r>
        <w:rPr>
          <w:rFonts w:hint="default" w:ascii="Times New Roman" w:hAnsi="Times New Roman" w:cs="Times New Roman"/>
          <w:b w:val="0"/>
          <w:bCs w:val="0"/>
          <w:spacing w:val="6"/>
          <w:kern w:val="2"/>
          <w:sz w:val="32"/>
          <w:szCs w:val="24"/>
          <w:highlight w:val="none"/>
          <w:lang w:val="en-US" w:eastAsia="zh-CN" w:bidi="ar-SA"/>
        </w:rPr>
        <w:t>，</w:t>
      </w:r>
      <w:r>
        <w:rPr>
          <w:rFonts w:hint="default" w:ascii="Times New Roman" w:hAnsi="Times New Roman" w:eastAsia="仿宋_GB2312" w:cs="Times New Roman"/>
          <w:b w:val="0"/>
          <w:bCs w:val="0"/>
          <w:spacing w:val="6"/>
          <w:kern w:val="2"/>
          <w:sz w:val="32"/>
          <w:szCs w:val="24"/>
          <w:highlight w:val="none"/>
          <w:lang w:val="en-US" w:eastAsia="zh-CN" w:bidi="ar-SA"/>
        </w:rPr>
        <w:t>积极融入京津冀、长三角和粤港澳大湾区等国家重大区域发展战略，全面放大优势产业辐射带动效应，通过城对城、城对企或企对企等合作方式，积极承接一批产业转移项目，全力推动沂源经济开发区创建承接产业转移示范区和产业转型升级示范区。借势借力</w:t>
      </w:r>
      <w:r>
        <w:rPr>
          <w:rFonts w:hint="default" w:ascii="Times New Roman" w:hAnsi="Times New Roman" w:cs="Times New Roman"/>
          <w:b w:val="0"/>
          <w:bCs w:val="0"/>
          <w:spacing w:val="6"/>
          <w:kern w:val="2"/>
          <w:sz w:val="32"/>
          <w:szCs w:val="24"/>
          <w:highlight w:val="none"/>
          <w:lang w:val="en-US" w:eastAsia="zh-CN" w:bidi="ar-SA"/>
        </w:rPr>
        <w:t>中国—</w:t>
      </w:r>
      <w:r>
        <w:rPr>
          <w:rFonts w:hint="default" w:ascii="Times New Roman" w:hAnsi="Times New Roman" w:eastAsia="仿宋_GB2312" w:cs="Times New Roman"/>
          <w:b w:val="0"/>
          <w:bCs w:val="0"/>
          <w:spacing w:val="6"/>
          <w:kern w:val="2"/>
          <w:sz w:val="32"/>
          <w:szCs w:val="24"/>
          <w:highlight w:val="none"/>
          <w:lang w:val="en-US" w:eastAsia="zh-CN" w:bidi="ar-SA"/>
        </w:rPr>
        <w:t>上合组织地方经贸合作示范区、中国</w:t>
      </w:r>
      <w:r>
        <w:rPr>
          <w:rFonts w:hint="default" w:ascii="Times New Roman" w:hAnsi="Times New Roman" w:cs="Times New Roman"/>
          <w:b w:val="0"/>
          <w:bCs w:val="0"/>
          <w:spacing w:val="6"/>
          <w:kern w:val="2"/>
          <w:sz w:val="32"/>
          <w:szCs w:val="24"/>
          <w:highlight w:val="none"/>
          <w:lang w:val="en-US" w:eastAsia="zh-CN" w:bidi="ar-SA"/>
        </w:rPr>
        <w:t>（</w:t>
      </w:r>
      <w:r>
        <w:rPr>
          <w:rFonts w:hint="default" w:ascii="Times New Roman" w:hAnsi="Times New Roman" w:eastAsia="仿宋_GB2312" w:cs="Times New Roman"/>
          <w:b w:val="0"/>
          <w:bCs w:val="0"/>
          <w:spacing w:val="6"/>
          <w:kern w:val="2"/>
          <w:sz w:val="32"/>
          <w:szCs w:val="24"/>
          <w:highlight w:val="none"/>
          <w:lang w:val="en-US" w:eastAsia="zh-CN" w:bidi="ar-SA"/>
        </w:rPr>
        <w:t>山东</w:t>
      </w:r>
      <w:r>
        <w:rPr>
          <w:rFonts w:hint="default" w:ascii="Times New Roman" w:hAnsi="Times New Roman" w:cs="Times New Roman"/>
          <w:b w:val="0"/>
          <w:bCs w:val="0"/>
          <w:spacing w:val="6"/>
          <w:kern w:val="2"/>
          <w:sz w:val="32"/>
          <w:szCs w:val="24"/>
          <w:highlight w:val="none"/>
          <w:lang w:val="en-US" w:eastAsia="zh-CN" w:bidi="ar-SA"/>
        </w:rPr>
        <w:t>）</w:t>
      </w:r>
      <w:r>
        <w:rPr>
          <w:rFonts w:hint="default" w:ascii="Times New Roman" w:hAnsi="Times New Roman" w:eastAsia="仿宋_GB2312" w:cs="Times New Roman"/>
          <w:b w:val="0"/>
          <w:bCs w:val="0"/>
          <w:spacing w:val="6"/>
          <w:kern w:val="2"/>
          <w:sz w:val="32"/>
          <w:szCs w:val="24"/>
          <w:highlight w:val="none"/>
          <w:lang w:val="en-US" w:eastAsia="zh-CN" w:bidi="ar-SA"/>
        </w:rPr>
        <w:t>自贸试验区和山东</w:t>
      </w:r>
      <w:r>
        <w:rPr>
          <w:rFonts w:hint="default" w:ascii="Times New Roman" w:hAnsi="Times New Roman" w:cs="Times New Roman"/>
          <w:b w:val="0"/>
          <w:bCs w:val="0"/>
          <w:spacing w:val="6"/>
          <w:kern w:val="2"/>
          <w:sz w:val="32"/>
          <w:szCs w:val="24"/>
          <w:highlight w:val="none"/>
          <w:lang w:val="en-US" w:eastAsia="zh-CN" w:bidi="ar-SA"/>
        </w:rPr>
        <w:t>省</w:t>
      </w:r>
      <w:r>
        <w:rPr>
          <w:rFonts w:hint="default" w:ascii="Times New Roman" w:hAnsi="Times New Roman" w:eastAsia="仿宋_GB2312" w:cs="Times New Roman"/>
          <w:b w:val="0"/>
          <w:bCs w:val="0"/>
          <w:spacing w:val="6"/>
          <w:kern w:val="2"/>
          <w:sz w:val="32"/>
          <w:szCs w:val="24"/>
          <w:highlight w:val="none"/>
          <w:lang w:val="en-US" w:eastAsia="zh-CN" w:bidi="ar-SA"/>
        </w:rPr>
        <w:t>绿色低碳高质量发展先行区建设，链接优质要素资源，承接“三区”溢出资源</w:t>
      </w:r>
      <w:r>
        <w:rPr>
          <w:rFonts w:hint="default" w:ascii="Times New Roman" w:hAnsi="Times New Roman" w:cs="Times New Roman"/>
          <w:b w:val="0"/>
          <w:bCs w:val="0"/>
          <w:spacing w:val="6"/>
          <w:kern w:val="2"/>
          <w:sz w:val="32"/>
          <w:szCs w:val="24"/>
          <w:highlight w:val="none"/>
          <w:lang w:val="en-US" w:eastAsia="zh-CN" w:bidi="ar-SA"/>
        </w:rPr>
        <w:t>，</w:t>
      </w:r>
      <w:r>
        <w:rPr>
          <w:rFonts w:hint="default" w:ascii="Times New Roman" w:hAnsi="Times New Roman" w:eastAsia="仿宋_GB2312" w:cs="Times New Roman"/>
          <w:b w:val="0"/>
          <w:bCs w:val="0"/>
          <w:spacing w:val="6"/>
          <w:kern w:val="2"/>
          <w:sz w:val="32"/>
          <w:szCs w:val="24"/>
          <w:highlight w:val="none"/>
          <w:lang w:val="en-US" w:eastAsia="zh-CN" w:bidi="ar-SA"/>
        </w:rPr>
        <w:t>用好用足中央和省新时代支持沂蒙革命老区振兴发展、推动黄河流域生态保护和高质量发展、省财政直管县等系列政策。</w:t>
      </w:r>
    </w:p>
    <w:p w14:paraId="6069A0A6">
      <w:pPr>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b w:val="0"/>
          <w:bCs w:val="0"/>
          <w:highlight w:val="none"/>
          <w:lang w:bidi="ar"/>
        </w:rPr>
      </w:pPr>
      <w:r>
        <w:rPr>
          <w:rFonts w:hint="default" w:ascii="Times New Roman" w:hAnsi="Times New Roman" w:cs="Times New Roman"/>
          <w:b w:val="0"/>
          <w:bCs w:val="0"/>
          <w:highlight w:val="none"/>
          <w:lang w:val="en-US" w:eastAsia="zh-CN"/>
        </w:rPr>
        <w:t>全面</w:t>
      </w:r>
      <w:r>
        <w:rPr>
          <w:rFonts w:hint="default" w:ascii="Times New Roman" w:hAnsi="Times New Roman" w:cs="Times New Roman"/>
          <w:b w:val="0"/>
          <w:bCs w:val="0"/>
          <w:spacing w:val="6"/>
          <w:sz w:val="32"/>
          <w:highlight w:val="none"/>
          <w:lang w:val="en-US" w:eastAsia="zh-CN"/>
        </w:rPr>
        <w:t>参与省级区域战略。</w:t>
      </w:r>
      <w:r>
        <w:rPr>
          <w:rFonts w:hint="default" w:ascii="Times New Roman" w:hAnsi="Times New Roman" w:cs="Times New Roman"/>
          <w:b w:val="0"/>
          <w:bCs w:val="0"/>
          <w:color w:val="auto"/>
          <w:spacing w:val="6"/>
          <w:sz w:val="32"/>
          <w:highlight w:val="none"/>
          <w:lang w:val="en-US" w:eastAsia="zh-CN" w:bidi="ar"/>
        </w:rPr>
        <w:t>发挥</w:t>
      </w:r>
      <w:r>
        <w:rPr>
          <w:rFonts w:hint="eastAsia" w:ascii="Times New Roman" w:hAnsi="Times New Roman" w:cs="Times New Roman"/>
          <w:b w:val="0"/>
          <w:bCs w:val="0"/>
          <w:color w:val="auto"/>
          <w:spacing w:val="6"/>
          <w:sz w:val="32"/>
          <w:highlight w:val="none"/>
          <w:lang w:eastAsia="zh-CN" w:bidi="ar"/>
        </w:rPr>
        <w:t>我</w:t>
      </w:r>
      <w:r>
        <w:rPr>
          <w:rFonts w:hint="default" w:ascii="Times New Roman" w:hAnsi="Times New Roman" w:cs="Times New Roman"/>
          <w:b w:val="0"/>
          <w:bCs w:val="0"/>
          <w:color w:val="auto"/>
          <w:spacing w:val="6"/>
          <w:sz w:val="32"/>
          <w:highlight w:val="none"/>
          <w:lang w:val="en-US" w:eastAsia="zh-CN" w:bidi="ar"/>
        </w:rPr>
        <w:t>县</w:t>
      </w:r>
      <w:r>
        <w:rPr>
          <w:rFonts w:hint="eastAsia" w:ascii="Times New Roman" w:hAnsi="Times New Roman" w:cs="Times New Roman"/>
          <w:b w:val="0"/>
          <w:bCs w:val="0"/>
          <w:color w:val="auto"/>
          <w:spacing w:val="6"/>
          <w:sz w:val="32"/>
          <w:highlight w:val="none"/>
          <w:lang w:val="en-US" w:eastAsia="zh-CN" w:bidi="ar"/>
        </w:rPr>
        <w:t>地处山东省几何中心的区位优势</w:t>
      </w:r>
      <w:r>
        <w:rPr>
          <w:rFonts w:hint="default" w:ascii="Times New Roman" w:hAnsi="Times New Roman" w:cs="Times New Roman"/>
          <w:b w:val="0"/>
          <w:bCs w:val="0"/>
          <w:color w:val="auto"/>
          <w:spacing w:val="6"/>
          <w:sz w:val="32"/>
          <w:highlight w:val="none"/>
          <w:lang w:eastAsia="zh-CN" w:bidi="ar"/>
        </w:rPr>
        <w:t>，</w:t>
      </w:r>
      <w:r>
        <w:rPr>
          <w:rFonts w:hint="default" w:ascii="Times New Roman" w:hAnsi="Times New Roman" w:cs="Times New Roman"/>
          <w:b w:val="0"/>
          <w:bCs w:val="0"/>
          <w:color w:val="auto"/>
          <w:spacing w:val="6"/>
          <w:sz w:val="32"/>
          <w:highlight w:val="none"/>
          <w:lang w:bidi="ar"/>
        </w:rPr>
        <w:t>积极主动融入省会、</w:t>
      </w:r>
      <w:r>
        <w:rPr>
          <w:rFonts w:hint="default" w:ascii="Times New Roman" w:hAnsi="Times New Roman" w:cs="Times New Roman"/>
          <w:b w:val="0"/>
          <w:bCs w:val="0"/>
          <w:spacing w:val="6"/>
          <w:sz w:val="32"/>
          <w:highlight w:val="none"/>
          <w:lang w:bidi="ar"/>
        </w:rPr>
        <w:t>鲁南、胶东三大经济圈一体化发展，</w:t>
      </w:r>
      <w:r>
        <w:rPr>
          <w:rFonts w:hint="default" w:ascii="Times New Roman" w:hAnsi="Times New Roman" w:cs="Times New Roman"/>
          <w:b w:val="0"/>
          <w:bCs w:val="0"/>
          <w:spacing w:val="6"/>
          <w:sz w:val="32"/>
          <w:highlight w:val="none"/>
          <w:lang w:val="en-US" w:eastAsia="zh-CN" w:bidi="ar"/>
        </w:rPr>
        <w:t>推动</w:t>
      </w:r>
      <w:r>
        <w:rPr>
          <w:rFonts w:hint="default" w:ascii="Times New Roman" w:hAnsi="Times New Roman" w:cs="Times New Roman"/>
          <w:b w:val="0"/>
          <w:bCs w:val="0"/>
          <w:spacing w:val="6"/>
          <w:sz w:val="32"/>
          <w:highlight w:val="none"/>
          <w:lang w:bidi="ar"/>
        </w:rPr>
        <w:t>形成“北跨</w:t>
      </w:r>
      <w:r>
        <w:rPr>
          <w:rFonts w:hint="default" w:ascii="Times New Roman" w:hAnsi="Times New Roman" w:cs="Times New Roman"/>
          <w:b w:val="0"/>
          <w:bCs w:val="0"/>
          <w:spacing w:val="6"/>
          <w:sz w:val="32"/>
          <w:highlight w:val="none"/>
          <w:lang w:eastAsia="zh-CN" w:bidi="ar"/>
        </w:rPr>
        <w:t>—</w:t>
      </w:r>
      <w:r>
        <w:rPr>
          <w:rFonts w:hint="default" w:ascii="Times New Roman" w:hAnsi="Times New Roman" w:cs="Times New Roman"/>
          <w:b w:val="0"/>
          <w:bCs w:val="0"/>
          <w:spacing w:val="6"/>
          <w:sz w:val="32"/>
          <w:highlight w:val="none"/>
          <w:lang w:bidi="ar"/>
        </w:rPr>
        <w:t>中联</w:t>
      </w:r>
      <w:r>
        <w:rPr>
          <w:rFonts w:hint="default" w:ascii="Times New Roman" w:hAnsi="Times New Roman" w:cs="Times New Roman"/>
          <w:b w:val="0"/>
          <w:bCs w:val="0"/>
          <w:spacing w:val="6"/>
          <w:sz w:val="32"/>
          <w:highlight w:val="none"/>
          <w:lang w:eastAsia="zh-CN" w:bidi="ar"/>
        </w:rPr>
        <w:t>—</w:t>
      </w:r>
      <w:r>
        <w:rPr>
          <w:rFonts w:hint="default" w:ascii="Times New Roman" w:hAnsi="Times New Roman" w:cs="Times New Roman"/>
          <w:b w:val="0"/>
          <w:bCs w:val="0"/>
          <w:spacing w:val="6"/>
          <w:sz w:val="32"/>
          <w:highlight w:val="none"/>
          <w:lang w:bidi="ar"/>
        </w:rPr>
        <w:t>南通”的济淄同城化发展格局，打造“济南后花园”</w:t>
      </w:r>
      <w:r>
        <w:rPr>
          <w:rFonts w:hint="default" w:ascii="Times New Roman" w:hAnsi="Times New Roman" w:cs="Times New Roman"/>
          <w:b w:val="0"/>
          <w:bCs w:val="0"/>
          <w:spacing w:val="6"/>
          <w:sz w:val="32"/>
          <w:highlight w:val="none"/>
          <w:lang w:eastAsia="zh-CN" w:bidi="ar"/>
        </w:rPr>
        <w:t>“</w:t>
      </w:r>
      <w:r>
        <w:rPr>
          <w:rFonts w:hint="default" w:ascii="Times New Roman" w:hAnsi="Times New Roman" w:cs="Times New Roman"/>
          <w:b w:val="0"/>
          <w:bCs w:val="0"/>
          <w:spacing w:val="6"/>
          <w:sz w:val="32"/>
          <w:highlight w:val="none"/>
          <w:lang w:bidi="ar"/>
        </w:rPr>
        <w:t>鲁南一家亲”“胶东纵深地”。以落实黄河流域生态保护和高质量发展重大国家战略为抓手，加强与黄河流域城市联动，在生态保护、基础设施建设、产业合作等方面争取政策和资金支持，打造黄河流域生态保护和高质量发展示范区。深化东西部协作机制，加强与重庆市石柱土家族自治县在产业合作、生态保护、乡村振兴、新质生产力培育、对外开放等领域合作。</w:t>
      </w:r>
    </w:p>
    <w:p w14:paraId="34B15DF9">
      <w:pPr>
        <w:pStyle w:val="4"/>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2</w:t>
      </w:r>
      <w:r>
        <w:rPr>
          <w:rFonts w:hint="default" w:ascii="Times New Roman" w:hAnsi="Times New Roman" w:cs="Times New Roman"/>
          <w:spacing w:val="6"/>
          <w:sz w:val="32"/>
          <w:highlight w:val="none"/>
          <w:lang w:val="en-US" w:eastAsia="zh-CN"/>
        </w:rPr>
        <w:t>.</w:t>
      </w:r>
      <w:r>
        <w:rPr>
          <w:rFonts w:hint="default" w:ascii="Times New Roman" w:hAnsi="Times New Roman" w:cs="Times New Roman"/>
          <w:spacing w:val="6"/>
          <w:sz w:val="32"/>
          <w:highlight w:val="none"/>
        </w:rPr>
        <w:t>推动</w:t>
      </w:r>
      <w:r>
        <w:rPr>
          <w:rFonts w:hint="default" w:ascii="Times New Roman" w:hAnsi="Times New Roman" w:cs="Times New Roman"/>
          <w:spacing w:val="6"/>
          <w:sz w:val="32"/>
          <w:highlight w:val="none"/>
          <w:lang w:val="en-US" w:eastAsia="zh-CN"/>
        </w:rPr>
        <w:t>外贸外资</w:t>
      </w:r>
      <w:r>
        <w:rPr>
          <w:rFonts w:hint="default" w:ascii="Times New Roman" w:hAnsi="Times New Roman" w:cs="Times New Roman"/>
          <w:spacing w:val="6"/>
          <w:sz w:val="32"/>
          <w:highlight w:val="none"/>
        </w:rPr>
        <w:t>创新发展</w:t>
      </w:r>
    </w:p>
    <w:p w14:paraId="38ED3FBE">
      <w:pPr>
        <w:keepNext w:val="0"/>
        <w:keepLines w:val="0"/>
        <w:pageBreakBefore w:val="0"/>
        <w:widowControl/>
        <w:kinsoku/>
        <w:wordWrap/>
        <w:overflowPunct/>
        <w:topLinePunct w:val="0"/>
        <w:autoSpaceDE/>
        <w:autoSpaceDN/>
        <w:bidi w:val="0"/>
        <w:adjustRightInd/>
        <w:snapToGrid/>
        <w:spacing w:line="580" w:lineRule="exact"/>
        <w:ind w:firstLine="664" w:firstLineChars="200"/>
        <w:jc w:val="both"/>
        <w:textAlignment w:val="auto"/>
        <w:outlineLvl w:val="9"/>
        <w:rPr>
          <w:rFonts w:hint="default" w:ascii="Times New Roman" w:hAnsi="Times New Roman" w:cs="Times New Roman"/>
          <w:highlight w:val="none"/>
          <w:lang w:bidi="ar"/>
        </w:rPr>
      </w:pPr>
      <w:r>
        <w:rPr>
          <w:rFonts w:hint="default" w:ascii="Times New Roman" w:hAnsi="Times New Roman" w:cs="Times New Roman"/>
          <w:b w:val="0"/>
          <w:bCs w:val="0"/>
          <w:spacing w:val="6"/>
          <w:sz w:val="32"/>
          <w:highlight w:val="none"/>
          <w:lang w:bidi="ar"/>
        </w:rPr>
        <w:t>深入开展“好品山东 鲁贸全球”市场开拓行动，全力稳住欧美日韩等传统市场，大力拓展东盟、拉美、非洲、中亚、中东欧、“一带一路”沿线国家等新兴市场，进一步扩大医药及医药包装产品、节能环保产品、绿色低碳产品等出口规模。依托乌中</w:t>
      </w:r>
      <w:r>
        <w:rPr>
          <w:rFonts w:hint="default" w:ascii="Times New Roman" w:hAnsi="Times New Roman" w:cs="Times New Roman"/>
          <w:b w:val="0"/>
          <w:bCs w:val="0"/>
          <w:spacing w:val="6"/>
          <w:sz w:val="32"/>
          <w:highlight w:val="none"/>
          <w:lang w:val="en-US" w:eastAsia="zh-CN" w:bidi="ar"/>
        </w:rPr>
        <w:t>贸易</w:t>
      </w:r>
      <w:r>
        <w:rPr>
          <w:rFonts w:hint="default" w:ascii="Times New Roman" w:hAnsi="Times New Roman" w:cs="Times New Roman"/>
          <w:b w:val="0"/>
          <w:bCs w:val="0"/>
          <w:spacing w:val="6"/>
          <w:sz w:val="32"/>
          <w:highlight w:val="none"/>
          <w:lang w:bidi="ar"/>
        </w:rPr>
        <w:t>协会等商会</w:t>
      </w:r>
      <w:r>
        <w:rPr>
          <w:rFonts w:hint="default" w:ascii="Times New Roman" w:hAnsi="Times New Roman" w:cs="Times New Roman"/>
          <w:b w:val="0"/>
          <w:bCs w:val="0"/>
          <w:spacing w:val="6"/>
          <w:sz w:val="32"/>
          <w:highlight w:val="none"/>
          <w:lang w:val="en-US" w:eastAsia="zh-CN" w:bidi="ar"/>
        </w:rPr>
        <w:t>组织</w:t>
      </w:r>
      <w:r>
        <w:rPr>
          <w:rFonts w:hint="default" w:ascii="Times New Roman" w:hAnsi="Times New Roman" w:cs="Times New Roman"/>
          <w:b w:val="0"/>
          <w:bCs w:val="0"/>
          <w:spacing w:val="6"/>
          <w:sz w:val="32"/>
          <w:highlight w:val="none"/>
          <w:lang w:bidi="ar"/>
        </w:rPr>
        <w:t>，组织</w:t>
      </w:r>
      <w:r>
        <w:rPr>
          <w:rFonts w:hint="default" w:ascii="Times New Roman" w:hAnsi="Times New Roman" w:cs="Times New Roman"/>
          <w:b w:val="0"/>
          <w:bCs w:val="0"/>
          <w:spacing w:val="6"/>
          <w:sz w:val="32"/>
          <w:highlight w:val="none"/>
          <w:lang w:val="en-US" w:eastAsia="zh-CN" w:bidi="ar"/>
        </w:rPr>
        <w:t>相关</w:t>
      </w:r>
      <w:r>
        <w:rPr>
          <w:rFonts w:hint="default" w:ascii="Times New Roman" w:hAnsi="Times New Roman" w:cs="Times New Roman"/>
          <w:b w:val="0"/>
          <w:bCs w:val="0"/>
          <w:spacing w:val="6"/>
          <w:sz w:val="32"/>
          <w:highlight w:val="none"/>
          <w:lang w:bidi="ar"/>
        </w:rPr>
        <w:t>企业“走出去”，推动优质产品“出海”和双向投资协同并进</w:t>
      </w:r>
      <w:r>
        <w:rPr>
          <w:rFonts w:hint="default" w:ascii="Times New Roman" w:hAnsi="Times New Roman" w:cs="Times New Roman"/>
          <w:b w:val="0"/>
          <w:bCs w:val="0"/>
          <w:spacing w:val="6"/>
          <w:sz w:val="32"/>
          <w:highlight w:val="none"/>
          <w:lang w:eastAsia="zh-CN" w:bidi="ar"/>
        </w:rPr>
        <w:t>，引导优势产业在海外布局研发、生产、营销、服务等功能型机构</w:t>
      </w:r>
      <w:r>
        <w:rPr>
          <w:rFonts w:hint="default" w:ascii="Times New Roman" w:hAnsi="Times New Roman" w:cs="Times New Roman"/>
          <w:b w:val="0"/>
          <w:bCs w:val="0"/>
          <w:spacing w:val="6"/>
          <w:sz w:val="32"/>
          <w:highlight w:val="none"/>
          <w:lang w:bidi="ar"/>
        </w:rPr>
        <w:t>。</w:t>
      </w:r>
      <w:r>
        <w:rPr>
          <w:rFonts w:hint="default" w:ascii="Times New Roman" w:hAnsi="Times New Roman" w:eastAsia="仿宋_GB2312" w:cs="Times New Roman"/>
          <w:spacing w:val="6"/>
          <w:sz w:val="32"/>
          <w:szCs w:val="32"/>
          <w:highlight w:val="none"/>
          <w:lang w:val="en-US" w:eastAsia="zh-CN"/>
        </w:rPr>
        <w:t>加快推进外贸平台引育，提升县域外贸整体规模和抗风险能力。</w:t>
      </w:r>
      <w:r>
        <w:rPr>
          <w:rFonts w:hint="default" w:ascii="Times New Roman" w:hAnsi="Times New Roman" w:cs="Times New Roman"/>
          <w:b w:val="0"/>
          <w:bCs w:val="0"/>
          <w:spacing w:val="6"/>
          <w:sz w:val="32"/>
          <w:highlight w:val="none"/>
          <w:lang w:val="en-US" w:eastAsia="zh-CN"/>
        </w:rPr>
        <w:t>大力实施“联动出海”行动，</w:t>
      </w:r>
      <w:r>
        <w:rPr>
          <w:rFonts w:hint="default" w:ascii="Times New Roman" w:hAnsi="Times New Roman" w:cs="Times New Roman"/>
          <w:b w:val="0"/>
          <w:bCs w:val="0"/>
          <w:spacing w:val="6"/>
          <w:sz w:val="32"/>
          <w:highlight w:val="none"/>
          <w:lang w:bidi="ar"/>
        </w:rPr>
        <w:t>支持企业通过跨境电商、海外仓、中间品贸易等新渠道扩大外贸出口，精准孵化小微外贸企业。大力推动优势产品国际认证，通过龙头引领、政策扶持，做强外贸主体，补齐外贸短板</w:t>
      </w:r>
      <w:r>
        <w:rPr>
          <w:rFonts w:hint="default" w:ascii="Times New Roman" w:hAnsi="Times New Roman" w:cs="Times New Roman"/>
          <w:b w:val="0"/>
          <w:bCs w:val="0"/>
          <w:spacing w:val="6"/>
          <w:sz w:val="32"/>
          <w:highlight w:val="none"/>
          <w:lang w:eastAsia="zh-CN" w:bidi="ar"/>
        </w:rPr>
        <w:t>，</w:t>
      </w:r>
      <w:r>
        <w:rPr>
          <w:rFonts w:hint="default" w:ascii="Times New Roman" w:hAnsi="Times New Roman" w:cs="Times New Roman"/>
          <w:b w:val="0"/>
          <w:bCs w:val="0"/>
          <w:spacing w:val="6"/>
          <w:sz w:val="32"/>
          <w:highlight w:val="none"/>
          <w:lang w:bidi="ar"/>
        </w:rPr>
        <w:t>提高市场占有率。全面精准摸清大中小外贸企业需求，组织企业参加进博会、广交会等线上线下展会活动，优化从参展准备、展位搭建、物流运输到后续跟进的一站式跟踪服务，助力企业产品宣介和市场开拓。顺应“出口转内销”政策导向，积极链接各类商协会等资源，拓宽国内市场渠道。探索建立海外综合服务中心</w:t>
      </w:r>
      <w:r>
        <w:rPr>
          <w:rFonts w:hint="default" w:ascii="Times New Roman" w:hAnsi="Times New Roman" w:cs="Times New Roman"/>
          <w:b w:val="0"/>
          <w:bCs w:val="0"/>
          <w:spacing w:val="6"/>
          <w:sz w:val="32"/>
          <w:highlight w:val="none"/>
          <w:lang w:eastAsia="zh-CN" w:bidi="ar"/>
        </w:rPr>
        <w:t>，</w:t>
      </w:r>
      <w:r>
        <w:rPr>
          <w:rFonts w:hint="default" w:ascii="Times New Roman" w:hAnsi="Times New Roman" w:eastAsia="仿宋_GB2312" w:cs="Times New Roman"/>
          <w:spacing w:val="6"/>
          <w:sz w:val="32"/>
          <w:szCs w:val="32"/>
          <w:highlight w:val="none"/>
          <w:lang w:val="en-US" w:eastAsia="zh-CN"/>
        </w:rPr>
        <w:t>构建集政策咨询、业务培训、资源链接、展会推介为一体的集成性县级“出海”服务平台</w:t>
      </w:r>
      <w:r>
        <w:rPr>
          <w:rFonts w:hint="default" w:ascii="Times New Roman" w:hAnsi="Times New Roman" w:cs="Times New Roman"/>
          <w:b w:val="0"/>
          <w:bCs w:val="0"/>
          <w:spacing w:val="6"/>
          <w:sz w:val="32"/>
          <w:highlight w:val="none"/>
          <w:lang w:bidi="ar"/>
        </w:rPr>
        <w:t>。加强与国药</w:t>
      </w:r>
      <w:r>
        <w:rPr>
          <w:rFonts w:hint="default" w:ascii="Times New Roman" w:hAnsi="Times New Roman" w:cs="Times New Roman"/>
          <w:b w:val="0"/>
          <w:bCs w:val="0"/>
          <w:spacing w:val="6"/>
          <w:sz w:val="32"/>
          <w:highlight w:val="none"/>
          <w:lang w:val="en-US" w:eastAsia="zh-CN" w:bidi="ar"/>
        </w:rPr>
        <w:t>集团的</w:t>
      </w:r>
      <w:r>
        <w:rPr>
          <w:rFonts w:hint="default" w:ascii="Times New Roman" w:hAnsi="Times New Roman" w:cs="Times New Roman"/>
          <w:b w:val="0"/>
          <w:bCs w:val="0"/>
          <w:spacing w:val="6"/>
          <w:sz w:val="32"/>
          <w:highlight w:val="none"/>
          <w:lang w:bidi="ar"/>
        </w:rPr>
        <w:t>国际</w:t>
      </w:r>
      <w:r>
        <w:rPr>
          <w:rFonts w:hint="default" w:ascii="Times New Roman" w:hAnsi="Times New Roman" w:cs="Times New Roman"/>
          <w:b w:val="0"/>
          <w:bCs w:val="0"/>
          <w:spacing w:val="6"/>
          <w:sz w:val="32"/>
          <w:highlight w:val="none"/>
          <w:lang w:val="en-US" w:eastAsia="zh-CN" w:bidi="ar"/>
        </w:rPr>
        <w:t>化</w:t>
      </w:r>
      <w:r>
        <w:rPr>
          <w:rFonts w:hint="default" w:ascii="Times New Roman" w:hAnsi="Times New Roman" w:cs="Times New Roman"/>
          <w:b w:val="0"/>
          <w:bCs w:val="0"/>
          <w:spacing w:val="6"/>
          <w:sz w:val="32"/>
          <w:highlight w:val="none"/>
          <w:lang w:bidi="ar"/>
        </w:rPr>
        <w:t>合作，争取新投项目</w:t>
      </w:r>
      <w:r>
        <w:rPr>
          <w:rFonts w:hint="default" w:ascii="Times New Roman" w:hAnsi="Times New Roman" w:cs="Times New Roman"/>
          <w:b w:val="0"/>
          <w:bCs w:val="0"/>
          <w:spacing w:val="6"/>
          <w:sz w:val="32"/>
          <w:highlight w:val="none"/>
          <w:lang w:val="en-US" w:bidi="ar"/>
        </w:rPr>
        <w:t>配比</w:t>
      </w:r>
      <w:r>
        <w:rPr>
          <w:rFonts w:hint="default" w:ascii="Times New Roman" w:hAnsi="Times New Roman" w:cs="Times New Roman"/>
          <w:b w:val="0"/>
          <w:bCs w:val="0"/>
          <w:spacing w:val="6"/>
          <w:sz w:val="32"/>
          <w:highlight w:val="none"/>
          <w:lang w:bidi="ar"/>
        </w:rPr>
        <w:t>外资。探索成立QFLP基金，扩大外资来源渠道</w:t>
      </w:r>
      <w:r>
        <w:rPr>
          <w:rFonts w:hint="default" w:ascii="Times New Roman" w:hAnsi="Times New Roman" w:cs="Times New Roman"/>
          <w:b w:val="0"/>
          <w:bCs w:val="0"/>
          <w:spacing w:val="6"/>
          <w:sz w:val="32"/>
          <w:highlight w:val="none"/>
          <w:lang w:eastAsia="zh-CN" w:bidi="ar"/>
        </w:rPr>
        <w:t>。</w:t>
      </w:r>
    </w:p>
    <w:bookmarkEnd w:id="10"/>
    <w:bookmarkEnd w:id="49"/>
    <w:p w14:paraId="3164989B">
      <w:pPr>
        <w:pStyle w:val="2"/>
        <w:keepNext/>
        <w:keepLines/>
        <w:pageBreakBefore w:val="0"/>
        <w:widowControl/>
        <w:kinsoku/>
        <w:wordWrap/>
        <w:overflowPunct/>
        <w:topLinePunct w:val="0"/>
        <w:autoSpaceDE/>
        <w:autoSpaceDN/>
        <w:bidi w:val="0"/>
        <w:adjustRightInd/>
        <w:snapToGrid/>
        <w:spacing w:before="313" w:beforeLines="100" w:line="560" w:lineRule="exact"/>
        <w:textAlignment w:val="auto"/>
        <w:rPr>
          <w:rFonts w:hint="default" w:ascii="Times New Roman" w:hAnsi="Times New Roman" w:cs="Times New Roman"/>
          <w:b w:val="0"/>
          <w:bCs w:val="0"/>
          <w:sz w:val="32"/>
          <w:szCs w:val="21"/>
          <w:highlight w:val="none"/>
          <w:lang w:val="en-US" w:eastAsia="zh-CN"/>
        </w:rPr>
      </w:pPr>
      <w:bookmarkStart w:id="69" w:name="_Toc300_WPSOffice_Level1"/>
      <w:bookmarkStart w:id="70" w:name="_Toc11425"/>
      <w:bookmarkStart w:id="71" w:name="_Toc28232_WPSOffice_Level1"/>
      <w:r>
        <w:rPr>
          <w:rFonts w:hint="default" w:ascii="Times New Roman" w:hAnsi="Times New Roman" w:eastAsia="方正小标宋简体" w:cs="Times New Roman"/>
          <w:b w:val="0"/>
          <w:bCs w:val="0"/>
          <w:sz w:val="32"/>
          <w:szCs w:val="24"/>
          <w:highlight w:val="none"/>
          <w:lang w:val="en-US" w:eastAsia="zh-CN"/>
        </w:rPr>
        <w:t>第</w:t>
      </w:r>
      <w:r>
        <w:rPr>
          <w:rFonts w:hint="default" w:ascii="Times New Roman" w:hAnsi="Times New Roman" w:cs="Times New Roman"/>
          <w:b w:val="0"/>
          <w:bCs w:val="0"/>
          <w:sz w:val="32"/>
          <w:szCs w:val="24"/>
          <w:highlight w:val="none"/>
          <w:lang w:val="en-US" w:eastAsia="zh-CN"/>
        </w:rPr>
        <w:t>六</w:t>
      </w:r>
      <w:r>
        <w:rPr>
          <w:rFonts w:hint="default" w:ascii="Times New Roman" w:hAnsi="Times New Roman" w:eastAsia="方正小标宋简体" w:cs="Times New Roman"/>
          <w:b w:val="0"/>
          <w:bCs w:val="0"/>
          <w:sz w:val="32"/>
          <w:szCs w:val="24"/>
          <w:highlight w:val="none"/>
          <w:lang w:val="en-US" w:eastAsia="zh-CN"/>
        </w:rPr>
        <w:t xml:space="preserve">章  </w:t>
      </w:r>
      <w:bookmarkEnd w:id="69"/>
      <w:bookmarkStart w:id="72" w:name="_Toc5054_WPSOffice_Level2"/>
      <w:r>
        <w:rPr>
          <w:rFonts w:hint="default" w:ascii="Times New Roman" w:hAnsi="Times New Roman" w:cs="Times New Roman"/>
          <w:b w:val="0"/>
          <w:bCs w:val="0"/>
          <w:sz w:val="32"/>
          <w:szCs w:val="24"/>
          <w:highlight w:val="none"/>
          <w:lang w:val="en-US" w:eastAsia="zh-CN"/>
        </w:rPr>
        <w:t>聚焦加快农业农村现代化，</w:t>
      </w:r>
      <w:r>
        <w:rPr>
          <w:rFonts w:hint="default" w:ascii="Times New Roman" w:hAnsi="Times New Roman" w:eastAsia="方正小标宋简体" w:cs="Times New Roman"/>
          <w:b w:val="0"/>
          <w:bCs w:val="0"/>
          <w:sz w:val="32"/>
          <w:szCs w:val="24"/>
          <w:highlight w:val="none"/>
          <w:lang w:val="en-US" w:eastAsia="zh-CN"/>
        </w:rPr>
        <w:t>扎实推进乡村全面振兴</w:t>
      </w:r>
      <w:bookmarkEnd w:id="70"/>
      <w:bookmarkEnd w:id="72"/>
    </w:p>
    <w:p w14:paraId="29D29056">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highlight w:val="none"/>
          <w:lang w:val="en-US" w:eastAsia="zh-CN"/>
        </w:rPr>
      </w:pPr>
      <w:bookmarkStart w:id="73" w:name="_Toc1029"/>
      <w:r>
        <w:rPr>
          <w:rFonts w:hint="default" w:ascii="Times New Roman" w:hAnsi="Times New Roman" w:cs="Times New Roman"/>
          <w:b w:val="0"/>
          <w:bCs w:val="0"/>
          <w:color w:val="auto"/>
          <w:sz w:val="32"/>
          <w:szCs w:val="32"/>
          <w:highlight w:val="none"/>
          <w:lang w:val="en-US" w:eastAsia="zh-CN"/>
        </w:rPr>
        <w:t>学习</w:t>
      </w:r>
      <w:r>
        <w:rPr>
          <w:rFonts w:hint="default" w:ascii="Times New Roman" w:hAnsi="Times New Roman" w:eastAsia="仿宋_GB2312" w:cs="Times New Roman"/>
          <w:b w:val="0"/>
          <w:bCs w:val="0"/>
          <w:color w:val="auto"/>
          <w:sz w:val="32"/>
          <w:szCs w:val="32"/>
          <w:highlight w:val="none"/>
          <w:lang w:val="en-US" w:eastAsia="zh-CN"/>
        </w:rPr>
        <w:t>运用“千万工程”经验，</w:t>
      </w:r>
      <w:r>
        <w:rPr>
          <w:rFonts w:hint="default" w:ascii="Times New Roman" w:hAnsi="Times New Roman" w:cs="Times New Roman"/>
          <w:b w:val="0"/>
          <w:bCs w:val="0"/>
          <w:color w:val="auto"/>
          <w:sz w:val="32"/>
          <w:szCs w:val="32"/>
          <w:highlight w:val="none"/>
          <w:lang w:val="en-US" w:eastAsia="zh-CN"/>
        </w:rPr>
        <w:t>紧扣</w:t>
      </w:r>
      <w:r>
        <w:rPr>
          <w:rFonts w:hint="default" w:ascii="Times New Roman" w:hAnsi="Times New Roman" w:eastAsia="仿宋_GB2312" w:cs="Times New Roman"/>
          <w:b w:val="0"/>
          <w:bCs w:val="0"/>
          <w:color w:val="auto"/>
          <w:sz w:val="32"/>
          <w:szCs w:val="32"/>
          <w:highlight w:val="none"/>
          <w:lang w:val="en-US" w:eastAsia="zh-CN"/>
        </w:rPr>
        <w:t>“为农民种地、为农民养老”，</w:t>
      </w:r>
      <w:r>
        <w:rPr>
          <w:rFonts w:hint="default" w:ascii="Times New Roman" w:hAnsi="Times New Roman" w:cs="Times New Roman"/>
          <w:b w:val="0"/>
          <w:bCs w:val="0"/>
          <w:color w:val="auto"/>
          <w:sz w:val="32"/>
          <w:szCs w:val="32"/>
          <w:highlight w:val="none"/>
          <w:lang w:val="en-US" w:eastAsia="zh-CN"/>
        </w:rPr>
        <w:t>抓住农村集体经济经理人等群体头雁领航和示范片区典型带动“两个关键”，走好规模化、数字化、产业化、品牌化“四条路径”</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构建“一核、三团、十二片”发展格局</w:t>
      </w:r>
      <w:r>
        <w:rPr>
          <w:rFonts w:hint="default" w:ascii="Times New Roman" w:hAnsi="Times New Roman" w:eastAsia="仿宋_GB2312" w:cs="Times New Roman"/>
          <w:b w:val="0"/>
          <w:bCs w:val="0"/>
          <w:color w:val="auto"/>
          <w:sz w:val="32"/>
          <w:szCs w:val="32"/>
          <w:highlight w:val="none"/>
          <w:lang w:val="en-US" w:eastAsia="zh-CN"/>
        </w:rPr>
        <w:t>，打造乡村振兴齐鲁样板沂源板块</w:t>
      </w:r>
      <w:r>
        <w:rPr>
          <w:rFonts w:hint="default" w:ascii="Times New Roman" w:hAnsi="Times New Roman" w:cs="Times New Roman"/>
          <w:b w:val="0"/>
          <w:bCs w:val="0"/>
          <w:color w:val="auto"/>
          <w:sz w:val="32"/>
          <w:szCs w:val="32"/>
          <w:highlight w:val="none"/>
          <w:lang w:val="en-US" w:eastAsia="zh-CN"/>
        </w:rPr>
        <w:t>，争创</w:t>
      </w:r>
      <w:r>
        <w:rPr>
          <w:rFonts w:hint="default" w:ascii="Times New Roman" w:hAnsi="Times New Roman" w:eastAsia="仿宋_GB2312" w:cs="Times New Roman"/>
          <w:b w:val="0"/>
          <w:bCs w:val="0"/>
          <w:color w:val="auto"/>
          <w:sz w:val="32"/>
          <w:szCs w:val="32"/>
          <w:highlight w:val="none"/>
          <w:lang w:val="en-US" w:eastAsia="zh-CN"/>
        </w:rPr>
        <w:t>国家乡村振兴示范县。</w:t>
      </w:r>
    </w:p>
    <w:p w14:paraId="6F201B43">
      <w:pPr>
        <w:pStyle w:val="3"/>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74" w:name="_Toc24821"/>
      <w:bookmarkStart w:id="75" w:name="_Toc6493_WPSOffice_Level2"/>
      <w:r>
        <w:rPr>
          <w:rFonts w:hint="default" w:ascii="Times New Roman" w:hAnsi="Times New Roman" w:cs="Times New Roman"/>
          <w:sz w:val="32"/>
          <w:szCs w:val="22"/>
          <w:highlight w:val="none"/>
          <w:lang w:val="en-US" w:eastAsia="zh-CN"/>
        </w:rPr>
        <w:t>第一节  着力推动乡村产业高质量发展</w:t>
      </w:r>
      <w:bookmarkEnd w:id="73"/>
      <w:bookmarkEnd w:id="74"/>
      <w:bookmarkEnd w:id="75"/>
    </w:p>
    <w:p w14:paraId="0676AD30">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6"/>
          <w:sz w:val="32"/>
          <w:highlight w:val="none"/>
          <w:lang w:val="en-US" w:eastAsia="zh-CN"/>
        </w:rPr>
      </w:pPr>
      <w:bookmarkStart w:id="76" w:name="_Toc20108"/>
      <w:bookmarkStart w:id="77" w:name="_Toc5539_WPSOffice_Level3"/>
      <w:r>
        <w:rPr>
          <w:rFonts w:hint="default" w:ascii="Times New Roman" w:hAnsi="Times New Roman" w:cs="Times New Roman"/>
          <w:highlight w:val="none"/>
          <w:lang w:val="en-US" w:eastAsia="zh-CN"/>
        </w:rPr>
        <w:t>1.</w:t>
      </w:r>
      <w:r>
        <w:rPr>
          <w:rFonts w:hint="default" w:ascii="Times New Roman" w:hAnsi="Times New Roman" w:cs="Times New Roman"/>
          <w:spacing w:val="6"/>
          <w:sz w:val="32"/>
          <w:highlight w:val="none"/>
          <w:lang w:val="en-US" w:eastAsia="zh-CN"/>
        </w:rPr>
        <w:t>增强重要农产品稳产保供</w:t>
      </w:r>
      <w:bookmarkEnd w:id="76"/>
      <w:bookmarkEnd w:id="77"/>
    </w:p>
    <w:p w14:paraId="439163D3">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6"/>
          <w:sz w:val="32"/>
          <w:highlight w:val="none"/>
          <w:lang w:eastAsia="zh-CN"/>
        </w:rPr>
      </w:pPr>
      <w:r>
        <w:rPr>
          <w:rFonts w:hint="default" w:ascii="Times New Roman" w:hAnsi="Times New Roman" w:eastAsia="仿宋_GB2312" w:cs="Times New Roman"/>
          <w:b w:val="0"/>
          <w:bCs w:val="0"/>
          <w:color w:val="000000" w:themeColor="text1"/>
          <w:spacing w:val="6"/>
          <w:position w:val="0"/>
          <w:sz w:val="32"/>
          <w:szCs w:val="32"/>
          <w:highlight w:val="none"/>
          <w:lang w:val="en-US" w:eastAsia="zh-CN"/>
          <w14:textFill>
            <w14:solidFill>
              <w14:schemeClr w14:val="tx1"/>
            </w14:solidFill>
          </w14:textFill>
        </w:rPr>
        <w:t>严格落实耕地保护和粮食安全党政同责，</w:t>
      </w:r>
      <w:r>
        <w:rPr>
          <w:rFonts w:hint="default" w:ascii="Times New Roman" w:hAnsi="Times New Roman" w:cs="Times New Roman"/>
          <w:b w:val="0"/>
          <w:bCs w:val="0"/>
          <w:spacing w:val="6"/>
          <w:sz w:val="32"/>
          <w:highlight w:val="none"/>
          <w:lang w:val="en-US" w:eastAsia="zh-CN"/>
        </w:rPr>
        <w:t>实施粮食安全“固本强基”行动，优化耕地和永久基本农田布局，</w:t>
      </w:r>
      <w:r>
        <w:rPr>
          <w:rFonts w:hint="default" w:ascii="Times New Roman" w:hAnsi="Times New Roman" w:cs="Times New Roman"/>
          <w:b w:val="0"/>
          <w:bCs w:val="0"/>
          <w:spacing w:val="6"/>
          <w:sz w:val="32"/>
          <w:highlight w:val="none"/>
          <w:lang w:eastAsia="zh-CN"/>
        </w:rPr>
        <w:t>稳定粮食播种面积，坚决遏制耕地“非农化”、基本农田“非粮化”。</w:t>
      </w:r>
      <w:r>
        <w:rPr>
          <w:rFonts w:hint="default" w:ascii="Times New Roman" w:hAnsi="Times New Roman" w:cs="Times New Roman"/>
          <w:b w:val="0"/>
          <w:bCs w:val="0"/>
          <w:spacing w:val="6"/>
          <w:sz w:val="32"/>
          <w:highlight w:val="none"/>
          <w:lang w:val="en-US" w:eastAsia="zh-CN"/>
        </w:rPr>
        <w:t>有序推动土地流转、</w:t>
      </w:r>
      <w:r>
        <w:rPr>
          <w:rFonts w:hint="default" w:ascii="Times New Roman" w:hAnsi="Times New Roman" w:cs="Times New Roman"/>
          <w:b w:val="0"/>
          <w:bCs w:val="0"/>
          <w:spacing w:val="6"/>
          <w:sz w:val="32"/>
          <w:highlight w:val="none"/>
          <w:lang w:eastAsia="zh-CN"/>
        </w:rPr>
        <w:t>“小田变大田”，持续推动高标准农田提标扩面，</w:t>
      </w:r>
      <w:r>
        <w:rPr>
          <w:rFonts w:hint="default" w:ascii="Times New Roman" w:hAnsi="Times New Roman" w:cs="Times New Roman"/>
          <w:b w:val="0"/>
          <w:bCs w:val="0"/>
          <w:spacing w:val="6"/>
          <w:sz w:val="32"/>
          <w:highlight w:val="none"/>
          <w:lang w:val="en-US" w:eastAsia="zh-CN"/>
        </w:rPr>
        <w:t>加快把符合条件的</w:t>
      </w:r>
      <w:r>
        <w:rPr>
          <w:rFonts w:hint="default" w:ascii="Times New Roman" w:hAnsi="Times New Roman" w:cs="Times New Roman"/>
          <w:b w:val="0"/>
          <w:bCs w:val="0"/>
          <w:spacing w:val="6"/>
          <w:sz w:val="32"/>
          <w:highlight w:val="none"/>
          <w:lang w:eastAsia="zh-CN"/>
        </w:rPr>
        <w:t>永久基本农田</w:t>
      </w:r>
      <w:r>
        <w:rPr>
          <w:rFonts w:hint="default" w:ascii="Times New Roman" w:hAnsi="Times New Roman" w:cs="Times New Roman"/>
          <w:b w:val="0"/>
          <w:bCs w:val="0"/>
          <w:spacing w:val="6"/>
          <w:sz w:val="32"/>
          <w:highlight w:val="none"/>
          <w:lang w:val="en-US" w:eastAsia="zh-CN"/>
        </w:rPr>
        <w:t>全部建成</w:t>
      </w:r>
      <w:r>
        <w:rPr>
          <w:rFonts w:hint="default" w:ascii="Times New Roman" w:hAnsi="Times New Roman" w:cs="Times New Roman"/>
          <w:b w:val="0"/>
          <w:bCs w:val="0"/>
          <w:spacing w:val="6"/>
          <w:sz w:val="32"/>
          <w:highlight w:val="none"/>
          <w:lang w:eastAsia="zh-CN"/>
        </w:rPr>
        <w:t>高标准农田。施用土壤调理物料等治理酸化耕地，因地制宜采用改良耕作制度、施用有机肥、种植绿肥、秸秆还田等措施提质培肥，综合提升耕地土壤长期抗酸化能力。强化农业装备支撑，推动农业机械更新，推广</w:t>
      </w:r>
      <w:r>
        <w:rPr>
          <w:rFonts w:hint="default" w:ascii="Times New Roman" w:hAnsi="Times New Roman" w:cs="Times New Roman"/>
          <w:b w:val="0"/>
          <w:bCs w:val="0"/>
          <w:spacing w:val="6"/>
          <w:sz w:val="32"/>
          <w:highlight w:val="none"/>
          <w:lang w:val="en-US" w:eastAsia="zh-CN"/>
        </w:rPr>
        <w:t>使用</w:t>
      </w:r>
      <w:r>
        <w:rPr>
          <w:rFonts w:hint="default" w:ascii="Times New Roman" w:hAnsi="Times New Roman" w:cs="Times New Roman"/>
          <w:b w:val="0"/>
          <w:bCs w:val="0"/>
          <w:spacing w:val="6"/>
          <w:sz w:val="32"/>
          <w:highlight w:val="none"/>
          <w:lang w:eastAsia="zh-CN"/>
        </w:rPr>
        <w:t>丘陵山区作业的智能农机。落实完善农业支持保护政策，全面提升农业防灾减灾救灾能力。</w:t>
      </w:r>
      <w:r>
        <w:rPr>
          <w:rFonts w:hint="eastAsia" w:ascii="Times New Roman" w:hAnsi="Times New Roman" w:cs="Times New Roman"/>
          <w:b w:val="0"/>
          <w:bCs w:val="0"/>
          <w:spacing w:val="6"/>
          <w:sz w:val="32"/>
          <w:highlight w:val="none"/>
          <w:lang w:eastAsia="zh-CN"/>
        </w:rPr>
        <w:t>加快</w:t>
      </w:r>
      <w:r>
        <w:rPr>
          <w:rFonts w:hint="default" w:ascii="Times New Roman" w:hAnsi="Times New Roman" w:cs="Times New Roman"/>
          <w:b w:val="0"/>
          <w:bCs w:val="0"/>
          <w:spacing w:val="6"/>
          <w:sz w:val="32"/>
          <w:highlight w:val="none"/>
          <w:lang w:eastAsia="zh-CN"/>
        </w:rPr>
        <w:t>发展数字农业，</w:t>
      </w:r>
      <w:r>
        <w:rPr>
          <w:rFonts w:hint="eastAsia" w:ascii="Times New Roman" w:hAnsi="Times New Roman" w:cs="Times New Roman"/>
          <w:b w:val="0"/>
          <w:bCs w:val="0"/>
          <w:spacing w:val="6"/>
          <w:sz w:val="32"/>
          <w:highlight w:val="none"/>
          <w:lang w:eastAsia="zh-CN"/>
        </w:rPr>
        <w:t>推进</w:t>
      </w:r>
      <w:r>
        <w:rPr>
          <w:rFonts w:hint="default" w:ascii="Times New Roman" w:hAnsi="Times New Roman" w:cs="Times New Roman"/>
          <w:b w:val="0"/>
          <w:bCs w:val="0"/>
          <w:spacing w:val="6"/>
          <w:sz w:val="32"/>
          <w:highlight w:val="none"/>
          <w:lang w:eastAsia="zh-CN"/>
        </w:rPr>
        <w:t>数字农业重点项目建设，</w:t>
      </w:r>
      <w:r>
        <w:rPr>
          <w:rFonts w:hint="default" w:ascii="Times New Roman" w:hAnsi="Times New Roman" w:cs="Times New Roman"/>
          <w:b w:val="0"/>
          <w:bCs w:val="0"/>
          <w:spacing w:val="6"/>
          <w:sz w:val="32"/>
          <w:highlight w:val="none"/>
          <w:lang w:val="en-US" w:eastAsia="zh-CN"/>
        </w:rPr>
        <w:t>打造具身智能机器人训练场，</w:t>
      </w:r>
      <w:r>
        <w:rPr>
          <w:rFonts w:hint="default" w:ascii="Times New Roman" w:hAnsi="Times New Roman" w:cs="Times New Roman"/>
          <w:b w:val="0"/>
          <w:bCs w:val="0"/>
          <w:spacing w:val="6"/>
          <w:sz w:val="32"/>
          <w:highlight w:val="none"/>
          <w:lang w:eastAsia="zh-CN"/>
        </w:rPr>
        <w:t>大力推广水肥一体化、</w:t>
      </w:r>
      <w:r>
        <w:rPr>
          <w:rFonts w:hint="default" w:ascii="Times New Roman" w:hAnsi="Times New Roman" w:cs="Times New Roman"/>
          <w:b w:val="0"/>
          <w:bCs w:val="0"/>
          <w:spacing w:val="6"/>
          <w:sz w:val="32"/>
          <w:highlight w:val="none"/>
          <w:lang w:val="en-US" w:eastAsia="zh-CN"/>
        </w:rPr>
        <w:t>土壤</w:t>
      </w:r>
      <w:r>
        <w:rPr>
          <w:rFonts w:hint="default" w:ascii="Times New Roman" w:hAnsi="Times New Roman" w:cs="Times New Roman"/>
          <w:b w:val="0"/>
          <w:bCs w:val="0"/>
          <w:spacing w:val="6"/>
          <w:sz w:val="32"/>
          <w:highlight w:val="none"/>
          <w:lang w:eastAsia="zh-CN"/>
        </w:rPr>
        <w:t>分析、无人机作业等新技术，</w:t>
      </w:r>
      <w:r>
        <w:rPr>
          <w:rFonts w:hint="default" w:ascii="Times New Roman" w:hAnsi="Times New Roman" w:eastAsia="仿宋_GB2312" w:cs="Times New Roman"/>
          <w:b w:val="0"/>
          <w:bCs w:val="0"/>
          <w:color w:val="000000" w:themeColor="text1"/>
          <w:spacing w:val="6"/>
          <w:position w:val="0"/>
          <w:sz w:val="32"/>
          <w:szCs w:val="32"/>
          <w:highlight w:val="none"/>
          <w:lang w:val="en-US" w:eastAsia="zh-CN"/>
          <w14:textFill>
            <w14:solidFill>
              <w14:schemeClr w14:val="tx1"/>
            </w14:solidFill>
          </w14:textFill>
        </w:rPr>
        <w:t>推动物联网、大数据等技术在农业生产、加工、营销各环节深度融合，</w:t>
      </w:r>
      <w:r>
        <w:rPr>
          <w:rFonts w:hint="default" w:ascii="Times New Roman" w:hAnsi="Times New Roman" w:cs="Times New Roman"/>
          <w:b w:val="0"/>
          <w:bCs w:val="0"/>
          <w:spacing w:val="6"/>
          <w:sz w:val="32"/>
          <w:highlight w:val="none"/>
          <w:lang w:eastAsia="zh-CN"/>
        </w:rPr>
        <w:t>积极发展智慧果园和现代农业示范园，做好“为农民种地”规模化、数字化文章，创</w:t>
      </w:r>
      <w:r>
        <w:rPr>
          <w:rFonts w:hint="default" w:ascii="Times New Roman" w:hAnsi="Times New Roman" w:cs="Times New Roman"/>
          <w:b w:val="0"/>
          <w:bCs w:val="0"/>
          <w:spacing w:val="6"/>
          <w:sz w:val="32"/>
          <w:highlight w:val="none"/>
          <w:lang w:val="en-US" w:eastAsia="zh-CN"/>
        </w:rPr>
        <w:t>成</w:t>
      </w:r>
      <w:r>
        <w:rPr>
          <w:rFonts w:hint="default" w:ascii="Times New Roman" w:hAnsi="Times New Roman" w:cs="Times New Roman"/>
          <w:b w:val="0"/>
          <w:bCs w:val="0"/>
          <w:spacing w:val="6"/>
          <w:sz w:val="32"/>
          <w:highlight w:val="none"/>
          <w:lang w:eastAsia="zh-CN"/>
        </w:rPr>
        <w:t>省级数字农业发展县。</w:t>
      </w:r>
    </w:p>
    <w:p w14:paraId="3302C8D0">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78" w:name="_Toc3705"/>
      <w:bookmarkStart w:id="79" w:name="_Toc2602_WPSOffice_Level3"/>
      <w:r>
        <w:rPr>
          <w:rFonts w:hint="default" w:ascii="Times New Roman" w:hAnsi="Times New Roman" w:cs="Times New Roman"/>
          <w:highlight w:val="none"/>
          <w:lang w:val="en-US" w:eastAsia="zh-CN"/>
        </w:rPr>
        <w:t>2.发展乡村特色产业</w:t>
      </w:r>
      <w:bookmarkEnd w:id="78"/>
      <w:bookmarkEnd w:id="79"/>
    </w:p>
    <w:p w14:paraId="35DBA178">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lang w:val="en-US" w:eastAsia="zh-CN"/>
        </w:rPr>
        <w:t>做好“土特产”文章。</w:t>
      </w:r>
      <w:r>
        <w:rPr>
          <w:rFonts w:hint="default" w:ascii="Times New Roman" w:hAnsi="Times New Roman" w:cs="Times New Roman"/>
          <w:b w:val="0"/>
          <w:bCs w:val="0"/>
          <w:highlight w:val="none"/>
          <w:lang w:eastAsia="zh-CN"/>
        </w:rPr>
        <w:t>以</w:t>
      </w:r>
      <w:r>
        <w:rPr>
          <w:rFonts w:hint="default" w:ascii="Times New Roman" w:hAnsi="Times New Roman" w:cs="Times New Roman"/>
          <w:b w:val="0"/>
          <w:bCs w:val="0"/>
          <w:kern w:val="2"/>
          <w:sz w:val="32"/>
          <w:szCs w:val="24"/>
          <w:highlight w:val="none"/>
          <w:lang w:val="en-US" w:eastAsia="zh-CN" w:bidi="ar-SA"/>
        </w:rPr>
        <w:t>苹果、大樱桃、桃、葡萄</w:t>
      </w:r>
      <w:r>
        <w:rPr>
          <w:rFonts w:hint="default" w:ascii="Times New Roman" w:hAnsi="Times New Roman" w:cs="Times New Roman"/>
          <w:b w:val="0"/>
          <w:bCs w:val="0"/>
          <w:highlight w:val="none"/>
          <w:lang w:eastAsia="zh-CN"/>
        </w:rPr>
        <w:t>为重点，加快打造新农业发展优势区，精准招引和培育一批产业链核心企业和“接二连三”重点项目，推进沂源果品百亿级产业集群</w:t>
      </w:r>
      <w:r>
        <w:rPr>
          <w:rFonts w:hint="default" w:ascii="Times New Roman" w:hAnsi="Times New Roman" w:cs="Times New Roman"/>
          <w:b w:val="0"/>
          <w:bCs w:val="0"/>
          <w:highlight w:val="none"/>
          <w:lang w:val="en-US" w:eastAsia="zh-CN"/>
        </w:rPr>
        <w:t>以及</w:t>
      </w:r>
      <w:r>
        <w:rPr>
          <w:rFonts w:hint="default" w:ascii="Times New Roman" w:hAnsi="Times New Roman" w:cs="Times New Roman"/>
          <w:b w:val="0"/>
          <w:bCs w:val="0"/>
          <w:highlight w:val="none"/>
          <w:lang w:eastAsia="zh-CN"/>
        </w:rPr>
        <w:t>蔬菜、中药材、畜牧等</w:t>
      </w:r>
      <w:r>
        <w:rPr>
          <w:rFonts w:hint="default" w:ascii="Times New Roman" w:hAnsi="Times New Roman" w:cs="Times New Roman"/>
          <w:b w:val="0"/>
          <w:bCs w:val="0"/>
          <w:highlight w:val="none"/>
          <w:lang w:val="en-US" w:eastAsia="zh-CN"/>
        </w:rPr>
        <w:t>特色</w:t>
      </w:r>
      <w:r>
        <w:rPr>
          <w:rFonts w:hint="default" w:ascii="Times New Roman" w:hAnsi="Times New Roman" w:cs="Times New Roman"/>
          <w:b w:val="0"/>
          <w:bCs w:val="0"/>
          <w:highlight w:val="none"/>
          <w:lang w:eastAsia="zh-CN"/>
        </w:rPr>
        <w:t>产业发展；实施农产品加工业高质量发展行动，围绕拉长农业产业链条、提高全产业链收益，建设农产品精深加工产业链，培育“链主”企业。</w:t>
      </w:r>
      <w:r>
        <w:rPr>
          <w:rFonts w:hint="default" w:ascii="Times New Roman" w:hAnsi="Times New Roman" w:cs="Times New Roman"/>
          <w:b w:val="0"/>
          <w:bCs w:val="0"/>
          <w:highlight w:val="none"/>
          <w:lang w:val="en-US" w:eastAsia="zh-CN"/>
        </w:rPr>
        <w:t>提升果业技术水平。</w:t>
      </w:r>
      <w:r>
        <w:rPr>
          <w:rFonts w:hint="default" w:ascii="Times New Roman" w:hAnsi="Times New Roman" w:cs="Times New Roman"/>
          <w:b w:val="0"/>
          <w:bCs w:val="0"/>
          <w:highlight w:val="none"/>
          <w:lang w:eastAsia="zh-CN"/>
        </w:rPr>
        <w:t>依托中国农业科学院富锶产业研究院等平台载体，立足全域富锶优势，以“沂源真选”“沂源红”富锶农产品为示范引领，打造富锶农产品区域公用品牌和重点产品，</w:t>
      </w:r>
      <w:r>
        <w:rPr>
          <w:rFonts w:hint="default" w:ascii="Times New Roman" w:hAnsi="Times New Roman" w:cs="Times New Roman"/>
          <w:b w:val="0"/>
          <w:bCs w:val="0"/>
          <w:highlight w:val="none"/>
          <w:lang w:val="en-US" w:eastAsia="zh-CN"/>
        </w:rPr>
        <w:t>会同山东农业大学、省农科院等单位联合打造沂源大樱桃科研基地</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加快推进</w:t>
      </w:r>
      <w:r>
        <w:rPr>
          <w:rFonts w:hint="default" w:ascii="Times New Roman" w:hAnsi="Times New Roman" w:cs="Times New Roman"/>
          <w:b w:val="0"/>
          <w:bCs w:val="0"/>
          <w:highlight w:val="none"/>
          <w:lang w:eastAsia="zh-CN"/>
        </w:rPr>
        <w:t>苹果新品种改良，</w:t>
      </w:r>
      <w:r>
        <w:rPr>
          <w:rFonts w:hint="default" w:ascii="Times New Roman" w:hAnsi="Times New Roman" w:cs="Times New Roman"/>
          <w:b w:val="0"/>
          <w:bCs w:val="0"/>
          <w:highlight w:val="none"/>
          <w:lang w:val="en-US" w:eastAsia="zh-CN"/>
        </w:rPr>
        <w:t>选用适应性强、便于管理、丰产性好的新优品种，配套水肥一体化、果园生草、网室栽培、病虫害绿色防控、配方施肥、实用山区小型机械化、物联网智能化管控</w:t>
      </w:r>
      <w:r>
        <w:rPr>
          <w:rFonts w:hint="default" w:ascii="Times New Roman" w:hAnsi="Times New Roman" w:cs="Times New Roman"/>
          <w:b w:val="0"/>
          <w:bCs w:val="0"/>
          <w:spacing w:val="6"/>
          <w:highlight w:val="none"/>
          <w:lang w:val="en-US" w:eastAsia="zh-CN"/>
        </w:rPr>
        <w:t>等技术，打造高标准苹果种植示范基地，培育</w:t>
      </w:r>
      <w:r>
        <w:rPr>
          <w:rFonts w:hint="default" w:ascii="Times New Roman" w:hAnsi="Times New Roman" w:cs="Times New Roman"/>
          <w:b w:val="0"/>
          <w:bCs w:val="0"/>
          <w:spacing w:val="6"/>
          <w:highlight w:val="none"/>
          <w:lang w:eastAsia="zh-CN"/>
        </w:rPr>
        <w:t>适合</w:t>
      </w:r>
      <w:r>
        <w:rPr>
          <w:rFonts w:hint="default" w:ascii="Times New Roman" w:hAnsi="Times New Roman" w:cs="Times New Roman"/>
          <w:b w:val="0"/>
          <w:bCs w:val="0"/>
          <w:spacing w:val="6"/>
          <w:highlight w:val="none"/>
          <w:lang w:val="en-US" w:eastAsia="zh-CN"/>
        </w:rPr>
        <w:t>沂源</w:t>
      </w:r>
      <w:r>
        <w:rPr>
          <w:rFonts w:hint="default" w:ascii="Times New Roman" w:hAnsi="Times New Roman" w:cs="Times New Roman"/>
          <w:b w:val="0"/>
          <w:bCs w:val="0"/>
          <w:spacing w:val="6"/>
          <w:highlight w:val="none"/>
          <w:lang w:eastAsia="zh-CN"/>
        </w:rPr>
        <w:t>发展的优系苹果品种，加快建设现代苹果产业体系。加强产业载体建设。高质量建设</w:t>
      </w:r>
      <w:r>
        <w:rPr>
          <w:rFonts w:hint="default" w:ascii="Times New Roman" w:hAnsi="Times New Roman" w:cs="Times New Roman"/>
          <w:b w:val="0"/>
          <w:bCs w:val="0"/>
          <w:spacing w:val="6"/>
          <w:highlight w:val="none"/>
          <w:lang w:val="en-US" w:eastAsia="zh-CN"/>
        </w:rPr>
        <w:t>一批</w:t>
      </w:r>
      <w:r>
        <w:rPr>
          <w:rFonts w:hint="default" w:ascii="Times New Roman" w:hAnsi="Times New Roman" w:cs="Times New Roman"/>
          <w:b w:val="0"/>
          <w:bCs w:val="0"/>
          <w:spacing w:val="6"/>
          <w:highlight w:val="none"/>
          <w:lang w:eastAsia="zh-CN"/>
        </w:rPr>
        <w:t>现代农业产业园</w:t>
      </w:r>
      <w:r>
        <w:rPr>
          <w:rFonts w:hint="default" w:ascii="Times New Roman" w:hAnsi="Times New Roman" w:cs="Times New Roman"/>
          <w:b w:val="0"/>
          <w:bCs w:val="0"/>
          <w:spacing w:val="6"/>
          <w:highlight w:val="none"/>
          <w:lang w:val="en-US" w:eastAsia="zh-CN"/>
        </w:rPr>
        <w:t>，打造国家级农业</w:t>
      </w:r>
      <w:r>
        <w:rPr>
          <w:rFonts w:hint="default" w:ascii="Times New Roman" w:hAnsi="Times New Roman" w:cs="Times New Roman"/>
          <w:b w:val="0"/>
          <w:bCs w:val="0"/>
          <w:spacing w:val="6"/>
          <w:highlight w:val="none"/>
          <w:lang w:eastAsia="zh-CN"/>
        </w:rPr>
        <w:t>产业强镇；推进一二三产业融合发展，深入推进文旅农商融合，打造全域立体、四季全时的文旅农商融合发展格局；推</w:t>
      </w:r>
      <w:r>
        <w:rPr>
          <w:rFonts w:hint="eastAsia" w:ascii="Times New Roman" w:hAnsi="Times New Roman" w:cs="Times New Roman"/>
          <w:b w:val="0"/>
          <w:bCs w:val="0"/>
          <w:spacing w:val="6"/>
          <w:highlight w:val="none"/>
          <w:lang w:eastAsia="zh-CN"/>
        </w:rPr>
        <w:t>进</w:t>
      </w:r>
      <w:r>
        <w:rPr>
          <w:rFonts w:hint="default" w:ascii="Times New Roman" w:hAnsi="Times New Roman" w:cs="Times New Roman"/>
          <w:b w:val="0"/>
          <w:bCs w:val="0"/>
          <w:spacing w:val="6"/>
          <w:highlight w:val="none"/>
          <w:lang w:eastAsia="zh-CN"/>
        </w:rPr>
        <w:t>农村电商高质量发展，培育壮大农村电商人才队伍，开展助农直播</w:t>
      </w:r>
      <w:r>
        <w:rPr>
          <w:rFonts w:hint="default" w:ascii="Times New Roman" w:hAnsi="Times New Roman" w:cs="Times New Roman"/>
          <w:b w:val="0"/>
          <w:bCs w:val="0"/>
          <w:spacing w:val="6"/>
          <w:highlight w:val="none"/>
          <w:lang w:val="en-US" w:eastAsia="zh-CN"/>
        </w:rPr>
        <w:t>等</w:t>
      </w:r>
      <w:r>
        <w:rPr>
          <w:rFonts w:hint="default" w:ascii="Times New Roman" w:hAnsi="Times New Roman" w:cs="Times New Roman"/>
          <w:b w:val="0"/>
          <w:bCs w:val="0"/>
          <w:spacing w:val="6"/>
          <w:highlight w:val="none"/>
          <w:lang w:eastAsia="zh-CN"/>
        </w:rPr>
        <w:t>活动，</w:t>
      </w:r>
      <w:r>
        <w:rPr>
          <w:rFonts w:hint="default" w:ascii="Times New Roman" w:hAnsi="Times New Roman" w:cs="Times New Roman"/>
          <w:b w:val="0"/>
          <w:bCs w:val="0"/>
          <w:spacing w:val="6"/>
          <w:highlight w:val="none"/>
          <w:lang w:val="en-US" w:eastAsia="zh-CN"/>
        </w:rPr>
        <w:t>拓展农产品销售渠道</w:t>
      </w:r>
      <w:r>
        <w:rPr>
          <w:rFonts w:hint="default" w:ascii="Times New Roman" w:hAnsi="Times New Roman" w:cs="Times New Roman"/>
          <w:b w:val="0"/>
          <w:bCs w:val="0"/>
          <w:highlight w:val="none"/>
          <w:lang w:val="en-US" w:eastAsia="zh-CN"/>
        </w:rPr>
        <w:t>。</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210B66A">
        <w:tblPrEx>
          <w:tblCellMar>
            <w:top w:w="0" w:type="dxa"/>
            <w:left w:w="108" w:type="dxa"/>
            <w:bottom w:w="0" w:type="dxa"/>
            <w:right w:w="108" w:type="dxa"/>
          </w:tblCellMar>
        </w:tblPrEx>
        <w:trPr>
          <w:trHeight w:val="499" w:hRule="atLeast"/>
          <w:jc w:val="center"/>
        </w:trPr>
        <w:tc>
          <w:tcPr>
            <w:tcW w:w="8522" w:type="dxa"/>
          </w:tcPr>
          <w:p w14:paraId="18D8A678">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专栏10：富锶果品全产业链“价值倍增”行动</w:t>
            </w:r>
          </w:p>
        </w:tc>
      </w:tr>
      <w:tr w14:paraId="334A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tcPr>
          <w:p w14:paraId="1DBA6C59">
            <w:pPr>
              <w:pStyle w:val="27"/>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聚焦“标准化生产—精深加工—品牌营销—社会化服务”全链升级，通过产业链、价值链、服务链“三链融合”，构建富锶果品全产业生态体系。</w:t>
            </w:r>
          </w:p>
          <w:p w14:paraId="067E87BF">
            <w:pPr>
              <w:pStyle w:val="27"/>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按照“一年有起色、两年见成效、三年初成体系”总体安排，通过补齐产业发展短板，推动主导产业转型升级，促进一二三产业融合发展，形成富锶果业优势突出、产业链完整、价值链提升的现代果品产业体系，建成产业特色鲜明、技术设施及装备先进、发展方式绿色、品牌建设有效、经济效益显著、利益联结紧密、辐射带动有力的全产业链产业。</w:t>
            </w:r>
          </w:p>
          <w:p w14:paraId="79BFE256">
            <w:pPr>
              <w:pStyle w:val="27"/>
              <w:keepNext w:val="0"/>
              <w:keepLines w:val="0"/>
              <w:pageBreakBefore w:val="0"/>
              <w:widowControl w:val="0"/>
              <w:kinsoku/>
              <w:wordWrap/>
              <w:overflowPunct/>
              <w:topLinePunct w:val="0"/>
              <w:autoSpaceDE/>
              <w:autoSpaceDN/>
              <w:bidi w:val="0"/>
              <w:adjustRightInd/>
              <w:snapToGrid/>
              <w:spacing w:line="42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到2030年，各类果品品种结构大幅优化，机械化应用广泛普及，后整理水平有效提升，分拣分选、冷藏冷链、品牌营销、精深加工等全产业链体系日益完善，以苹果为主的富锶果品产业综合实力显著增强，富锶农产品种植面积稳步扩大。</w:t>
            </w:r>
          </w:p>
        </w:tc>
      </w:tr>
    </w:tbl>
    <w:p w14:paraId="582D8516">
      <w:pPr>
        <w:pStyle w:val="2"/>
        <w:keepNext/>
        <w:keepLines/>
        <w:pageBreakBefore w:val="0"/>
        <w:widowControl w:val="0"/>
        <w:kinsoku/>
        <w:wordWrap/>
        <w:overflowPunct/>
        <w:topLinePunct w:val="0"/>
        <w:autoSpaceDE/>
        <w:autoSpaceDN/>
        <w:bidi w:val="0"/>
        <w:adjustRightInd/>
        <w:snapToGrid/>
        <w:spacing w:after="0" w:afterLines="0"/>
        <w:jc w:val="both"/>
        <w:textAlignment w:val="auto"/>
        <w:rPr>
          <w:rFonts w:hint="default"/>
          <w:highlight w:val="none"/>
          <w:lang w:val="en-US" w:eastAsia="zh-CN"/>
        </w:rPr>
      </w:pPr>
      <w:bookmarkStart w:id="80" w:name="_Toc9207"/>
      <w:bookmarkStart w:id="81" w:name="_Toc4331_WPSOffice_Level3"/>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7575AA">
        <w:tblPrEx>
          <w:tblCellMar>
            <w:top w:w="0" w:type="dxa"/>
            <w:left w:w="108" w:type="dxa"/>
            <w:bottom w:w="0" w:type="dxa"/>
            <w:right w:w="108" w:type="dxa"/>
          </w:tblCellMar>
        </w:tblPrEx>
        <w:trPr>
          <w:trHeight w:val="499" w:hRule="atLeast"/>
          <w:jc w:val="center"/>
        </w:trPr>
        <w:tc>
          <w:tcPr>
            <w:tcW w:w="8522" w:type="dxa"/>
          </w:tcPr>
          <w:p w14:paraId="3993CDE7">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专栏11：现代苹果产业体系建设行动</w:t>
            </w:r>
          </w:p>
        </w:tc>
      </w:tr>
      <w:tr w14:paraId="0FA3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60964E8">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“十五五”时期，通过智能化、绿色化、融合化发展，加快形成“八链协同”的现代苹果产业体系，实现产业链群集聚、多链价值提升，推进沂源苹果产业迈入高质量发展新阶段。</w:t>
            </w:r>
          </w:p>
          <w:p w14:paraId="5C18F6CB">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构建‌科技研发链。依托中国农科院等科研单位合作建设“沂源红”良种育苗基地，改造提升低效老果园。‌</w:t>
            </w:r>
          </w:p>
          <w:p w14:paraId="0E787CA0">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建强‌矮化密植链。大力推行省力化栽培矮化密植园，实行“以株代亩”模式，宜统则统、宜分则分、统分结合，最大程度降低成本，实现生产方式的效率变革。‌</w:t>
            </w:r>
          </w:p>
          <w:p w14:paraId="4BD6FDE4">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发展‌冷库仓储链。将果库建在果园，方便果农就地入库、错峰销售。积极发展冷库，提高苹果冷藏能力，推动苹果从“卖一季”到“卖四季”。‌</w:t>
            </w:r>
          </w:p>
          <w:p w14:paraId="63DDC854">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赋能‌分级分选链。大力建设现代化分选车间，装备智能选果线，通过数字化赋能实现分级分价、溢价增值。‌</w:t>
            </w:r>
          </w:p>
          <w:p w14:paraId="1361AA7B">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升级加工制造链。建设鲜榨果汁生产基地，推进果汁、果醋、果片等精深加工，推出苹果醋、苹果酒、苹果脆片等创新产品，增加苹果附加值。</w:t>
            </w:r>
          </w:p>
          <w:p w14:paraId="5228B828">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健全‌物流营销链。建设苹果冷链物流配送中心，健全县、镇、村三级物流体系，整合快递企业组建物流运输联盟，培育运输类企业、快递物流商户等，打通“最初一公里”和“最后一公里”。同时，与电商合作积极开展电商销售。</w:t>
            </w:r>
          </w:p>
          <w:p w14:paraId="1017DEC9">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推进‌防灾减灾链。开展苹果气象监测、气象灾害科普、果农培训等苹果气象服务，构建苹果花期冻害、冰雹等自然灾害防御场景。在各镇街标准化果园安装气象监测设备，储备防冻物资，搭建防雹网。‌</w:t>
            </w:r>
          </w:p>
          <w:p w14:paraId="246F29CC">
            <w:pPr>
              <w:pStyle w:val="27"/>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强化‌品牌管理链。对沂源苹果销售市场推行统一标准、授权准入。严格品牌包装管理和市场整治，维护沂源苹果品牌形象。加强与其他地区展会的合作与交流，扩大沂源苹果品牌的知名度与影响力，着力打造“沂源红”富锶苹果核心品牌。‌</w:t>
            </w:r>
          </w:p>
        </w:tc>
      </w:tr>
    </w:tbl>
    <w:p w14:paraId="685C348D">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3.完善联农带农机制</w:t>
      </w:r>
      <w:bookmarkEnd w:id="80"/>
      <w:bookmarkEnd w:id="81"/>
    </w:p>
    <w:p w14:paraId="58E635ED">
      <w:pPr>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rPr>
        <w:t>突出“为农民种地、为农民养老”这一抓手，落实新型农业经营主体扶持政策同带动农户增收挂钩机制，将联农带农作为政策倾斜的重要依据</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推行</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龙头企业+合作社+基地+农户</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经营模式，多元化</w:t>
      </w:r>
      <w:r>
        <w:rPr>
          <w:rFonts w:hint="default" w:ascii="Times New Roman" w:hAnsi="Times New Roman" w:cs="Times New Roman"/>
          <w:b w:val="0"/>
          <w:bCs w:val="0"/>
          <w:highlight w:val="none"/>
          <w:lang w:val="en-US" w:eastAsia="zh-CN"/>
        </w:rPr>
        <w:t>培育打造</w:t>
      </w:r>
      <w:r>
        <w:rPr>
          <w:rFonts w:hint="default" w:ascii="Times New Roman" w:hAnsi="Times New Roman" w:cs="Times New Roman"/>
          <w:b w:val="0"/>
          <w:bCs w:val="0"/>
          <w:highlight w:val="none"/>
        </w:rPr>
        <w:t>产业联合体，优化民营企业发展梯队，深化携手共建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一村一业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行动，实现村集体增收、村民致富、企业发展等多方共赢。引导企业、农民合作社、家庭农场与农户等紧密联合与合作，通过保底分红、入股参股、服务带动等方式，让农民更多分享产业增值收益。做实企业包村工作，围绕解决好</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包哪些村、谁来包、包什么</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等问题，</w:t>
      </w:r>
      <w:r>
        <w:rPr>
          <w:rFonts w:hint="default" w:ascii="Times New Roman" w:hAnsi="Times New Roman" w:cs="Times New Roman"/>
          <w:b w:val="0"/>
          <w:bCs w:val="0"/>
          <w:highlight w:val="none"/>
          <w:lang w:val="en-US" w:eastAsia="zh-CN"/>
        </w:rPr>
        <w:t>加快</w:t>
      </w:r>
      <w:r>
        <w:rPr>
          <w:rFonts w:hint="default" w:ascii="Times New Roman" w:hAnsi="Times New Roman" w:cs="Times New Roman"/>
          <w:b w:val="0"/>
          <w:bCs w:val="0"/>
          <w:highlight w:val="none"/>
        </w:rPr>
        <w:t>实现</w:t>
      </w:r>
      <w:r>
        <w:rPr>
          <w:rFonts w:hint="default" w:ascii="Times New Roman" w:hAnsi="Times New Roman" w:cs="Times New Roman"/>
          <w:b w:val="0"/>
          <w:bCs w:val="0"/>
          <w:highlight w:val="none"/>
          <w:lang w:val="en-US" w:eastAsia="zh-CN"/>
        </w:rPr>
        <w:t>包村</w:t>
      </w:r>
      <w:r>
        <w:rPr>
          <w:rFonts w:hint="default" w:ascii="Times New Roman" w:hAnsi="Times New Roman" w:cs="Times New Roman"/>
          <w:b w:val="0"/>
          <w:bCs w:val="0"/>
          <w:highlight w:val="none"/>
        </w:rPr>
        <w:t>企业</w:t>
      </w:r>
      <w:r>
        <w:rPr>
          <w:rFonts w:hint="default" w:ascii="Times New Roman" w:hAnsi="Times New Roman" w:cs="Times New Roman"/>
          <w:b w:val="0"/>
          <w:bCs w:val="0"/>
          <w:highlight w:val="none"/>
          <w:lang w:val="en-US" w:eastAsia="zh-CN"/>
        </w:rPr>
        <w:t>和</w:t>
      </w:r>
      <w:r>
        <w:rPr>
          <w:rFonts w:hint="default" w:ascii="Times New Roman" w:hAnsi="Times New Roman" w:cs="Times New Roman"/>
          <w:b w:val="0"/>
          <w:bCs w:val="0"/>
          <w:highlight w:val="none"/>
        </w:rPr>
        <w:t>薄弱村</w:t>
      </w:r>
      <w:r>
        <w:rPr>
          <w:rFonts w:hint="default" w:ascii="Times New Roman" w:hAnsi="Times New Roman" w:cs="Times New Roman"/>
          <w:b w:val="0"/>
          <w:bCs w:val="0"/>
          <w:highlight w:val="none"/>
          <w:lang w:val="en-US" w:eastAsia="zh-CN"/>
        </w:rPr>
        <w:t>的</w:t>
      </w:r>
      <w:r>
        <w:rPr>
          <w:rFonts w:hint="default" w:ascii="Times New Roman" w:hAnsi="Times New Roman" w:cs="Times New Roman"/>
          <w:b w:val="0"/>
          <w:bCs w:val="0"/>
          <w:highlight w:val="none"/>
        </w:rPr>
        <w:t>双向精准对接</w:t>
      </w:r>
      <w:r>
        <w:rPr>
          <w:rFonts w:hint="default" w:ascii="Times New Roman" w:hAnsi="Times New Roman" w:cs="Times New Roman"/>
          <w:b w:val="0"/>
          <w:bCs w:val="0"/>
          <w:highlight w:val="none"/>
          <w:lang w:eastAsia="zh-CN"/>
        </w:rPr>
        <w:t>，因地制宜助力发展可持续经营项目，切实变“输血”为“造血”。</w:t>
      </w:r>
      <w:r>
        <w:rPr>
          <w:rFonts w:hint="default" w:ascii="Times New Roman" w:hAnsi="Times New Roman" w:cs="Times New Roman"/>
          <w:b w:val="0"/>
          <w:bCs w:val="0"/>
          <w:highlight w:val="none"/>
        </w:rPr>
        <w:t>实施农业社会化服务提升行动，</w:t>
      </w:r>
      <w:r>
        <w:rPr>
          <w:rFonts w:hint="default" w:ascii="Times New Roman" w:hAnsi="Times New Roman" w:cs="Times New Roman"/>
          <w:b w:val="0"/>
          <w:bCs w:val="0"/>
          <w:highlight w:val="none"/>
          <w:lang w:val="en-US" w:eastAsia="zh-CN"/>
        </w:rPr>
        <w:t>积极</w:t>
      </w:r>
      <w:r>
        <w:rPr>
          <w:rFonts w:hint="default" w:ascii="Times New Roman" w:hAnsi="Times New Roman" w:cs="Times New Roman"/>
          <w:b w:val="0"/>
          <w:bCs w:val="0"/>
          <w:highlight w:val="none"/>
        </w:rPr>
        <w:t>培育服务</w:t>
      </w:r>
      <w:r>
        <w:rPr>
          <w:rFonts w:hint="default" w:ascii="Times New Roman" w:hAnsi="Times New Roman" w:cs="Times New Roman"/>
          <w:b w:val="0"/>
          <w:bCs w:val="0"/>
          <w:highlight w:val="none"/>
          <w:lang w:val="en-US" w:eastAsia="zh-CN"/>
        </w:rPr>
        <w:t>主体</w:t>
      </w:r>
      <w:r>
        <w:rPr>
          <w:rFonts w:hint="default" w:ascii="Times New Roman" w:hAnsi="Times New Roman" w:cs="Times New Roman"/>
          <w:b w:val="0"/>
          <w:bCs w:val="0"/>
          <w:highlight w:val="none"/>
        </w:rPr>
        <w:t>，构建便捷高效的农业社会化服务体系。拓展农业社会化服务内容，引导服务主体</w:t>
      </w:r>
      <w:r>
        <w:rPr>
          <w:rFonts w:hint="default" w:ascii="Times New Roman" w:hAnsi="Times New Roman" w:cs="Times New Roman"/>
          <w:b w:val="0"/>
          <w:bCs w:val="0"/>
          <w:highlight w:val="none"/>
          <w:lang w:eastAsia="zh-CN"/>
        </w:rPr>
        <w:t>开拓</w:t>
      </w:r>
      <w:r>
        <w:rPr>
          <w:rFonts w:hint="default" w:ascii="Times New Roman" w:hAnsi="Times New Roman" w:cs="Times New Roman"/>
          <w:b w:val="0"/>
          <w:bCs w:val="0"/>
          <w:highlight w:val="none"/>
        </w:rPr>
        <w:t>产前、产后服务及金融保险配套服务等新领域。规范和引导农业农村领域社会投资，健全风险防范机制。</w:t>
      </w:r>
    </w:p>
    <w:p w14:paraId="41CCC481">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82" w:name="_Toc4893"/>
      <w:bookmarkStart w:id="83" w:name="_Toc29530_WPSOffice_Level3"/>
      <w:r>
        <w:rPr>
          <w:rFonts w:hint="default" w:ascii="Times New Roman" w:hAnsi="Times New Roman" w:cs="Times New Roman"/>
          <w:highlight w:val="none"/>
          <w:lang w:val="en-US" w:eastAsia="zh-CN"/>
        </w:rPr>
        <w:t>4.拓宽增收致富渠道</w:t>
      </w:r>
      <w:bookmarkEnd w:id="82"/>
      <w:bookmarkEnd w:id="83"/>
    </w:p>
    <w:p w14:paraId="559FB42E">
      <w:pPr>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坚持以产业发展促增收，引导农民发展适合家庭经营的产业项目，因地制宜发展手工作坊、庭院经济、林下经济、民宿经济。推行乡村振兴合伙人模式，鼓励引导</w:t>
      </w:r>
      <w:r>
        <w:rPr>
          <w:rFonts w:hint="eastAsia" w:ascii="Times New Roman" w:hAnsi="Times New Roman" w:cs="Times New Roman"/>
          <w:b w:val="0"/>
          <w:bCs w:val="0"/>
          <w:highlight w:val="none"/>
          <w:lang w:eastAsia="zh-CN"/>
        </w:rPr>
        <w:t>社会资本</w:t>
      </w:r>
      <w:r>
        <w:rPr>
          <w:rFonts w:hint="default" w:ascii="Times New Roman" w:hAnsi="Times New Roman" w:cs="Times New Roman"/>
          <w:b w:val="0"/>
          <w:bCs w:val="0"/>
          <w:highlight w:val="none"/>
        </w:rPr>
        <w:t>投资兴办农民参与度高、受益面广的乡村产业。因村制宜发展富农产业，建设</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共富</w:t>
      </w:r>
      <w:r>
        <w:rPr>
          <w:rFonts w:hint="default" w:ascii="Times New Roman" w:hAnsi="Times New Roman" w:cs="Times New Roman"/>
          <w:b w:val="0"/>
          <w:bCs w:val="0"/>
          <w:highlight w:val="none"/>
        </w:rPr>
        <w:t>工厂</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共富</w:t>
      </w:r>
      <w:r>
        <w:rPr>
          <w:rFonts w:hint="default" w:ascii="Times New Roman" w:hAnsi="Times New Roman" w:cs="Times New Roman"/>
          <w:b w:val="0"/>
          <w:bCs w:val="0"/>
          <w:highlight w:val="none"/>
          <w:lang w:val="en-US" w:eastAsia="zh-CN"/>
        </w:rPr>
        <w:t>小院</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。开展党支部领办合作社提升行动，根据村级产业传统优势和条件禀赋，发展可持续的经营性项目，确保村集体收入稳定增长。加强村集体增收项目、乡村振兴衔接资金项目</w:t>
      </w:r>
      <w:r>
        <w:rPr>
          <w:rFonts w:hint="default" w:ascii="Times New Roman" w:hAnsi="Times New Roman" w:cs="Times New Roman"/>
          <w:b w:val="0"/>
          <w:bCs w:val="0"/>
          <w:highlight w:val="none"/>
          <w:lang w:val="en-US" w:eastAsia="zh-CN"/>
        </w:rPr>
        <w:t>的</w:t>
      </w:r>
      <w:r>
        <w:rPr>
          <w:rFonts w:hint="default" w:ascii="Times New Roman" w:hAnsi="Times New Roman" w:cs="Times New Roman"/>
          <w:b w:val="0"/>
          <w:bCs w:val="0"/>
          <w:highlight w:val="none"/>
        </w:rPr>
        <w:t>资产管理、跟踪指导和优化调整，确保持续发挥效益。坚持以盘活集体资产促增收，加快发展新型农村集体经济，促进农民收入增长。把促进农民增收与发展全域旅游、建设美丽乡村结合起来，让更多农民吃上</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旅游饭</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生态饭</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扩大以工代赈项目实施规模，在重点工程项目和农业农村基础设施建设领域推广以工代赈。健全农村人口常态化监测帮扶机制，分层分类落实产业帮扶、就业促进等措施，加强帮扶项目全周期管理，确保资产持续增效，坚决守牢不发生规模性返贫底线。</w:t>
      </w:r>
    </w:p>
    <w:p w14:paraId="49B5752B">
      <w:pPr>
        <w:pStyle w:val="3"/>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sz w:val="32"/>
          <w:szCs w:val="22"/>
          <w:highlight w:val="none"/>
          <w:lang w:val="en-US" w:eastAsia="zh-CN"/>
        </w:rPr>
      </w:pPr>
      <w:bookmarkStart w:id="84" w:name="_Toc14144_WPSOffice_Level2"/>
      <w:bookmarkStart w:id="85" w:name="_Toc24047"/>
      <w:bookmarkStart w:id="86" w:name="_Toc13170"/>
      <w:r>
        <w:rPr>
          <w:rFonts w:hint="default" w:ascii="Times New Roman" w:hAnsi="Times New Roman" w:cs="Times New Roman"/>
          <w:sz w:val="32"/>
          <w:szCs w:val="22"/>
          <w:highlight w:val="none"/>
          <w:lang w:val="en-US" w:eastAsia="zh-CN"/>
        </w:rPr>
        <w:t>第二节  着力建设宜居宜业和美乡村</w:t>
      </w:r>
      <w:bookmarkEnd w:id="84"/>
      <w:bookmarkEnd w:id="85"/>
      <w:bookmarkEnd w:id="86"/>
    </w:p>
    <w:p w14:paraId="1DF9E654">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87" w:name="_Toc15596_WPSOffice_Level3"/>
      <w:bookmarkStart w:id="88" w:name="_Toc10987"/>
      <w:r>
        <w:rPr>
          <w:rFonts w:hint="default" w:ascii="Times New Roman" w:hAnsi="Times New Roman" w:cs="Times New Roman"/>
          <w:highlight w:val="none"/>
          <w:lang w:val="en-US" w:eastAsia="zh-CN"/>
        </w:rPr>
        <w:t>1.</w:t>
      </w:r>
      <w:bookmarkEnd w:id="87"/>
      <w:bookmarkEnd w:id="88"/>
      <w:r>
        <w:rPr>
          <w:rFonts w:hint="default" w:ascii="Times New Roman" w:hAnsi="Times New Roman" w:cs="Times New Roman"/>
          <w:highlight w:val="none"/>
          <w:lang w:val="en-US" w:eastAsia="zh-CN"/>
        </w:rPr>
        <w:t>统筹城乡融合发展</w:t>
      </w:r>
    </w:p>
    <w:p w14:paraId="0CD8EF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rPr>
        <w:t>充分发挥县</w:t>
      </w:r>
      <w:r>
        <w:rPr>
          <w:rFonts w:hint="eastAsia" w:ascii="Times New Roman" w:hAnsi="Times New Roman" w:cs="Times New Roman"/>
          <w:b w:val="0"/>
          <w:bCs w:val="0"/>
          <w:highlight w:val="none"/>
          <w:lang w:eastAsia="zh-CN"/>
        </w:rPr>
        <w:t>镇</w:t>
      </w:r>
      <w:r>
        <w:rPr>
          <w:rFonts w:hint="default" w:ascii="Times New Roman" w:hAnsi="Times New Roman" w:cs="Times New Roman"/>
          <w:b w:val="0"/>
          <w:bCs w:val="0"/>
          <w:highlight w:val="none"/>
        </w:rPr>
        <w:t>国土空间规划的空间统筹和要素保障作用，</w:t>
      </w:r>
      <w:r>
        <w:rPr>
          <w:rFonts w:hint="default" w:ascii="Times New Roman" w:hAnsi="Times New Roman" w:cs="Times New Roman"/>
          <w:b w:val="0"/>
          <w:bCs w:val="0"/>
          <w:highlight w:val="none"/>
          <w:lang w:val="en-US" w:eastAsia="zh-CN"/>
        </w:rPr>
        <w:t>有序推进村庄规划编制，促进城乡产业发展、基础设施、公共服务一体化</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构建“一核、三团、十二片”发展格局</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突出南麻、历山这一县城核心，打造由南鲁山、鲁村、大张庄组成的西部文旅农商融合发展团，悦庄、石桥、东里、张家坡组成的东部工业突破发展团，燕崖、中庄、西里组成的南部农业振兴发展团，按照连片建设的思路，12个镇</w:t>
      </w:r>
      <w:r>
        <w:rPr>
          <w:rFonts w:hint="default" w:ascii="Times New Roman" w:hAnsi="Times New Roman" w:cs="Times New Roman"/>
          <w:b w:val="0"/>
          <w:bCs w:val="0"/>
          <w:color w:val="auto"/>
          <w:sz w:val="32"/>
          <w:szCs w:val="32"/>
          <w:highlight w:val="none"/>
          <w:lang w:val="en-US" w:eastAsia="zh-CN"/>
        </w:rPr>
        <w:t>街</w:t>
      </w:r>
      <w:r>
        <w:rPr>
          <w:rFonts w:hint="default" w:ascii="Times New Roman" w:hAnsi="Times New Roman" w:eastAsia="仿宋_GB2312" w:cs="Times New Roman"/>
          <w:b w:val="0"/>
          <w:bCs w:val="0"/>
          <w:color w:val="auto"/>
          <w:sz w:val="32"/>
          <w:szCs w:val="32"/>
          <w:highlight w:val="none"/>
          <w:lang w:val="en-US" w:eastAsia="zh-CN"/>
        </w:rPr>
        <w:t>沿沂河各打造一个乡村振兴示范片区，串联形成经济带，三年实现全覆盖，缩小镇</w:t>
      </w:r>
      <w:r>
        <w:rPr>
          <w:rFonts w:hint="default" w:ascii="Times New Roman" w:hAnsi="Times New Roman" w:cs="Times New Roman"/>
          <w:b w:val="0"/>
          <w:bCs w:val="0"/>
          <w:color w:val="auto"/>
          <w:sz w:val="32"/>
          <w:szCs w:val="32"/>
          <w:highlight w:val="none"/>
          <w:lang w:val="en-US" w:eastAsia="zh-CN"/>
        </w:rPr>
        <w:t>街</w:t>
      </w:r>
      <w:r>
        <w:rPr>
          <w:rFonts w:hint="default" w:ascii="Times New Roman" w:hAnsi="Times New Roman" w:eastAsia="仿宋_GB2312" w:cs="Times New Roman"/>
          <w:b w:val="0"/>
          <w:bCs w:val="0"/>
          <w:color w:val="auto"/>
          <w:sz w:val="32"/>
          <w:szCs w:val="32"/>
          <w:highlight w:val="none"/>
          <w:lang w:val="en-US" w:eastAsia="zh-CN"/>
        </w:rPr>
        <w:t>、城乡、收入“三大差距”。</w:t>
      </w:r>
      <w:r>
        <w:rPr>
          <w:rFonts w:hint="default" w:ascii="Times New Roman" w:hAnsi="Times New Roman" w:cs="Times New Roman"/>
          <w:b w:val="0"/>
          <w:bCs w:val="0"/>
          <w:highlight w:val="none"/>
          <w:lang w:val="en-US" w:eastAsia="zh-CN"/>
        </w:rPr>
        <w:t>做好</w:t>
      </w:r>
      <w:r>
        <w:rPr>
          <w:rFonts w:hint="default" w:ascii="Times New Roman" w:hAnsi="Times New Roman" w:cs="Times New Roman"/>
          <w:b w:val="0"/>
          <w:bCs w:val="0"/>
          <w:highlight w:val="none"/>
        </w:rPr>
        <w:t>传统村落和乡村风貌</w:t>
      </w:r>
      <w:r>
        <w:rPr>
          <w:rFonts w:hint="default" w:ascii="Times New Roman" w:hAnsi="Times New Roman" w:cs="Times New Roman"/>
          <w:b w:val="0"/>
          <w:bCs w:val="0"/>
          <w:highlight w:val="none"/>
          <w:lang w:val="en-US" w:eastAsia="zh-CN"/>
        </w:rPr>
        <w:t>保护工作</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加强乡村空间设计</w:t>
      </w:r>
      <w:r>
        <w:rPr>
          <w:rFonts w:hint="default" w:ascii="Times New Roman" w:hAnsi="Times New Roman" w:cs="Times New Roman"/>
          <w:b w:val="0"/>
          <w:bCs w:val="0"/>
          <w:highlight w:val="none"/>
          <w:lang w:eastAsia="zh-CN"/>
        </w:rPr>
        <w:t>，鼓励有条件的村庄实施立面管控、管线序化、村道提升、绿化亮化、传统民居修缮</w:t>
      </w:r>
      <w:r>
        <w:rPr>
          <w:rFonts w:hint="default" w:ascii="Times New Roman" w:hAnsi="Times New Roman" w:cs="Times New Roman"/>
          <w:b w:val="0"/>
          <w:bCs w:val="0"/>
          <w:highlight w:val="none"/>
        </w:rPr>
        <w:t>，分类推进村庄发展</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实施革命老区新农村迁建工程，高质量建设水、电、气、暖、网、路以及商业、卫生等配套服务设施，满足搬迁农民生产、生活需求。</w:t>
      </w:r>
    </w:p>
    <w:p w14:paraId="4B9D423D">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89" w:name="_Toc20169_WPSOffice_Level3"/>
      <w:bookmarkStart w:id="90" w:name="_Toc23346"/>
      <w:r>
        <w:rPr>
          <w:rFonts w:hint="default" w:ascii="Times New Roman" w:hAnsi="Times New Roman" w:cs="Times New Roman"/>
          <w:highlight w:val="none"/>
          <w:lang w:val="en-US" w:eastAsia="zh-CN"/>
        </w:rPr>
        <w:t>2.完善农村基础设施</w:t>
      </w:r>
      <w:bookmarkEnd w:id="89"/>
      <w:bookmarkEnd w:id="90"/>
    </w:p>
    <w:p w14:paraId="2C52C5E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spacing w:val="6"/>
          <w:highlight w:val="none"/>
        </w:rPr>
      </w:pPr>
      <w:r>
        <w:rPr>
          <w:rFonts w:hint="default" w:ascii="Times New Roman" w:hAnsi="Times New Roman" w:cs="Times New Roman"/>
          <w:b w:val="0"/>
          <w:bCs w:val="0"/>
          <w:highlight w:val="none"/>
          <w:lang w:val="en-US" w:eastAsia="zh-CN"/>
        </w:rPr>
        <w:t>抓好</w:t>
      </w:r>
      <w:r>
        <w:rPr>
          <w:rFonts w:hint="default" w:ascii="Times New Roman" w:hAnsi="Times New Roman" w:cs="Times New Roman"/>
          <w:b w:val="0"/>
          <w:bCs w:val="0"/>
          <w:spacing w:val="6"/>
          <w:highlight w:val="none"/>
        </w:rPr>
        <w:t>农村规模化供水</w:t>
      </w:r>
      <w:r>
        <w:rPr>
          <w:rFonts w:hint="default" w:ascii="Times New Roman" w:hAnsi="Times New Roman" w:cs="Times New Roman"/>
          <w:b w:val="0"/>
          <w:bCs w:val="0"/>
          <w:spacing w:val="6"/>
          <w:highlight w:val="none"/>
          <w:lang w:val="en-US" w:eastAsia="zh-CN"/>
        </w:rPr>
        <w:t>运营管理</w:t>
      </w:r>
      <w:r>
        <w:rPr>
          <w:rFonts w:hint="default" w:ascii="Times New Roman" w:hAnsi="Times New Roman" w:cs="Times New Roman"/>
          <w:b w:val="0"/>
          <w:bCs w:val="0"/>
          <w:spacing w:val="6"/>
          <w:highlight w:val="none"/>
        </w:rPr>
        <w:t>。实施新一轮农村公路</w:t>
      </w:r>
      <w:r>
        <w:rPr>
          <w:rFonts w:hint="default" w:ascii="Times New Roman" w:hAnsi="Times New Roman" w:cs="Times New Roman"/>
          <w:b w:val="0"/>
          <w:bCs w:val="0"/>
          <w:spacing w:val="6"/>
          <w:highlight w:val="none"/>
          <w:lang w:val="en-US" w:eastAsia="zh-CN"/>
        </w:rPr>
        <w:t>提档升级</w:t>
      </w:r>
      <w:r>
        <w:rPr>
          <w:rFonts w:hint="default" w:ascii="Times New Roman" w:hAnsi="Times New Roman" w:cs="Times New Roman"/>
          <w:b w:val="0"/>
          <w:bCs w:val="0"/>
          <w:spacing w:val="6"/>
          <w:highlight w:val="none"/>
        </w:rPr>
        <w:t>行动，开展农村公路及桥梁隧道风险隐患排查和整治，推动</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rPr>
        <w:t>四好农村路</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rPr>
        <w:t>高质量发展，统筹</w:t>
      </w:r>
      <w:r>
        <w:rPr>
          <w:rFonts w:hint="default" w:ascii="Times New Roman" w:hAnsi="Times New Roman" w:cs="Times New Roman"/>
          <w:b w:val="0"/>
          <w:bCs w:val="0"/>
          <w:spacing w:val="6"/>
          <w:highlight w:val="none"/>
          <w:lang w:val="en-US" w:eastAsia="zh-CN"/>
        </w:rPr>
        <w:t>推进</w:t>
      </w:r>
      <w:r>
        <w:rPr>
          <w:rFonts w:hint="default" w:ascii="Times New Roman" w:hAnsi="Times New Roman" w:cs="Times New Roman"/>
          <w:b w:val="0"/>
          <w:bCs w:val="0"/>
          <w:spacing w:val="6"/>
          <w:highlight w:val="none"/>
        </w:rPr>
        <w:t>乡村旅游路、骑行路、健身步道建设。持续深化快递进村，推进村级寄递物流综合服务站建设，解决农村寄递</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rPr>
        <w:t>最后一公里</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rPr>
        <w:t>问题。推动冷链配送和即时零售向</w:t>
      </w:r>
      <w:r>
        <w:rPr>
          <w:rFonts w:hint="eastAsia" w:ascii="Times New Roman" w:hAnsi="Times New Roman" w:cs="Times New Roman"/>
          <w:b w:val="0"/>
          <w:bCs w:val="0"/>
          <w:spacing w:val="6"/>
          <w:highlight w:val="none"/>
          <w:lang w:val="en-US" w:eastAsia="zh-CN"/>
        </w:rPr>
        <w:t>镇街、村居</w:t>
      </w:r>
      <w:r>
        <w:rPr>
          <w:rFonts w:hint="default" w:ascii="Times New Roman" w:hAnsi="Times New Roman" w:cs="Times New Roman"/>
          <w:b w:val="0"/>
          <w:bCs w:val="0"/>
          <w:spacing w:val="6"/>
          <w:highlight w:val="none"/>
        </w:rPr>
        <w:t>延伸。持续推进农村电网线路新建改造，巩固提升农村电力保障水平，鼓励有条件的地方建设公共充换电设施。有序推进城市燃气管网覆盖镇村。加快数字乡村建设，合理规划布局农村5G、千兆光纤等新型基础设施。</w:t>
      </w:r>
      <w:r>
        <w:rPr>
          <w:rFonts w:hint="default" w:ascii="Times New Roman" w:hAnsi="Times New Roman" w:cs="Times New Roman"/>
          <w:b w:val="0"/>
          <w:bCs w:val="0"/>
          <w:spacing w:val="6"/>
          <w:highlight w:val="none"/>
          <w:lang w:val="en-US" w:eastAsia="zh-CN"/>
        </w:rPr>
        <w:t>开展农村低收入群体住房安全动态监测，</w:t>
      </w:r>
      <w:r>
        <w:rPr>
          <w:rFonts w:hint="default" w:ascii="Times New Roman" w:hAnsi="Times New Roman" w:cs="Times New Roman"/>
          <w:b w:val="0"/>
          <w:bCs w:val="0"/>
          <w:spacing w:val="6"/>
          <w:highlight w:val="none"/>
        </w:rPr>
        <w:t>实施农村危房改造和农房抗震改造。健全专业化、标准化和城乡一体化的乡村公共设施管护机制。</w:t>
      </w:r>
    </w:p>
    <w:tbl>
      <w:tblPr>
        <w:tblStyle w:val="1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783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520" w:type="dxa"/>
          </w:tcPr>
          <w:p w14:paraId="4CE02DC4">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专栏12：农村公路提档升级项目</w:t>
            </w:r>
          </w:p>
        </w:tc>
      </w:tr>
      <w:tr w14:paraId="7B35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8520" w:type="dxa"/>
          </w:tcPr>
          <w:p w14:paraId="45BE3415">
            <w:pPr>
              <w:pStyle w:val="27"/>
              <w:keepNext w:val="0"/>
              <w:keepLines w:val="0"/>
              <w:pageBreakBefore w:val="0"/>
              <w:widowControl w:val="0"/>
              <w:kinsoku/>
              <w:wordWrap/>
              <w:overflowPunct/>
              <w:topLinePunct w:val="0"/>
              <w:autoSpaceDE/>
              <w:autoSpaceDN/>
              <w:bidi w:val="0"/>
              <w:adjustRightInd/>
              <w:snapToGrid/>
              <w:spacing w:line="440" w:lineRule="exact"/>
              <w:ind w:left="0" w:leftChars="0" w:firstLine="504" w:firstLineChars="200"/>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pacing w:val="6"/>
                <w:sz w:val="24"/>
                <w:szCs w:val="24"/>
                <w:highlight w:val="none"/>
              </w:rPr>
              <w:t>包括X026南崔路织女洞至惠沂线段、</w:t>
            </w:r>
            <w:r>
              <w:rPr>
                <w:rFonts w:hint="default" w:ascii="Times New Roman" w:hAnsi="Times New Roman" w:eastAsia="仿宋_GB2312" w:cs="Times New Roman"/>
                <w:b w:val="0"/>
                <w:bCs w:val="0"/>
                <w:spacing w:val="6"/>
                <w:sz w:val="24"/>
                <w:szCs w:val="24"/>
                <w:highlight w:val="none"/>
                <w:lang w:val="en-US" w:eastAsia="zh-CN"/>
              </w:rPr>
              <w:t>Y015三九路璞邱至九会段</w:t>
            </w:r>
            <w:r>
              <w:rPr>
                <w:rFonts w:hint="default" w:ascii="Times New Roman" w:hAnsi="Times New Roman" w:eastAsia="仿宋_GB2312" w:cs="Times New Roman"/>
                <w:b w:val="0"/>
                <w:bCs w:val="0"/>
                <w:spacing w:val="6"/>
                <w:sz w:val="24"/>
                <w:szCs w:val="24"/>
                <w:highlight w:val="none"/>
              </w:rPr>
              <w:t>、X009淄安路沂邳线至振兴路段</w:t>
            </w:r>
            <w:r>
              <w:rPr>
                <w:rFonts w:hint="default" w:ascii="Times New Roman" w:hAnsi="Times New Roman" w:eastAsia="仿宋_GB2312" w:cs="Times New Roman"/>
                <w:b w:val="0"/>
                <w:bCs w:val="0"/>
                <w:spacing w:val="6"/>
                <w:sz w:val="24"/>
                <w:szCs w:val="24"/>
                <w:highlight w:val="none"/>
                <w:lang w:val="en-US" w:eastAsia="zh-CN"/>
              </w:rPr>
              <w:t>3</w:t>
            </w:r>
            <w:r>
              <w:rPr>
                <w:rFonts w:hint="default" w:ascii="Times New Roman" w:hAnsi="Times New Roman" w:eastAsia="仿宋_GB2312" w:cs="Times New Roman"/>
                <w:b w:val="0"/>
                <w:bCs w:val="0"/>
                <w:spacing w:val="6"/>
                <w:sz w:val="24"/>
                <w:szCs w:val="24"/>
                <w:highlight w:val="none"/>
              </w:rPr>
              <w:t>条共计约30公里农村公路新改建；</w:t>
            </w:r>
            <w:r>
              <w:rPr>
                <w:rFonts w:hint="default" w:ascii="Times New Roman" w:hAnsi="Times New Roman" w:eastAsia="仿宋_GB2312" w:cs="Times New Roman"/>
                <w:b w:val="0"/>
                <w:bCs w:val="0"/>
                <w:spacing w:val="6"/>
                <w:sz w:val="24"/>
                <w:szCs w:val="24"/>
                <w:highlight w:val="none"/>
                <w:lang w:val="en-US" w:eastAsia="zh-CN"/>
              </w:rPr>
              <w:t>15.5公里旅游廊道服务功能提升；82.7公里农村公路改造提升；75公里“四好农村路”提质增效专项行动</w:t>
            </w:r>
            <w:r>
              <w:rPr>
                <w:rFonts w:hint="default" w:ascii="Times New Roman" w:hAnsi="Times New Roman" w:eastAsia="仿宋_GB2312" w:cs="Times New Roman"/>
                <w:b w:val="0"/>
                <w:bCs w:val="0"/>
                <w:spacing w:val="6"/>
                <w:sz w:val="24"/>
                <w:szCs w:val="24"/>
                <w:highlight w:val="none"/>
              </w:rPr>
              <w:t>。</w:t>
            </w:r>
            <w:r>
              <w:rPr>
                <w:rFonts w:hint="default" w:ascii="Times New Roman" w:hAnsi="Times New Roman" w:eastAsia="仿宋_GB2312" w:cs="Times New Roman"/>
                <w:b w:val="0"/>
                <w:bCs w:val="0"/>
                <w:sz w:val="24"/>
                <w:szCs w:val="24"/>
                <w:highlight w:val="none"/>
                <w:lang w:val="en-US" w:eastAsia="zh-CN"/>
              </w:rPr>
              <w:t>‌</w:t>
            </w:r>
          </w:p>
        </w:tc>
      </w:tr>
    </w:tbl>
    <w:p w14:paraId="0A019698">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91" w:name="_Toc26099"/>
      <w:bookmarkStart w:id="92" w:name="_Toc18917_WPSOffice_Level3"/>
      <w:r>
        <w:rPr>
          <w:rFonts w:hint="default" w:ascii="Times New Roman" w:hAnsi="Times New Roman" w:cs="Times New Roman"/>
          <w:highlight w:val="none"/>
          <w:lang w:val="en-US" w:eastAsia="zh-CN"/>
        </w:rPr>
        <w:t>3.提高农村基本公共服务水平</w:t>
      </w:r>
      <w:bookmarkEnd w:id="91"/>
      <w:bookmarkEnd w:id="92"/>
    </w:p>
    <w:p w14:paraId="16023E0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lang w:eastAsia="zh-CN"/>
        </w:rPr>
        <w:t>推进城乡基本公共服务标准统一、制度并轨，增加农村、教育、医疗、养老、文化等服务供给。建设城乡学校共同体，推动城乡义务教育优质资源均衡共享。以人员下沉为重点推进紧密型县域医共体建设，提升镇卫生院、村卫生室标准化水平，推动远程医疗服务体系建设。加强农村传染病防控和应急处置能力建设，深入开展爱国卫生运动。落实基本医保参保长效机制，对连续参保和当年零报销的农村居民，提高次年大病保险最高支付限额。健全县</w:t>
      </w:r>
      <w:r>
        <w:rPr>
          <w:rFonts w:hint="eastAsia" w:ascii="Times New Roman" w:hAnsi="Times New Roman" w:cs="Times New Roman"/>
          <w:b w:val="0"/>
          <w:bCs w:val="0"/>
          <w:highlight w:val="none"/>
          <w:lang w:eastAsia="zh-CN"/>
        </w:rPr>
        <w:t>镇</w:t>
      </w:r>
      <w:r>
        <w:rPr>
          <w:rFonts w:hint="default" w:ascii="Times New Roman" w:hAnsi="Times New Roman" w:cs="Times New Roman"/>
          <w:b w:val="0"/>
          <w:bCs w:val="0"/>
          <w:highlight w:val="none"/>
          <w:lang w:eastAsia="zh-CN"/>
        </w:rPr>
        <w:t>村三级养老服务网络，鼓励开展村级互助式养老服务，推进镇卫生院与敬老院、村卫生室与农村幸福院统筹规划、毗邻建设、融合发展。</w:t>
      </w:r>
      <w:r>
        <w:rPr>
          <w:rFonts w:hint="default" w:ascii="Times New Roman" w:hAnsi="Times New Roman" w:cs="Times New Roman"/>
          <w:b w:val="0"/>
          <w:bCs w:val="0"/>
          <w:highlight w:val="none"/>
          <w:lang w:val="en-US" w:eastAsia="zh-CN"/>
        </w:rPr>
        <w:t>以创建全国县域养老服务体系创新试点项目为目标，优化闲置卫生院、学校等资源配置。</w:t>
      </w:r>
      <w:r>
        <w:rPr>
          <w:rFonts w:hint="default" w:ascii="Times New Roman" w:hAnsi="Times New Roman" w:cs="Times New Roman"/>
          <w:b w:val="0"/>
          <w:bCs w:val="0"/>
          <w:highlight w:val="none"/>
          <w:lang w:eastAsia="zh-CN"/>
        </w:rPr>
        <w:t>发展农村婴幼儿照护服务，开展农村留守儿童和困境儿童关爱服务质量提升行动。</w:t>
      </w:r>
    </w:p>
    <w:p w14:paraId="6C15B8E4">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93" w:name="_Toc11166"/>
      <w:bookmarkStart w:id="94" w:name="_Toc4391_WPSOffice_Level3"/>
      <w:r>
        <w:rPr>
          <w:rFonts w:hint="default" w:ascii="Times New Roman" w:hAnsi="Times New Roman" w:cs="Times New Roman"/>
          <w:highlight w:val="none"/>
          <w:lang w:val="en-US" w:eastAsia="zh-CN"/>
        </w:rPr>
        <w:t>4.持续加强农村生态环境治理</w:t>
      </w:r>
      <w:bookmarkEnd w:id="93"/>
      <w:bookmarkEnd w:id="94"/>
    </w:p>
    <w:p w14:paraId="16F4F46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rPr>
      </w:pPr>
      <w:bookmarkStart w:id="95" w:name="_Toc5168"/>
      <w:r>
        <w:rPr>
          <w:rFonts w:hint="default" w:ascii="Times New Roman" w:hAnsi="Times New Roman" w:cs="Times New Roman"/>
          <w:b w:val="0"/>
          <w:bCs w:val="0"/>
          <w:highlight w:val="none"/>
          <w:lang w:val="en-US" w:eastAsia="zh-CN"/>
        </w:rPr>
        <w:t>统筹推进农村人居环境整治，持续开展“五清三化”</w:t>
      </w:r>
      <w:r>
        <w:rPr>
          <w:rFonts w:hint="default" w:ascii="Times New Roman" w:hAnsi="Times New Roman" w:cs="Times New Roman"/>
          <w:b w:val="0"/>
          <w:bCs w:val="0"/>
          <w:highlight w:val="none"/>
        </w:rPr>
        <w:t>。加强农村改厕后续管护。实施农村生活污水治理管控，推动农村生活污水和厕所粪污协同治理，基本消除农村较大面积黑臭水体。加强乡村河湖管护，持续建设生态清洁小流域。优化农村生活垃圾收转运处理体系，探索生活垃圾就地就近处理和资源化利用有效模式。推进农用地土壤重金属污染溯源和整治。深化</w:t>
      </w:r>
      <w:r>
        <w:rPr>
          <w:rFonts w:hint="default" w:ascii="Times New Roman" w:hAnsi="Times New Roman" w:cs="Times New Roman"/>
          <w:b w:val="0"/>
          <w:bCs w:val="0"/>
          <w:highlight w:val="none"/>
          <w:lang w:eastAsia="zh-CN"/>
        </w:rPr>
        <w:t>农村人居环境整治提升行动</w:t>
      </w:r>
      <w:r>
        <w:rPr>
          <w:rFonts w:hint="default" w:ascii="Times New Roman" w:hAnsi="Times New Roman" w:cs="Times New Roman"/>
          <w:b w:val="0"/>
          <w:bCs w:val="0"/>
          <w:highlight w:val="none"/>
        </w:rPr>
        <w:t>，持续开展村庄“清洁行动”，提倡就地取材，推动村庄微改造精提升。</w:t>
      </w:r>
      <w:r>
        <w:rPr>
          <w:rFonts w:hint="default" w:ascii="Times New Roman" w:hAnsi="Times New Roman" w:cs="Times New Roman"/>
          <w:b w:val="0"/>
          <w:bCs w:val="0"/>
          <w:highlight w:val="none"/>
          <w:lang w:val="en-US" w:eastAsia="zh-CN"/>
        </w:rPr>
        <w:t>持续推进“幸福沂家</w:t>
      </w:r>
      <w:r>
        <w:rPr>
          <w:rFonts w:hint="default" w:ascii="Times New Roman" w:hAnsi="Times New Roman" w:cs="Times New Roman"/>
          <w:highlight w:val="none"/>
        </w:rPr>
        <w:t>·</w:t>
      </w:r>
      <w:r>
        <w:rPr>
          <w:rFonts w:hint="default" w:ascii="Times New Roman" w:hAnsi="Times New Roman" w:cs="Times New Roman"/>
          <w:b w:val="0"/>
          <w:bCs w:val="0"/>
          <w:highlight w:val="none"/>
          <w:lang w:val="en-US" w:eastAsia="zh-CN"/>
        </w:rPr>
        <w:t>美丽庭院焕新”行动，提升美丽庭院建设工作质效。</w:t>
      </w:r>
      <w:r>
        <w:rPr>
          <w:rFonts w:hint="default" w:ascii="Times New Roman" w:hAnsi="Times New Roman" w:cs="Times New Roman"/>
          <w:b w:val="0"/>
          <w:bCs w:val="0"/>
          <w:highlight w:val="none"/>
        </w:rPr>
        <w:t>巩固拓展国家村庄清洁行动先进县成果，坚持建管并重，完善农村人居环境长效管护机制，全面提高农村人居环境舒适度。</w:t>
      </w:r>
    </w:p>
    <w:p w14:paraId="189F77A8">
      <w:pPr>
        <w:pStyle w:val="3"/>
        <w:keepNext/>
        <w:keepLines/>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96" w:name="_Toc29511_WPSOffice_Level2"/>
      <w:bookmarkStart w:id="97" w:name="_Toc21112"/>
      <w:r>
        <w:rPr>
          <w:rFonts w:hint="default" w:ascii="Times New Roman" w:hAnsi="Times New Roman" w:cs="Times New Roman"/>
          <w:sz w:val="32"/>
          <w:szCs w:val="22"/>
          <w:highlight w:val="none"/>
          <w:lang w:val="en-US" w:eastAsia="zh-CN"/>
        </w:rPr>
        <w:t>第三节  着力提升乡村治理水平</w:t>
      </w:r>
      <w:bookmarkEnd w:id="95"/>
      <w:bookmarkEnd w:id="96"/>
      <w:bookmarkEnd w:id="97"/>
    </w:p>
    <w:p w14:paraId="2AF90CF6">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98" w:name="_Toc29067_WPSOffice_Level3"/>
      <w:bookmarkStart w:id="99" w:name="_Toc22268"/>
      <w:r>
        <w:rPr>
          <w:rFonts w:hint="default" w:ascii="Times New Roman" w:hAnsi="Times New Roman" w:cs="Times New Roman"/>
          <w:highlight w:val="none"/>
          <w:lang w:val="en-US" w:eastAsia="zh-CN"/>
        </w:rPr>
        <w:t>1.推进党建引领乡村治理</w:t>
      </w:r>
      <w:bookmarkEnd w:id="98"/>
      <w:bookmarkEnd w:id="99"/>
    </w:p>
    <w:p w14:paraId="6CAA0B3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rPr>
        <w:t>深入推进抓党建促乡村振兴，坚持以党建引领基层治理。强化基层党组织政治功能和组织功能，健全党组织领导下的自治、法治、德治相结合治理体系。加强镇</w:t>
      </w:r>
      <w:r>
        <w:rPr>
          <w:rFonts w:hint="default" w:ascii="Times New Roman" w:hAnsi="Times New Roman" w:cs="Times New Roman"/>
          <w:b w:val="0"/>
          <w:bCs w:val="0"/>
          <w:highlight w:val="none"/>
          <w:lang w:val="en-US" w:eastAsia="zh-CN"/>
        </w:rPr>
        <w:t>街</w:t>
      </w:r>
      <w:r>
        <w:rPr>
          <w:rFonts w:hint="default" w:ascii="Times New Roman" w:hAnsi="Times New Roman" w:cs="Times New Roman"/>
          <w:b w:val="0"/>
          <w:bCs w:val="0"/>
          <w:highlight w:val="none"/>
        </w:rPr>
        <w:t>领导班子和干部队伍建设，着力解决部分年轻干部在农村基层</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水土不服</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问题。</w:t>
      </w:r>
      <w:r>
        <w:rPr>
          <w:rFonts w:hint="default" w:ascii="Times New Roman" w:hAnsi="Times New Roman" w:eastAsia="仿宋_GB2312" w:cs="Times New Roman"/>
          <w:b w:val="0"/>
          <w:bCs w:val="0"/>
          <w:i w:val="0"/>
          <w:iCs w:val="0"/>
          <w:caps w:val="0"/>
          <w:spacing w:val="0"/>
          <w:sz w:val="32"/>
          <w:szCs w:val="24"/>
          <w:highlight w:val="none"/>
          <w:shd w:val="clear"/>
        </w:rPr>
        <w:t>加强农村党员干部教育培训，</w:t>
      </w:r>
      <w:r>
        <w:rPr>
          <w:rFonts w:hint="default" w:ascii="Times New Roman" w:hAnsi="Times New Roman" w:cs="Times New Roman"/>
          <w:b w:val="0"/>
          <w:bCs w:val="0"/>
          <w:highlight w:val="none"/>
        </w:rPr>
        <w:t>优化驻村第一书记和工作队管理</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大力培育</w:t>
      </w:r>
      <w:r>
        <w:rPr>
          <w:rFonts w:hint="default" w:ascii="Times New Roman" w:hAnsi="Times New Roman" w:cs="Times New Roman"/>
          <w:b w:val="0"/>
          <w:bCs w:val="0"/>
          <w:highlight w:val="none"/>
        </w:rPr>
        <w:t>村级党组织带头人后备力量</w:t>
      </w:r>
      <w:r>
        <w:rPr>
          <w:rFonts w:hint="default" w:ascii="Times New Roman" w:hAnsi="Times New Roman" w:cs="Times New Roman"/>
          <w:b w:val="0"/>
          <w:bCs w:val="0"/>
          <w:highlight w:val="none"/>
          <w:lang w:eastAsia="zh-CN"/>
        </w:rPr>
        <w:t>，</w:t>
      </w:r>
      <w:r>
        <w:rPr>
          <w:rFonts w:hint="default" w:ascii="Times New Roman" w:hAnsi="Times New Roman" w:eastAsia="仿宋_GB2312" w:cs="Times New Roman"/>
          <w:b w:val="0"/>
          <w:bCs w:val="0"/>
          <w:i w:val="0"/>
          <w:iCs w:val="0"/>
          <w:caps w:val="0"/>
          <w:spacing w:val="0"/>
          <w:sz w:val="32"/>
          <w:szCs w:val="24"/>
          <w:highlight w:val="none"/>
          <w:shd w:val="clear"/>
        </w:rPr>
        <w:t>全面提高</w:t>
      </w:r>
      <w:r>
        <w:rPr>
          <w:rFonts w:hint="default" w:ascii="Times New Roman" w:hAnsi="Times New Roman" w:cs="Times New Roman"/>
          <w:b w:val="0"/>
          <w:bCs w:val="0"/>
          <w:i w:val="0"/>
          <w:iCs w:val="0"/>
          <w:caps w:val="0"/>
          <w:spacing w:val="0"/>
          <w:sz w:val="32"/>
          <w:szCs w:val="24"/>
          <w:highlight w:val="none"/>
          <w:shd w:val="clear"/>
          <w:lang w:val="en-US" w:eastAsia="zh-CN"/>
        </w:rPr>
        <w:t>基层干部</w:t>
      </w:r>
      <w:r>
        <w:rPr>
          <w:rFonts w:hint="default" w:ascii="Times New Roman" w:hAnsi="Times New Roman" w:eastAsia="仿宋_GB2312" w:cs="Times New Roman"/>
          <w:b w:val="0"/>
          <w:bCs w:val="0"/>
          <w:i w:val="0"/>
          <w:iCs w:val="0"/>
          <w:caps w:val="0"/>
          <w:spacing w:val="0"/>
          <w:sz w:val="32"/>
          <w:szCs w:val="24"/>
          <w:highlight w:val="none"/>
          <w:shd w:val="clear"/>
        </w:rPr>
        <w:t>领导乡村振兴能力。</w:t>
      </w:r>
      <w:r>
        <w:rPr>
          <w:rFonts w:hint="default" w:ascii="Times New Roman" w:hAnsi="Times New Roman" w:cs="Times New Roman"/>
          <w:b w:val="0"/>
          <w:bCs w:val="0"/>
          <w:highlight w:val="none"/>
        </w:rPr>
        <w:t>深入落实</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五雁兴村</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计划，稳妥推进村级党组织跨村联建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严格落实</w:t>
      </w:r>
      <w:r>
        <w:rPr>
          <w:rFonts w:hint="default" w:ascii="Times New Roman" w:hAnsi="Times New Roman" w:cs="Times New Roman"/>
          <w:b w:val="0"/>
          <w:bCs w:val="0"/>
          <w:spacing w:val="6"/>
          <w:sz w:val="32"/>
          <w:highlight w:val="none"/>
        </w:rPr>
        <w:t>村级民主决策机制，完善村务公开和民主议事制度，支持农民群众多渠道参与村级议事协商</w:t>
      </w:r>
      <w:r>
        <w:rPr>
          <w:rFonts w:hint="default" w:ascii="Times New Roman" w:hAnsi="Times New Roman" w:cs="Times New Roman"/>
          <w:b w:val="0"/>
          <w:bCs w:val="0"/>
          <w:spacing w:val="6"/>
          <w:sz w:val="32"/>
          <w:highlight w:val="none"/>
          <w:lang w:eastAsia="zh-CN"/>
        </w:rPr>
        <w:t>。完善基层监督体系，</w:t>
      </w:r>
      <w:r>
        <w:rPr>
          <w:rFonts w:hint="default" w:ascii="Times New Roman" w:hAnsi="Times New Roman" w:cs="Times New Roman"/>
          <w:b w:val="0"/>
          <w:bCs w:val="0"/>
          <w:spacing w:val="6"/>
          <w:sz w:val="32"/>
          <w:highlight w:val="none"/>
        </w:rPr>
        <w:t>持续深化整治乡村振兴领域不正之风和腐败</w:t>
      </w:r>
      <w:r>
        <w:rPr>
          <w:rFonts w:hint="default" w:ascii="Times New Roman" w:hAnsi="Times New Roman" w:cs="Times New Roman"/>
          <w:b w:val="0"/>
          <w:bCs w:val="0"/>
          <w:highlight w:val="none"/>
        </w:rPr>
        <w:t>问题。</w:t>
      </w:r>
    </w:p>
    <w:p w14:paraId="789FCBBD">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00" w:name="_Toc19984_WPSOffice_Level3"/>
      <w:bookmarkStart w:id="101" w:name="_Toc24248"/>
      <w:r>
        <w:rPr>
          <w:rFonts w:hint="default" w:ascii="Times New Roman" w:hAnsi="Times New Roman" w:cs="Times New Roman"/>
          <w:highlight w:val="none"/>
          <w:lang w:val="en-US" w:eastAsia="zh-CN"/>
        </w:rPr>
        <w:t>2.加强文明乡风建设</w:t>
      </w:r>
      <w:bookmarkEnd w:id="100"/>
      <w:bookmarkEnd w:id="101"/>
    </w:p>
    <w:p w14:paraId="5913872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践行社会主义核心价值观，加强新时代农村精神文明建设，实施文明乡风建设工程。深化拓展新时代文明实践中心建设，倡树美德健康新生活。开展</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除陋习、树新风</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专项整治行动，整治人情攀比、大操大办、厚葬薄养、散埋乱葬等突出问题，</w:t>
      </w:r>
      <w:r>
        <w:rPr>
          <w:rFonts w:hint="default" w:ascii="Times New Roman" w:hAnsi="Times New Roman" w:eastAsia="仿宋_GB2312" w:cs="Times New Roman"/>
          <w:b w:val="0"/>
          <w:bCs w:val="0"/>
          <w:color w:val="000000" w:themeColor="text1"/>
          <w:spacing w:val="0"/>
          <w:position w:val="0"/>
          <w:sz w:val="32"/>
          <w:szCs w:val="32"/>
          <w:highlight w:val="none"/>
          <w:lang w:val="en-US" w:eastAsia="zh-CN"/>
          <w14:textFill>
            <w14:solidFill>
              <w14:schemeClr w14:val="tx1"/>
            </w14:solidFill>
          </w14:textFill>
        </w:rPr>
        <w:t>推广厚养礼葬及“追思会”</w:t>
      </w:r>
      <w:r>
        <w:rPr>
          <w:rFonts w:hint="default" w:ascii="Times New Roman" w:hAnsi="Times New Roman" w:cs="Times New Roman"/>
          <w:b w:val="0"/>
          <w:bCs w:val="0"/>
          <w:color w:val="000000" w:themeColor="text1"/>
          <w:spacing w:val="0"/>
          <w:position w:val="0"/>
          <w:sz w:val="32"/>
          <w:szCs w:val="32"/>
          <w:highlight w:val="none"/>
          <w:lang w:val="en-US" w:eastAsia="zh-CN"/>
          <w14:textFill>
            <w14:solidFill>
              <w14:schemeClr w14:val="tx1"/>
            </w14:solidFill>
          </w14:textFill>
        </w:rPr>
        <w:t>，</w:t>
      </w:r>
      <w:r>
        <w:rPr>
          <w:rFonts w:hint="default" w:ascii="Times New Roman" w:hAnsi="Times New Roman" w:cs="Times New Roman"/>
          <w:b w:val="0"/>
          <w:bCs w:val="0"/>
          <w:highlight w:val="none"/>
        </w:rPr>
        <w:t>完善约束性规范和倡导性标准</w:t>
      </w:r>
      <w:r>
        <w:rPr>
          <w:rFonts w:hint="default" w:ascii="Times New Roman" w:hAnsi="Times New Roman" w:cs="Times New Roman"/>
          <w:b w:val="0"/>
          <w:bCs w:val="0"/>
          <w:highlight w:val="none"/>
          <w:lang w:eastAsia="zh-CN"/>
        </w:rPr>
        <w:t>。推进农村高额彩礼问题综合治理，发挥妇联、共青团等组织作用，加强对农村适婚群体的公益性婚恋服务和关心关爱。</w:t>
      </w:r>
      <w:r>
        <w:rPr>
          <w:rFonts w:hint="default" w:ascii="Times New Roman" w:hAnsi="Times New Roman" w:cs="Times New Roman"/>
          <w:b w:val="0"/>
          <w:bCs w:val="0"/>
          <w:highlight w:val="none"/>
        </w:rPr>
        <w:t>深入推进移风易俗和</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清廉村居</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建设，培育文明乡风、廉明村风、良好家风、淳朴民风。完善村规民约，推广“信用+”“积分制”等有效做法。规范农村演出市场，整治低俗表演活动。实施农村基层科普行动计划和农民科学素质提升行动</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营造崇尚科学文明、反对封建迷信的社会风气。</w:t>
      </w:r>
      <w:bookmarkStart w:id="102" w:name="_Toc22290"/>
    </w:p>
    <w:p w14:paraId="6201E77D">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103" w:name="_Toc22607_WPSOffice_Level2"/>
      <w:bookmarkStart w:id="104" w:name="_Toc19280"/>
      <w:r>
        <w:rPr>
          <w:rFonts w:hint="default" w:ascii="Times New Roman" w:hAnsi="Times New Roman" w:cs="Times New Roman"/>
          <w:sz w:val="32"/>
          <w:szCs w:val="22"/>
          <w:highlight w:val="none"/>
          <w:lang w:val="en-US" w:eastAsia="zh-CN"/>
        </w:rPr>
        <w:t>第四节  着力提升要素保障能力</w:t>
      </w:r>
      <w:bookmarkEnd w:id="102"/>
      <w:bookmarkEnd w:id="103"/>
      <w:bookmarkEnd w:id="104"/>
    </w:p>
    <w:p w14:paraId="0701263C">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bookmarkStart w:id="105" w:name="_Toc7903_WPSOffice_Level3"/>
      <w:bookmarkStart w:id="106" w:name="_Toc1228"/>
      <w:r>
        <w:rPr>
          <w:rFonts w:hint="default" w:ascii="Times New Roman" w:hAnsi="Times New Roman" w:cs="Times New Roman"/>
          <w:highlight w:val="none"/>
          <w:lang w:val="en-US" w:eastAsia="zh-CN"/>
        </w:rPr>
        <w:t>1.</w:t>
      </w:r>
      <w:r>
        <w:rPr>
          <w:rFonts w:hint="default" w:ascii="Times New Roman" w:hAnsi="Times New Roman" w:cs="Times New Roman"/>
          <w:highlight w:val="none"/>
        </w:rPr>
        <w:t>管好用好农村资源资产</w:t>
      </w:r>
      <w:bookmarkEnd w:id="105"/>
      <w:bookmarkEnd w:id="106"/>
    </w:p>
    <w:p w14:paraId="7F981EB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摸清农村资产资源底数、明晰权责，夯实农村资产资源规范管理基础。</w:t>
      </w:r>
      <w:r>
        <w:rPr>
          <w:rFonts w:hint="default" w:ascii="Times New Roman" w:hAnsi="Times New Roman" w:cs="Times New Roman"/>
          <w:b w:val="0"/>
          <w:bCs w:val="0"/>
          <w:highlight w:val="none"/>
          <w:lang w:val="en-US" w:eastAsia="zh-CN"/>
        </w:rPr>
        <w:t>通过</w:t>
      </w:r>
      <w:r>
        <w:rPr>
          <w:rFonts w:hint="default" w:ascii="Times New Roman" w:hAnsi="Times New Roman" w:cs="Times New Roman"/>
          <w:b w:val="0"/>
          <w:bCs w:val="0"/>
          <w:highlight w:val="none"/>
        </w:rPr>
        <w:t>巩固提升一批、生产发展一批、公益运用一批、市场经营一批，</w:t>
      </w:r>
      <w:r>
        <w:rPr>
          <w:rFonts w:hint="default" w:ascii="Times New Roman" w:hAnsi="Times New Roman" w:cs="Times New Roman"/>
          <w:b w:val="0"/>
          <w:bCs w:val="0"/>
          <w:highlight w:val="none"/>
          <w:lang w:val="en-US" w:eastAsia="zh-CN"/>
        </w:rPr>
        <w:t>盘活</w:t>
      </w:r>
      <w:r>
        <w:rPr>
          <w:rFonts w:hint="default" w:ascii="Times New Roman" w:hAnsi="Times New Roman" w:cs="Times New Roman"/>
          <w:b w:val="0"/>
          <w:bCs w:val="0"/>
          <w:highlight w:val="none"/>
        </w:rPr>
        <w:t>农村资产资源。探索</w:t>
      </w:r>
      <w:r>
        <w:rPr>
          <w:rFonts w:hint="default" w:ascii="Times New Roman" w:hAnsi="Times New Roman" w:cs="Times New Roman"/>
          <w:b w:val="0"/>
          <w:bCs w:val="0"/>
          <w:highlight w:val="none"/>
          <w:lang w:val="en-US" w:eastAsia="zh-CN"/>
        </w:rPr>
        <w:t>将</w:t>
      </w:r>
      <w:r>
        <w:rPr>
          <w:rFonts w:hint="default" w:ascii="Times New Roman" w:hAnsi="Times New Roman" w:cs="Times New Roman"/>
          <w:b w:val="0"/>
          <w:bCs w:val="0"/>
          <w:highlight w:val="none"/>
        </w:rPr>
        <w:t>农户合法拥有的住房</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通过出租、入股、合作等方式盘活利用。整理、改造撂荒耕地，提高土地利用率，鼓励农民将闲置土地流转给农业企业、合作社等</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不允许城镇居民到农村购买农房、宅基地，不允许退休干部到农村占地建房</w:t>
      </w:r>
      <w:r>
        <w:rPr>
          <w:rFonts w:hint="default" w:ascii="Times New Roman" w:hAnsi="Times New Roman" w:cs="Times New Roman"/>
          <w:b w:val="0"/>
          <w:bCs w:val="0"/>
          <w:highlight w:val="none"/>
          <w:lang w:val="en-US" w:eastAsia="zh-CN"/>
        </w:rPr>
        <w:t>，严禁下乡利用农村宅基地建设别墅和私人会馆，严禁变相买卖宅基地和违规搞合作建房</w:t>
      </w:r>
      <w:r>
        <w:rPr>
          <w:rFonts w:hint="default" w:ascii="Times New Roman" w:hAnsi="Times New Roman" w:cs="Times New Roman"/>
          <w:b w:val="0"/>
          <w:bCs w:val="0"/>
          <w:highlight w:val="none"/>
        </w:rPr>
        <w:t>。强化农村集体资金、资产和资源管理</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加快形成上下贯通、覆盖全面的农村集体资产监督管理服务体系</w:t>
      </w:r>
      <w:r>
        <w:rPr>
          <w:rFonts w:hint="default" w:ascii="Times New Roman" w:hAnsi="Times New Roman" w:cs="Times New Roman"/>
          <w:b w:val="0"/>
          <w:bCs w:val="0"/>
          <w:highlight w:val="none"/>
        </w:rPr>
        <w:t>。</w:t>
      </w:r>
    </w:p>
    <w:p w14:paraId="205E906D">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07" w:name="_Toc6925_WPSOffice_Level3"/>
      <w:bookmarkStart w:id="108" w:name="_Toc22317"/>
      <w:r>
        <w:rPr>
          <w:rFonts w:hint="default" w:ascii="Times New Roman" w:hAnsi="Times New Roman" w:cs="Times New Roman"/>
          <w:highlight w:val="none"/>
          <w:lang w:val="en-US" w:eastAsia="zh-CN"/>
        </w:rPr>
        <w:t>2.完善乡村振兴投融资机制</w:t>
      </w:r>
      <w:bookmarkEnd w:id="107"/>
      <w:bookmarkEnd w:id="108"/>
    </w:p>
    <w:p w14:paraId="342845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rPr>
        <w:t>坚持农业农村优先发展，优先保障农业农村领域一般公共预算投入，确保财政投入与乡村振兴目标任务相适应。切实提高土地出让收益用于农业农村比例</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加强土地出让收入与一般公共预算支农投入之间的衔接</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发挥财政撬动作用，采取贷款贴息方式引导金融和社会资本多元化投入高标准农田、现代设施农业等建设</w:t>
      </w:r>
      <w:r>
        <w:rPr>
          <w:rFonts w:hint="eastAsia"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积极吸引社会资本</w:t>
      </w:r>
      <w:r>
        <w:rPr>
          <w:rFonts w:hint="default" w:ascii="Times New Roman" w:hAnsi="Times New Roman" w:cs="Times New Roman"/>
          <w:b w:val="0"/>
          <w:bCs w:val="0"/>
          <w:spacing w:val="6"/>
          <w:sz w:val="32"/>
          <w:highlight w:val="none"/>
          <w:lang w:eastAsia="zh-CN"/>
        </w:rPr>
        <w:t>参与乡村振</w:t>
      </w:r>
      <w:r>
        <w:rPr>
          <w:rFonts w:hint="default" w:ascii="Times New Roman" w:hAnsi="Times New Roman" w:cs="Times New Roman"/>
          <w:b w:val="0"/>
          <w:bCs w:val="0"/>
          <w:spacing w:val="6"/>
          <w:sz w:val="32"/>
          <w:highlight w:val="none"/>
          <w:lang w:val="en-US" w:eastAsia="zh-CN"/>
        </w:rPr>
        <w:t>兴</w:t>
      </w:r>
      <w:r>
        <w:rPr>
          <w:rFonts w:hint="default" w:ascii="Times New Roman" w:hAnsi="Times New Roman" w:cs="Times New Roman"/>
          <w:b w:val="0"/>
          <w:bCs w:val="0"/>
          <w:spacing w:val="6"/>
          <w:sz w:val="32"/>
          <w:highlight w:val="none"/>
        </w:rPr>
        <w:t>。加强涉农资金项目全过程监管</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深入推进农村信用体系建设，建立健全农户信用贷款统计监测机制</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加强涉农信用信息归集共享</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从源头上降低金融服务成本、增强风险防范能力。鼓励引导金融机构加大农户信用贷款投放力度</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提供农业保险、保费优惠、贷款担保、担保费率优惠等</w:t>
      </w:r>
      <w:r>
        <w:rPr>
          <w:rFonts w:hint="default" w:ascii="Times New Roman" w:hAnsi="Times New Roman" w:cs="Times New Roman"/>
          <w:b w:val="0"/>
          <w:bCs w:val="0"/>
          <w:spacing w:val="6"/>
          <w:sz w:val="32"/>
          <w:highlight w:val="none"/>
          <w:lang w:val="en-US" w:eastAsia="zh-CN"/>
        </w:rPr>
        <w:t>服务</w:t>
      </w:r>
      <w:r>
        <w:rPr>
          <w:rFonts w:hint="default" w:ascii="Times New Roman" w:hAnsi="Times New Roman" w:cs="Times New Roman"/>
          <w:b w:val="0"/>
          <w:bCs w:val="0"/>
          <w:spacing w:val="6"/>
          <w:sz w:val="32"/>
          <w:highlight w:val="none"/>
        </w:rPr>
        <w:t>。稳妥推进畜禽活体、农业设施等抵押融资贷款。落实优势特色农产品保险以奖代补政策，建立多档次保险保障机制。严厉打击农村各类非法金融活动</w:t>
      </w:r>
      <w:r>
        <w:rPr>
          <w:rFonts w:hint="default" w:ascii="Times New Roman" w:hAnsi="Times New Roman" w:cs="Times New Roman"/>
          <w:b w:val="0"/>
          <w:bCs w:val="0"/>
          <w:spacing w:val="6"/>
          <w:sz w:val="32"/>
          <w:highlight w:val="none"/>
          <w:lang w:eastAsia="zh-CN"/>
        </w:rPr>
        <w:t>。</w:t>
      </w:r>
    </w:p>
    <w:p w14:paraId="22829300">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bookmarkStart w:id="109" w:name="_Toc13732_WPSOffice_Level3"/>
      <w:bookmarkStart w:id="110" w:name="_Toc11695"/>
      <w:r>
        <w:rPr>
          <w:rFonts w:hint="default" w:ascii="Times New Roman" w:hAnsi="Times New Roman" w:cs="Times New Roman"/>
          <w:highlight w:val="none"/>
          <w:lang w:val="en-US" w:eastAsia="zh-CN"/>
        </w:rPr>
        <w:t>3.</w:t>
      </w:r>
      <w:r>
        <w:rPr>
          <w:rFonts w:hint="default" w:ascii="Times New Roman" w:hAnsi="Times New Roman" w:cs="Times New Roman"/>
          <w:highlight w:val="none"/>
        </w:rPr>
        <w:t>加大乡村人才培育力度</w:t>
      </w:r>
      <w:bookmarkEnd w:id="109"/>
      <w:bookmarkEnd w:id="110"/>
    </w:p>
    <w:p w14:paraId="76E97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b w:val="0"/>
          <w:bCs w:val="0"/>
          <w:sz w:val="40"/>
          <w:szCs w:val="32"/>
          <w:highlight w:val="none"/>
          <w:lang w:val="en-US" w:eastAsia="zh-CN"/>
        </w:rPr>
      </w:pPr>
      <w:r>
        <w:rPr>
          <w:rFonts w:hint="default" w:ascii="Times New Roman" w:hAnsi="Times New Roman" w:cs="Times New Roman"/>
          <w:b w:val="0"/>
          <w:bCs w:val="0"/>
          <w:highlight w:val="none"/>
          <w:lang w:val="en-US" w:eastAsia="zh-CN"/>
        </w:rPr>
        <w:t>打造</w:t>
      </w:r>
      <w:r>
        <w:rPr>
          <w:rFonts w:hint="default" w:ascii="Times New Roman" w:hAnsi="Times New Roman" w:cs="Times New Roman"/>
          <w:b w:val="0"/>
          <w:bCs w:val="0"/>
          <w:highlight w:val="none"/>
        </w:rPr>
        <w:t>淄博市乡村振兴学院</w:t>
      </w:r>
      <w:r>
        <w:rPr>
          <w:rFonts w:hint="default" w:ascii="Times New Roman" w:hAnsi="Times New Roman" w:cs="Times New Roman"/>
          <w:b w:val="0"/>
          <w:bCs w:val="0"/>
          <w:highlight w:val="none"/>
          <w:lang w:val="en-US" w:eastAsia="zh-CN"/>
        </w:rPr>
        <w:t>培训品牌</w:t>
      </w:r>
      <w:r>
        <w:rPr>
          <w:rFonts w:hint="default" w:ascii="Times New Roman" w:hAnsi="Times New Roman" w:cs="Times New Roman"/>
          <w:b w:val="0"/>
          <w:bCs w:val="0"/>
          <w:highlight w:val="none"/>
        </w:rPr>
        <w:t>，完善“1+12+N”实训体系，着力培养农村产业发展带头人。突出抓好村“两委”干部培训，</w:t>
      </w:r>
      <w:r>
        <w:rPr>
          <w:rFonts w:hint="default" w:ascii="Times New Roman" w:hAnsi="Times New Roman" w:cs="Times New Roman"/>
          <w:b w:val="0"/>
          <w:bCs w:val="0"/>
          <w:highlight w:val="none"/>
          <w:lang w:val="en-US" w:eastAsia="zh-CN"/>
        </w:rPr>
        <w:t>培养一批</w:t>
      </w:r>
      <w:r>
        <w:rPr>
          <w:rFonts w:hint="default" w:ascii="Times New Roman" w:hAnsi="Times New Roman" w:cs="Times New Roman"/>
          <w:b w:val="0"/>
          <w:bCs w:val="0"/>
          <w:highlight w:val="none"/>
        </w:rPr>
        <w:t>懂技术、善经营、会管理的农村集体经济经理人。积极</w:t>
      </w:r>
      <w:r>
        <w:rPr>
          <w:rFonts w:hint="default" w:ascii="Times New Roman" w:hAnsi="Times New Roman" w:cs="Times New Roman"/>
          <w:b w:val="0"/>
          <w:bCs w:val="0"/>
          <w:highlight w:val="none"/>
          <w:lang w:val="en-US" w:eastAsia="zh-CN"/>
        </w:rPr>
        <w:t>推动</w:t>
      </w:r>
      <w:r>
        <w:rPr>
          <w:rFonts w:hint="default" w:ascii="Times New Roman" w:hAnsi="Times New Roman" w:cs="Times New Roman"/>
          <w:b w:val="0"/>
          <w:bCs w:val="0"/>
          <w:highlight w:val="none"/>
        </w:rPr>
        <w:t>农</w:t>
      </w:r>
      <w:r>
        <w:rPr>
          <w:rFonts w:hint="default" w:ascii="Times New Roman" w:hAnsi="Times New Roman" w:cs="Times New Roman"/>
          <w:b w:val="0"/>
          <w:bCs w:val="0"/>
          <w:highlight w:val="none"/>
          <w:lang w:val="en-US" w:eastAsia="zh-CN"/>
        </w:rPr>
        <w:t>村</w:t>
      </w:r>
      <w:r>
        <w:rPr>
          <w:rFonts w:hint="default" w:ascii="Times New Roman" w:hAnsi="Times New Roman" w:cs="Times New Roman"/>
          <w:b w:val="0"/>
          <w:bCs w:val="0"/>
          <w:highlight w:val="none"/>
        </w:rPr>
        <w:t>创</w:t>
      </w:r>
      <w:r>
        <w:rPr>
          <w:rFonts w:hint="default" w:ascii="Times New Roman" w:hAnsi="Times New Roman" w:cs="Times New Roman"/>
          <w:b w:val="0"/>
          <w:bCs w:val="0"/>
          <w:spacing w:val="6"/>
          <w:sz w:val="32"/>
          <w:highlight w:val="none"/>
        </w:rPr>
        <w:t>客、农业发展带头人、涉农企业管理人员等在外优秀人才</w:t>
      </w:r>
      <w:r>
        <w:rPr>
          <w:rFonts w:hint="default" w:ascii="Times New Roman" w:hAnsi="Times New Roman" w:cs="Times New Roman"/>
          <w:b w:val="0"/>
          <w:bCs w:val="0"/>
          <w:spacing w:val="6"/>
          <w:sz w:val="32"/>
          <w:highlight w:val="none"/>
          <w:lang w:val="en-US" w:eastAsia="zh-CN"/>
        </w:rPr>
        <w:t>返乡创业</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加大对返乡农民工、回乡大学生、回乡创业者的培训</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培育一批留得住、用得好的“乡创客”“田秀才”“土专家”。</w:t>
      </w:r>
      <w:r>
        <w:rPr>
          <w:rFonts w:hint="default" w:ascii="Times New Roman" w:hAnsi="Times New Roman" w:cs="Times New Roman"/>
          <w:b w:val="0"/>
          <w:bCs w:val="0"/>
          <w:spacing w:val="6"/>
          <w:sz w:val="32"/>
          <w:highlight w:val="none"/>
          <w:lang w:val="en-US" w:eastAsia="zh-CN"/>
        </w:rPr>
        <w:t>针对苹果、大樱桃、黄金桃、葡萄等特色产业，开发“微专业”技能课程包，开展“田间课堂”与“线上慕课”相结合</w:t>
      </w:r>
      <w:r>
        <w:rPr>
          <w:rFonts w:hint="default" w:ascii="Times New Roman" w:hAnsi="Times New Roman" w:cs="Times New Roman"/>
          <w:b w:val="0"/>
          <w:bCs w:val="0"/>
          <w:spacing w:val="0"/>
          <w:sz w:val="32"/>
          <w:highlight w:val="none"/>
          <w:lang w:val="en-US" w:eastAsia="zh-CN"/>
        </w:rPr>
        <w:t>的新型培训模式。试点推行高素质农民技能等级认定，每年选树培育“沂源新农人”。针对合作社带头人、家庭农场主等乡土人才开展定制化培训，培养一批乡村振兴专业人才。</w:t>
      </w:r>
    </w:p>
    <w:p w14:paraId="31D4B031">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firstLine="0" w:firstLineChars="0"/>
        <w:jc w:val="center"/>
        <w:textAlignment w:val="auto"/>
        <w:outlineLvl w:val="9"/>
        <w:rPr>
          <w:rFonts w:hint="default" w:ascii="Times New Roman" w:hAnsi="Times New Roman" w:eastAsia="方正小标宋简体" w:cs="Times New Roman"/>
          <w:b w:val="0"/>
          <w:bCs w:val="0"/>
          <w:sz w:val="36"/>
          <w:szCs w:val="28"/>
          <w:highlight w:val="none"/>
          <w:lang w:val="en-US" w:eastAsia="zh-CN"/>
        </w:rPr>
      </w:pPr>
    </w:p>
    <w:p w14:paraId="67F3D7E6">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b w:val="0"/>
          <w:bCs w:val="0"/>
          <w:sz w:val="36"/>
          <w:szCs w:val="28"/>
          <w:highlight w:val="none"/>
        </w:rPr>
      </w:pPr>
      <w:bookmarkStart w:id="111" w:name="_Toc9628"/>
      <w:r>
        <w:rPr>
          <w:rFonts w:hint="default" w:ascii="Times New Roman" w:hAnsi="Times New Roman" w:eastAsia="方正小标宋简体" w:cs="Times New Roman"/>
          <w:b w:val="0"/>
          <w:bCs w:val="0"/>
          <w:sz w:val="36"/>
          <w:szCs w:val="28"/>
          <w:highlight w:val="none"/>
        </w:rPr>
        <w:t>第</w:t>
      </w:r>
      <w:r>
        <w:rPr>
          <w:rFonts w:hint="default" w:ascii="Times New Roman" w:hAnsi="Times New Roman" w:cs="Times New Roman"/>
          <w:b w:val="0"/>
          <w:bCs w:val="0"/>
          <w:sz w:val="36"/>
          <w:szCs w:val="28"/>
          <w:highlight w:val="none"/>
          <w:lang w:val="en-US" w:eastAsia="zh-CN"/>
        </w:rPr>
        <w:t>七</w:t>
      </w:r>
      <w:r>
        <w:rPr>
          <w:rFonts w:hint="default" w:ascii="Times New Roman" w:hAnsi="Times New Roman" w:eastAsia="方正小标宋简体" w:cs="Times New Roman"/>
          <w:b w:val="0"/>
          <w:bCs w:val="0"/>
          <w:sz w:val="36"/>
          <w:szCs w:val="28"/>
          <w:highlight w:val="none"/>
        </w:rPr>
        <w:t xml:space="preserve">章  </w:t>
      </w:r>
      <w:r>
        <w:rPr>
          <w:rFonts w:hint="default" w:ascii="Times New Roman" w:hAnsi="Times New Roman" w:cs="Times New Roman"/>
          <w:b w:val="0"/>
          <w:bCs w:val="0"/>
          <w:sz w:val="36"/>
          <w:szCs w:val="28"/>
          <w:highlight w:val="none"/>
          <w:lang w:val="en-US" w:eastAsia="zh-CN"/>
        </w:rPr>
        <w:t>聚焦</w:t>
      </w:r>
      <w:r>
        <w:rPr>
          <w:rFonts w:hint="default" w:ascii="Times New Roman" w:hAnsi="Times New Roman" w:eastAsia="方正小标宋简体" w:cs="Times New Roman"/>
          <w:b w:val="0"/>
          <w:bCs w:val="0"/>
          <w:sz w:val="36"/>
          <w:szCs w:val="28"/>
          <w:highlight w:val="none"/>
        </w:rPr>
        <w:t>强化</w:t>
      </w:r>
      <w:r>
        <w:rPr>
          <w:rFonts w:hint="default" w:ascii="Times New Roman" w:hAnsi="Times New Roman" w:cs="Times New Roman"/>
          <w:b w:val="0"/>
          <w:bCs w:val="0"/>
          <w:sz w:val="36"/>
          <w:szCs w:val="28"/>
          <w:highlight w:val="none"/>
          <w:lang w:val="en-US" w:eastAsia="zh-CN"/>
        </w:rPr>
        <w:t>内涵式发展，</w:t>
      </w:r>
      <w:r>
        <w:rPr>
          <w:rFonts w:hint="default" w:ascii="Times New Roman" w:hAnsi="Times New Roman" w:eastAsia="方正小标宋简体" w:cs="Times New Roman"/>
          <w:b w:val="0"/>
          <w:bCs w:val="0"/>
          <w:sz w:val="36"/>
          <w:szCs w:val="28"/>
          <w:highlight w:val="none"/>
        </w:rPr>
        <w:t>全面提升城市功能品质</w:t>
      </w:r>
      <w:bookmarkEnd w:id="71"/>
      <w:bookmarkEnd w:id="111"/>
    </w:p>
    <w:p w14:paraId="21D38357">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深</w:t>
      </w:r>
      <w:r>
        <w:rPr>
          <w:rFonts w:hint="default" w:ascii="Times New Roman" w:hAnsi="Times New Roman" w:cs="Times New Roman"/>
          <w:b w:val="0"/>
          <w:bCs w:val="0"/>
          <w:spacing w:val="6"/>
          <w:sz w:val="32"/>
          <w:highlight w:val="none"/>
          <w:lang w:val="en-US" w:eastAsia="zh-CN"/>
        </w:rPr>
        <w:t>入实施以人为本的新型城镇化战略，抓好以县城为重要载体的城镇化建设省级试点，滚动实施城市规划年、城市建设年、城市管理</w:t>
      </w:r>
      <w:r>
        <w:rPr>
          <w:rFonts w:hint="default" w:ascii="Times New Roman" w:hAnsi="Times New Roman" w:cs="Times New Roman"/>
          <w:b w:val="0"/>
          <w:bCs w:val="0"/>
          <w:spacing w:val="6"/>
          <w:kern w:val="2"/>
          <w:sz w:val="32"/>
          <w:szCs w:val="24"/>
          <w:highlight w:val="none"/>
          <w:lang w:val="en-US" w:eastAsia="zh-CN" w:bidi="ar-SA"/>
        </w:rPr>
        <w:t>年、城市经营年，持续</w:t>
      </w:r>
      <w:r>
        <w:rPr>
          <w:rFonts w:hint="default" w:ascii="Times New Roman" w:hAnsi="Times New Roman" w:cs="Times New Roman"/>
          <w:b w:val="0"/>
          <w:bCs w:val="0"/>
          <w:spacing w:val="6"/>
          <w:sz w:val="32"/>
          <w:highlight w:val="none"/>
        </w:rPr>
        <w:t>做好城市“更”和“新”两篇文章，</w:t>
      </w:r>
      <w:r>
        <w:rPr>
          <w:rFonts w:hint="default" w:ascii="Times New Roman" w:hAnsi="Times New Roman" w:cs="Times New Roman"/>
          <w:b w:val="0"/>
          <w:bCs w:val="0"/>
          <w:spacing w:val="6"/>
          <w:sz w:val="32"/>
          <w:highlight w:val="none"/>
          <w:lang w:val="en-US" w:eastAsia="zh-CN"/>
        </w:rPr>
        <w:t>抓好“两城、一园、十个小城镇”建设</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lang w:val="en-US" w:eastAsia="zh-CN"/>
        </w:rPr>
        <w:t>打造</w:t>
      </w:r>
      <w:r>
        <w:rPr>
          <w:rFonts w:hint="default" w:ascii="Times New Roman" w:hAnsi="Times New Roman" w:cs="Times New Roman"/>
          <w:b w:val="0"/>
          <w:bCs w:val="0"/>
          <w:spacing w:val="6"/>
          <w:sz w:val="32"/>
          <w:highlight w:val="none"/>
        </w:rPr>
        <w:t>创新、宜居、美丽、韧性、文明、智慧的高品质现代化山水花园城市。</w:t>
      </w:r>
      <w:bookmarkStart w:id="112" w:name="_Toc22949"/>
    </w:p>
    <w:p w14:paraId="37DE93DF">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113" w:name="_Toc20151_WPSOffice_Level2"/>
      <w:bookmarkStart w:id="114" w:name="_Toc12205"/>
      <w:r>
        <w:rPr>
          <w:rFonts w:hint="default" w:ascii="Times New Roman" w:hAnsi="Times New Roman" w:cs="Times New Roman"/>
          <w:sz w:val="32"/>
          <w:szCs w:val="22"/>
          <w:highlight w:val="none"/>
          <w:lang w:val="en-US" w:eastAsia="zh-CN"/>
        </w:rPr>
        <w:t>第一节  稳步推进城市更新行动</w:t>
      </w:r>
      <w:bookmarkEnd w:id="112"/>
      <w:bookmarkEnd w:id="113"/>
      <w:bookmarkEnd w:id="114"/>
    </w:p>
    <w:p w14:paraId="7E07C84E">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15" w:name="_Toc14310_WPSOffice_Level3"/>
      <w:r>
        <w:rPr>
          <w:rFonts w:hint="default" w:ascii="Times New Roman" w:hAnsi="Times New Roman" w:cs="Times New Roman"/>
          <w:highlight w:val="none"/>
          <w:lang w:val="en-US" w:eastAsia="zh-CN"/>
        </w:rPr>
        <w:t>1.科学有序推进城市更新</w:t>
      </w:r>
      <w:bookmarkEnd w:id="115"/>
    </w:p>
    <w:p w14:paraId="3E022A21">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lang w:val="en-US" w:eastAsia="zh-CN"/>
        </w:rPr>
        <w:t>高标准制定实施城市更新专项规划，一体化推进城市体检和城市更新。抓好城市特色风貌建设，深入融合“现代化山水花园城市”建设理念，高水平谋划城市更新方案，实现既尊重历史文化、彰显沂源特色，又融入现代元素，提升城市现代气息和年轻指数。综合考虑各片区功能定位、地理环境等因素，统筹推进各片区一体化开发建设，做好城市道路、基础设施建设等与“山水”“花园”相结合文章。抓好“四老区域”更新，激活存量空间价值，加快城北片区等新建片区开发，拓展城市发展空间。建立政府引导、市场运作、公众参与的城市更新可持续模式，引导经营主体参与，支持多领域专业力量和服务机构参与城市更新，发挥街道、社区作用，调动市民参与城市更新的积极性。</w:t>
      </w:r>
      <w:r>
        <w:rPr>
          <w:rFonts w:hint="default" w:ascii="Times New Roman" w:hAnsi="Times New Roman" w:cs="Times New Roman"/>
          <w:b w:val="0"/>
          <w:bCs w:val="0"/>
          <w:highlight w:val="none"/>
          <w:lang w:eastAsia="zh-CN"/>
        </w:rPr>
        <w:t>在城市更新全过程、各环节加强城市文化遗产保护，</w:t>
      </w:r>
      <w:r>
        <w:rPr>
          <w:rFonts w:hint="default" w:ascii="Times New Roman" w:hAnsi="Times New Roman" w:cs="Times New Roman"/>
          <w:b w:val="0"/>
          <w:bCs w:val="0"/>
          <w:highlight w:val="none"/>
        </w:rPr>
        <w:t>深入挖掘沂源历史文化资源，在项目设计、建设上融入</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红色文化</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道德文化</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爱情文化</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，打造</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红色之城</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爱情之城</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，打响</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寻爱沂源</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城市名片</w:t>
      </w:r>
      <w:r>
        <w:rPr>
          <w:rFonts w:hint="default" w:ascii="Times New Roman" w:hAnsi="Times New Roman" w:cs="Times New Roman"/>
          <w:b w:val="0"/>
          <w:bCs w:val="0"/>
          <w:highlight w:val="none"/>
          <w:lang w:eastAsia="zh-CN"/>
        </w:rPr>
        <w:t>。</w:t>
      </w:r>
    </w:p>
    <w:p w14:paraId="32E080CE">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16" w:name="_Toc24554_WPSOffice_Level3"/>
      <w:r>
        <w:rPr>
          <w:rFonts w:hint="default" w:ascii="Times New Roman" w:hAnsi="Times New Roman" w:cs="Times New Roman"/>
          <w:highlight w:val="none"/>
          <w:lang w:val="en-US" w:eastAsia="zh-CN"/>
        </w:rPr>
        <w:t>2.实施旧厂区和旧街区活力改造</w:t>
      </w:r>
      <w:bookmarkEnd w:id="116"/>
    </w:p>
    <w:p w14:paraId="17DF022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6"/>
          <w:sz w:val="32"/>
          <w:highlight w:val="none"/>
        </w:rPr>
      </w:pPr>
      <w:r>
        <w:rPr>
          <w:rFonts w:hint="default" w:ascii="Times New Roman" w:hAnsi="Times New Roman" w:cs="Times New Roman"/>
          <w:b w:val="0"/>
          <w:bCs w:val="0"/>
          <w:highlight w:val="none"/>
        </w:rPr>
        <w:t>实施旧厂房改造项目，推动旧工业厂区向“以特色园区为载体、以创新产业功能为核心、以混合开发为路径”的产城融合新空间转型，重点导入科创研发、数字经济与文创设计等多元业态，重塑区域发展动能。以老啤酒厂片区拆迁改造项目为引领，依序对沃源纺织厂旧址、山东药玻厂区北侧生活区、老水泥厂等进行整体规划和更新建设，打造商业街区和高品质住宅，形成现代功能活力片区，为商贸繁荣和文旅体验提供高品质空间载体。鼓励以市场化方式推动老旧厂区更新，实现城市老区焕新和市场活力提升“双赢”。推动老旧街区功能转换、业态升级、活力提升，因地制宜打造一批活力街区。持续深化“一街两心”项目，着力建设好润生“新街角”等地标</w:t>
      </w:r>
      <w:r>
        <w:rPr>
          <w:rFonts w:hint="default" w:ascii="Times New Roman" w:hAnsi="Times New Roman" w:cs="Times New Roman"/>
          <w:b w:val="0"/>
          <w:bCs w:val="0"/>
          <w:spacing w:val="6"/>
          <w:sz w:val="32"/>
          <w:highlight w:val="none"/>
        </w:rPr>
        <w:t>式活力片区，焕新城市面貌，丰富业态场景，为商业经济提供有力平台载体。改造提升旧商业街区，统筹对北岭街、新华街、育才街及周边街区进行改造，通过立面翻新、路面改造、完善配套设施，优化交通组织，提升公共空间品质，丰富商业业态，创新消费场景，推动文旅产业赋能城市更</w:t>
      </w:r>
      <w:r>
        <w:rPr>
          <w:rFonts w:hint="default" w:ascii="Times New Roman" w:hAnsi="Times New Roman" w:cs="Times New Roman"/>
          <w:b w:val="0"/>
          <w:bCs w:val="0"/>
          <w:highlight w:val="none"/>
        </w:rPr>
        <w:t>新。</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0A5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522" w:type="dxa"/>
          </w:tcPr>
          <w:p w14:paraId="4749C992">
            <w:pPr>
              <w:pStyle w:val="26"/>
              <w:bidi w:val="0"/>
              <w:rPr>
                <w:rFonts w:hint="default" w:ascii="Times New Roman" w:hAnsi="Times New Roman" w:cs="Times New Roman"/>
                <w:highlight w:val="none"/>
                <w:lang w:val="en-US" w:eastAsia="zh-CN"/>
              </w:rPr>
            </w:pPr>
            <w:bookmarkStart w:id="117" w:name="_Toc15874_WPSOffice_Level3"/>
            <w:r>
              <w:rPr>
                <w:rFonts w:hint="default" w:ascii="Times New Roman" w:hAnsi="Times New Roman" w:cs="Times New Roman"/>
                <w:highlight w:val="none"/>
                <w:lang w:val="en-US" w:eastAsia="zh-CN"/>
              </w:rPr>
              <w:t>专栏13：城市活力片区改造工程</w:t>
            </w:r>
          </w:p>
        </w:tc>
      </w:tr>
      <w:tr w14:paraId="3539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626A7E2">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润生路活力片区建设项目。在润生路与新城路交叉路口东北角建设一处商业综合体，在东沙沟新城路以南、润生路东侧建设沿街房，在沂河源学校西侧建设文教科创沙龙。与义乌商贸城、东苑社区南部沿街、东部沿街形成以义乌商贸城为中心，以日用百货、农产品批发、餐饮、住宿、教育培训为主题的活力商业带，带动东部城区商业发展。</w:t>
            </w:r>
          </w:p>
          <w:p w14:paraId="57E9EBC3">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老啤酒厂片区综合开发项目。通过城市更新项目实施，建设商业街区和高品质住宅，优化片区居住环境，提升片区及周边道路交通条件，完善市政基础设施。同步，依序对沃源纺织厂、山东药玻厂区北侧生活区、老水泥厂等老旧厂区改建、扩建，推动功能转换、活力提升，为繁荣经济和文旅体验创造高品质空间载体。</w:t>
            </w:r>
          </w:p>
          <w:p w14:paraId="6FDF6352">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麻城里商业活力片区。重点以“一街两心”改造工程辐射周边育才街、新华街、北岭街、军民路、安民巷等街区，通过引入特色餐饮、文创零售等业态，构建夜间经济示范区。</w:t>
            </w:r>
          </w:p>
          <w:p w14:paraId="5CEBE269">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城市会客厅活力片区。以城市会客厅为中心，对胜利山公园、革命烈士纪念馆及儿童乐园进行改造，打造集红色文化、休闲、娱乐、购物为一体的综合城市休闲空间。</w:t>
            </w:r>
          </w:p>
          <w:p w14:paraId="12F27164">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青啤休闲小镇。辐射海棠湾和荆山寺，依托青啤品牌影响力，规划建设啤酒文化主题街区，配套建设精品民宿、休闲酒吧等设施，打造集啤酒品鉴、文化体验、休闲度假于一体的特色小镇。</w:t>
            </w:r>
          </w:p>
          <w:p w14:paraId="1FF09B7A">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南麻大集活力片区。在荆山西路西段建设江北特色农村大集，辐射华源路、南麻大街、南外环周边区域，建设固定农贸市场和花鸟虫鱼市场，形成集“吃、购、乐、玩”为一体的综合性市场。</w:t>
            </w:r>
          </w:p>
          <w:p w14:paraId="67C1261A">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沿河西路夜经济活力片区。以沿河西路为轴线，串联沿河公园、商业街区与住宅小区，通过设置特色餐饮街区、露天音乐广场、夜间光影秀等业态，打造集美食体验、文化展示、休闲娱乐于一体的夜间经济集聚区。</w:t>
            </w:r>
          </w:p>
        </w:tc>
      </w:tr>
    </w:tbl>
    <w:p w14:paraId="755E24A5">
      <w:pPr>
        <w:pStyle w:val="4"/>
        <w:pageBreakBefore w:val="0"/>
        <w:widowControl w:val="0"/>
        <w:kinsoku/>
        <w:wordWrap/>
        <w:overflowPunct/>
        <w:topLinePunct w:val="0"/>
        <w:autoSpaceDE/>
        <w:autoSpaceDN/>
        <w:bidi w:val="0"/>
        <w:adjustRightInd/>
        <w:snapToGrid/>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3.推动老旧小区和城中村改造</w:t>
      </w:r>
      <w:bookmarkEnd w:id="117"/>
    </w:p>
    <w:p w14:paraId="201A0E95">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highlight w:val="none"/>
        </w:rPr>
        <w:t>推进城镇老旧小区整治改造</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集中对西山新区、鲁阳小区等11个片区进行改造，整治小区及周边环境，完善小区停车、充电、消防、通信等配套基础设施。开展完整社区建设，对具备改造条件的东苑等社区，通过完善社区公共服务设施、便民商业服务设施、市政配套基础设施、公共活动空间、物业管理及社区管理机制</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畅</w:t>
      </w:r>
      <w:r>
        <w:rPr>
          <w:rFonts w:hint="default" w:ascii="Times New Roman" w:hAnsi="Times New Roman" w:cs="Times New Roman"/>
          <w:b w:val="0"/>
          <w:bCs w:val="0"/>
          <w:highlight w:val="none"/>
        </w:rPr>
        <w:t>通社区与周边区域的交通微循环，构建城市一刻钟便民生活圈。因地制宜实施小区环境及配套设施改造建设、建筑节能改造等。以“一老一小”人群需求为重点，加快建设适老化、适儿化服务设施，完善无障碍适老化配套设施</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拓展老年人和</w:t>
      </w:r>
      <w:r>
        <w:rPr>
          <w:rFonts w:hint="default" w:ascii="Times New Roman" w:hAnsi="Times New Roman" w:cs="Times New Roman"/>
          <w:b w:val="0"/>
          <w:bCs w:val="0"/>
          <w:highlight w:val="none"/>
        </w:rPr>
        <w:t>儿童</w:t>
      </w:r>
      <w:r>
        <w:rPr>
          <w:rFonts w:hint="default" w:ascii="Times New Roman" w:hAnsi="Times New Roman" w:cs="Times New Roman"/>
          <w:b w:val="0"/>
          <w:bCs w:val="0"/>
          <w:highlight w:val="none"/>
          <w:lang w:val="en-US" w:eastAsia="zh-CN"/>
        </w:rPr>
        <w:t>友好</w:t>
      </w:r>
      <w:r>
        <w:rPr>
          <w:rFonts w:hint="default" w:ascii="Times New Roman" w:hAnsi="Times New Roman" w:cs="Times New Roman"/>
          <w:b w:val="0"/>
          <w:bCs w:val="0"/>
          <w:highlight w:val="none"/>
        </w:rPr>
        <w:t>活动</w:t>
      </w:r>
      <w:r>
        <w:rPr>
          <w:rFonts w:hint="default" w:ascii="Times New Roman" w:hAnsi="Times New Roman" w:cs="Times New Roman"/>
          <w:b w:val="0"/>
          <w:bCs w:val="0"/>
          <w:highlight w:val="none"/>
          <w:lang w:val="en-US" w:eastAsia="zh-CN"/>
        </w:rPr>
        <w:t>空间</w:t>
      </w:r>
      <w:r>
        <w:rPr>
          <w:rFonts w:hint="default" w:ascii="Times New Roman" w:hAnsi="Times New Roman" w:cs="Times New Roman"/>
          <w:b w:val="0"/>
          <w:bCs w:val="0"/>
          <w:highlight w:val="none"/>
        </w:rPr>
        <w:t>。统筹实施老旧小区、危险住房改造，在挖掘文化遗产价值、保护传统风貌的基础上制定综合性保护、修缮、改造方案，持续提升老旧小区居住环境、设施条件、服务功能和文化价值</w:t>
      </w:r>
      <w:r>
        <w:rPr>
          <w:rFonts w:hint="default" w:ascii="Times New Roman" w:hAnsi="Times New Roman" w:cs="Times New Roman"/>
          <w:b w:val="0"/>
          <w:bCs w:val="0"/>
          <w:highlight w:val="none"/>
          <w:lang w:eastAsia="zh-CN"/>
        </w:rPr>
        <w:t>。</w:t>
      </w:r>
    </w:p>
    <w:p w14:paraId="11F834FF">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rPr>
      </w:pPr>
      <w:r>
        <w:rPr>
          <w:rFonts w:hint="default" w:ascii="Times New Roman" w:hAnsi="Times New Roman" w:cs="Times New Roman"/>
          <w:b w:val="0"/>
          <w:bCs w:val="0"/>
          <w:highlight w:val="none"/>
          <w:lang w:eastAsia="zh-CN"/>
        </w:rPr>
        <w:t>探索城中村多元化改造路径。</w:t>
      </w:r>
      <w:r>
        <w:rPr>
          <w:rFonts w:hint="default" w:ascii="Times New Roman" w:hAnsi="Times New Roman" w:cs="Times New Roman"/>
          <w:b w:val="0"/>
          <w:bCs w:val="0"/>
          <w:spacing w:val="6"/>
          <w:sz w:val="32"/>
          <w:highlight w:val="none"/>
        </w:rPr>
        <w:t>加快还迁安置改造，</w:t>
      </w:r>
      <w:r>
        <w:rPr>
          <w:rFonts w:hint="default" w:ascii="Times New Roman" w:hAnsi="Times New Roman" w:cs="Times New Roman"/>
          <w:b w:val="0"/>
          <w:bCs w:val="0"/>
          <w:spacing w:val="6"/>
          <w:sz w:val="32"/>
          <w:highlight w:val="none"/>
          <w:lang w:val="en-US" w:eastAsia="zh-CN"/>
        </w:rPr>
        <w:t>有序推进</w:t>
      </w:r>
      <w:r>
        <w:rPr>
          <w:rFonts w:hint="default" w:ascii="Times New Roman" w:hAnsi="Times New Roman" w:cs="Times New Roman"/>
          <w:b w:val="0"/>
          <w:bCs w:val="0"/>
          <w:spacing w:val="6"/>
          <w:sz w:val="32"/>
          <w:highlight w:val="none"/>
        </w:rPr>
        <w:t>西鱼台</w:t>
      </w:r>
      <w:r>
        <w:rPr>
          <w:rFonts w:hint="default" w:ascii="Times New Roman" w:hAnsi="Times New Roman" w:cs="Times New Roman"/>
          <w:b w:val="0"/>
          <w:bCs w:val="0"/>
          <w:spacing w:val="0"/>
          <w:sz w:val="32"/>
          <w:highlight w:val="none"/>
        </w:rPr>
        <w:t>、东北麻、东鱼台、窗户沟、东高庄、东河北、西</w:t>
      </w:r>
      <w:r>
        <w:rPr>
          <w:rFonts w:hint="default" w:ascii="Times New Roman" w:hAnsi="Times New Roman" w:cs="Times New Roman"/>
          <w:b w:val="0"/>
          <w:bCs w:val="0"/>
          <w:highlight w:val="none"/>
        </w:rPr>
        <w:t>台7个城中村改造</w:t>
      </w:r>
      <w:r>
        <w:rPr>
          <w:rFonts w:hint="default" w:ascii="Times New Roman" w:hAnsi="Times New Roman" w:cs="Times New Roman"/>
          <w:b w:val="0"/>
          <w:bCs w:val="0"/>
          <w:highlight w:val="none"/>
          <w:lang w:val="en-US" w:eastAsia="zh-CN"/>
        </w:rPr>
        <w:t>项目</w:t>
      </w:r>
      <w:r>
        <w:rPr>
          <w:rFonts w:hint="default" w:ascii="Times New Roman" w:hAnsi="Times New Roman" w:cs="Times New Roman"/>
          <w:b w:val="0"/>
          <w:bCs w:val="0"/>
          <w:highlight w:val="none"/>
        </w:rPr>
        <w:t>。紧扣市场需求建设</w:t>
      </w:r>
      <w:r>
        <w:rPr>
          <w:rFonts w:hint="default" w:ascii="Times New Roman" w:hAnsi="Times New Roman" w:cs="Times New Roman"/>
          <w:b w:val="0"/>
          <w:bCs w:val="0"/>
          <w:spacing w:val="6"/>
          <w:sz w:val="32"/>
          <w:highlight w:val="none"/>
        </w:rPr>
        <w:t>“好房子”，探索房地产高质量发展新</w:t>
      </w:r>
      <w:r>
        <w:rPr>
          <w:rFonts w:hint="default" w:ascii="Times New Roman" w:hAnsi="Times New Roman" w:cs="Times New Roman"/>
          <w:b w:val="0"/>
          <w:bCs w:val="0"/>
          <w:highlight w:val="none"/>
        </w:rPr>
        <w:t>模式，以改</w:t>
      </w:r>
      <w:r>
        <w:rPr>
          <w:rFonts w:hint="default" w:ascii="Times New Roman" w:hAnsi="Times New Roman" w:cs="Times New Roman"/>
          <w:b w:val="0"/>
          <w:bCs w:val="0"/>
          <w:spacing w:val="6"/>
          <w:sz w:val="32"/>
          <w:highlight w:val="none"/>
        </w:rPr>
        <w:t>善型住宅开发为导向，建设定制式、康养型、创新型高品质住宅。</w:t>
      </w:r>
    </w:p>
    <w:tbl>
      <w:tblPr>
        <w:tblStyle w:val="16"/>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5"/>
      </w:tblGrid>
      <w:tr w14:paraId="3F4F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5" w:type="dxa"/>
          </w:tcPr>
          <w:p w14:paraId="2A2F686C">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专栏14：“齐鲁之心”城市能级提质跃升工程</w:t>
            </w:r>
          </w:p>
        </w:tc>
      </w:tr>
      <w:tr w14:paraId="5F7E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5" w:type="dxa"/>
          </w:tcPr>
          <w:p w14:paraId="240367E8">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聚焦沂源“齐鲁之心”区位优势，围绕城市能级提质跃升，实施“一心两网九片区”项目。</w:t>
            </w:r>
          </w:p>
          <w:p w14:paraId="695CC743">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一心：即西部热源项目，建设西部热源、储能站等供热及配套项目，解决西部宜居新城、南部产业新城供热问题，提升供热保障能力。</w:t>
            </w:r>
          </w:p>
          <w:p w14:paraId="3AACB134">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两网：一是市政路网畅通畅联，实施祥源路北延、润生路南延、东埠路北延等19个新建、改建工程；二是地下管网改造提升，根据《沂源县城市地下管网及设施建设改造实施方案》累计建设管网175公里，其中，“东热西输”项目，完成康源路至南麻大街、东部热源至中部热源（源能热力老厂区）供热管道建设；天然气管网“互联互通”项目，完成沂河二路次高压管道、沂源经济开发区中压管道、城区至沟泉中压管道等工程建设。</w:t>
            </w:r>
          </w:p>
          <w:p w14:paraId="20620F38">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2"/>
                <w:szCs w:val="24"/>
                <w:highlight w:val="none"/>
                <w:lang w:val="en-US" w:eastAsia="zh-CN"/>
              </w:rPr>
            </w:pPr>
            <w:r>
              <w:rPr>
                <w:rFonts w:hint="default" w:ascii="Times New Roman" w:hAnsi="Times New Roman" w:eastAsia="仿宋_GB2312" w:cs="Times New Roman"/>
                <w:sz w:val="24"/>
                <w:szCs w:val="24"/>
                <w:highlight w:val="none"/>
                <w:lang w:val="en-US" w:eastAsia="zh-CN"/>
              </w:rPr>
              <w:t>九片区：按照“大社区”理念，实施东北麻、东鱼台、窗户沟、东高庄、西</w:t>
            </w:r>
            <w:r>
              <w:rPr>
                <w:rFonts w:hint="eastAsia" w:eastAsia="仿宋_GB2312" w:cs="Times New Roman"/>
                <w:sz w:val="24"/>
                <w:szCs w:val="24"/>
                <w:highlight w:val="none"/>
                <w:lang w:val="en-US" w:eastAsia="zh-CN"/>
              </w:rPr>
              <w:t>台</w:t>
            </w:r>
            <w:r>
              <w:rPr>
                <w:rFonts w:hint="default" w:ascii="Times New Roman" w:hAnsi="Times New Roman" w:eastAsia="仿宋_GB2312" w:cs="Times New Roman"/>
                <w:sz w:val="24"/>
                <w:szCs w:val="24"/>
                <w:highlight w:val="none"/>
                <w:lang w:val="en-US" w:eastAsia="zh-CN"/>
              </w:rPr>
              <w:t>、西鱼台、中儒林等7个城中村片区搬迁改造，以及老啤酒厂片区、东苑“完整社区”等2个老旧小区改造，实现主城区“大社区”高度融合。</w:t>
            </w:r>
          </w:p>
        </w:tc>
      </w:tr>
    </w:tbl>
    <w:p w14:paraId="196E7FF7">
      <w:pPr>
        <w:pStyle w:val="3"/>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32"/>
          <w:szCs w:val="22"/>
          <w:highlight w:val="none"/>
          <w:lang w:val="en-US" w:eastAsia="zh-CN"/>
        </w:rPr>
      </w:pPr>
      <w:bookmarkStart w:id="118" w:name="_Toc20551"/>
      <w:bookmarkStart w:id="119" w:name="_Toc20751"/>
      <w:bookmarkStart w:id="120" w:name="_Toc3494_WPSOffice_Level2"/>
      <w:r>
        <w:rPr>
          <w:rFonts w:hint="default" w:ascii="Times New Roman" w:hAnsi="Times New Roman" w:cs="Times New Roman"/>
          <w:sz w:val="32"/>
          <w:szCs w:val="22"/>
          <w:highlight w:val="none"/>
          <w:lang w:val="en-US" w:eastAsia="zh-CN"/>
        </w:rPr>
        <w:t>第二节  提升基础设施服务水平</w:t>
      </w:r>
      <w:bookmarkEnd w:id="118"/>
      <w:bookmarkEnd w:id="119"/>
      <w:bookmarkEnd w:id="120"/>
    </w:p>
    <w:p w14:paraId="39560EED">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21" w:name="_Toc30016_WPSOffice_Level3"/>
      <w:r>
        <w:rPr>
          <w:rFonts w:hint="default" w:ascii="Times New Roman" w:hAnsi="Times New Roman" w:cs="Times New Roman"/>
          <w:highlight w:val="none"/>
          <w:lang w:val="en-US" w:eastAsia="zh-CN"/>
        </w:rPr>
        <w:t>1.完善现代化交通体系</w:t>
      </w:r>
      <w:bookmarkEnd w:id="121"/>
    </w:p>
    <w:p w14:paraId="1BF2E460">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default" w:ascii="Times New Roman" w:hAnsi="Times New Roman" w:cs="Times New Roman"/>
          <w:b w:val="0"/>
          <w:bCs w:val="0"/>
          <w:highlight w:val="none"/>
        </w:rPr>
      </w:pPr>
      <w:r>
        <w:rPr>
          <w:rFonts w:hint="default" w:ascii="Times New Roman" w:hAnsi="Times New Roman" w:cs="Times New Roman"/>
          <w:b w:val="0"/>
          <w:bCs w:val="0"/>
          <w:highlight w:val="none"/>
          <w:lang w:val="en-US" w:eastAsia="zh-CN"/>
        </w:rPr>
        <w:t>构建“快速、骨干、基础”交通网络。</w:t>
      </w:r>
      <w:r>
        <w:rPr>
          <w:rFonts w:hint="default" w:ascii="Times New Roman" w:hAnsi="Times New Roman" w:cs="Times New Roman"/>
          <w:b w:val="0"/>
          <w:bCs w:val="0"/>
          <w:highlight w:val="none"/>
        </w:rPr>
        <w:t>突出“现代化综合交通网络”主题，着力构建布局合理、结构完善、便捷通畅、绿色安全的交通发展格局。</w:t>
      </w:r>
      <w:r>
        <w:rPr>
          <w:rFonts w:hint="default" w:ascii="Times New Roman" w:hAnsi="Times New Roman" w:cs="Times New Roman"/>
          <w:b w:val="0"/>
          <w:bCs w:val="0"/>
          <w:highlight w:val="none"/>
          <w:lang w:val="en-US" w:eastAsia="zh-CN"/>
        </w:rPr>
        <w:t>全力</w:t>
      </w:r>
      <w:r>
        <w:rPr>
          <w:rFonts w:hint="default" w:ascii="Times New Roman" w:hAnsi="Times New Roman" w:cs="Times New Roman"/>
          <w:b w:val="0"/>
          <w:bCs w:val="0"/>
          <w:highlight w:val="none"/>
        </w:rPr>
        <w:t>争取鲁中高铁</w:t>
      </w:r>
      <w:r>
        <w:rPr>
          <w:rFonts w:hint="default" w:ascii="Times New Roman" w:hAnsi="Times New Roman" w:cs="Times New Roman"/>
          <w:b w:val="0"/>
          <w:bCs w:val="0"/>
          <w:highlight w:val="none"/>
          <w:lang w:val="en-US" w:eastAsia="zh-CN"/>
        </w:rPr>
        <w:t>沂源段</w:t>
      </w:r>
      <w:r>
        <w:rPr>
          <w:rFonts w:hint="default" w:ascii="Times New Roman" w:hAnsi="Times New Roman" w:cs="Times New Roman"/>
          <w:b w:val="0"/>
          <w:bCs w:val="0"/>
          <w:highlight w:val="none"/>
        </w:rPr>
        <w:t>纳入国家</w:t>
      </w:r>
      <w:r>
        <w:rPr>
          <w:rFonts w:hint="default" w:ascii="Times New Roman" w:hAnsi="Times New Roman" w:cs="Times New Roman"/>
          <w:b w:val="0"/>
          <w:bCs w:val="0"/>
          <w:highlight w:val="none"/>
          <w:lang w:val="en-US" w:eastAsia="zh-CN"/>
        </w:rPr>
        <w:t>中长期铁路网</w:t>
      </w:r>
      <w:r>
        <w:rPr>
          <w:rFonts w:hint="default" w:ascii="Times New Roman" w:hAnsi="Times New Roman" w:cs="Times New Roman"/>
          <w:b w:val="0"/>
          <w:bCs w:val="0"/>
          <w:highlight w:val="none"/>
        </w:rPr>
        <w:t>规划，瓦日铁路</w:t>
      </w:r>
      <w:r>
        <w:rPr>
          <w:rFonts w:hint="default" w:ascii="Times New Roman" w:hAnsi="Times New Roman" w:cs="Times New Roman"/>
          <w:b w:val="0"/>
          <w:bCs w:val="0"/>
          <w:highlight w:val="none"/>
          <w:lang w:val="en-US" w:eastAsia="zh-CN"/>
        </w:rPr>
        <w:t>沂源站开通客货运业务，建设</w:t>
      </w:r>
      <w:r>
        <w:rPr>
          <w:rFonts w:hint="default" w:ascii="Times New Roman" w:hAnsi="Times New Roman" w:cs="Times New Roman"/>
          <w:b w:val="0"/>
          <w:bCs w:val="0"/>
          <w:highlight w:val="none"/>
        </w:rPr>
        <w:t>鲁中公铁海</w:t>
      </w:r>
      <w:r>
        <w:rPr>
          <w:rFonts w:hint="default" w:ascii="Times New Roman" w:hAnsi="Times New Roman" w:cs="Times New Roman"/>
          <w:b w:val="0"/>
          <w:bCs w:val="0"/>
          <w:highlight w:val="none"/>
          <w:lang w:val="en-US" w:eastAsia="zh-CN"/>
        </w:rPr>
        <w:t>多式</w:t>
      </w:r>
      <w:r>
        <w:rPr>
          <w:rFonts w:hint="default" w:ascii="Times New Roman" w:hAnsi="Times New Roman" w:cs="Times New Roman"/>
          <w:b w:val="0"/>
          <w:bCs w:val="0"/>
          <w:highlight w:val="none"/>
        </w:rPr>
        <w:t>联运中心</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加快</w:t>
      </w:r>
      <w:r>
        <w:rPr>
          <w:rFonts w:hint="default" w:ascii="Times New Roman" w:hAnsi="Times New Roman" w:cs="Times New Roman"/>
          <w:b w:val="0"/>
          <w:bCs w:val="0"/>
          <w:highlight w:val="none"/>
        </w:rPr>
        <w:t>潍坊至邹城高速沂源段项目建设，实现与“省会、鲁南、胶东”三大经济圈道路互联互通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实施G341黄海线沂源鱼台至沂源钢城界段改建工程</w:t>
      </w:r>
      <w:r>
        <w:rPr>
          <w:rFonts w:hint="default" w:ascii="Times New Roman" w:hAnsi="Times New Roman" w:cs="Times New Roman"/>
          <w:b w:val="0"/>
          <w:bCs w:val="0"/>
          <w:highlight w:val="none"/>
        </w:rPr>
        <w:t>、南部产业新城道路工程，与沂邳线、华源路及连接线贯通，合围形成城区大外环。</w:t>
      </w:r>
      <w:r>
        <w:rPr>
          <w:rFonts w:hint="default" w:ascii="Times New Roman" w:hAnsi="Times New Roman" w:cs="Times New Roman"/>
          <w:b w:val="0"/>
          <w:bCs w:val="0"/>
          <w:highlight w:val="none"/>
          <w:lang w:val="en-US" w:eastAsia="zh-CN"/>
        </w:rPr>
        <w:t>实施</w:t>
      </w:r>
      <w:r>
        <w:rPr>
          <w:rFonts w:hint="default" w:ascii="Times New Roman" w:hAnsi="Times New Roman" w:cs="Times New Roman"/>
          <w:b w:val="0"/>
          <w:bCs w:val="0"/>
          <w:highlight w:val="none"/>
        </w:rPr>
        <w:t>低空经济示范项目</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打造立体化低空交通网</w:t>
      </w:r>
      <w:r>
        <w:rPr>
          <w:rFonts w:hint="default" w:ascii="Times New Roman" w:hAnsi="Times New Roman" w:cs="Times New Roman"/>
          <w:b w:val="0"/>
          <w:bCs w:val="0"/>
          <w:highlight w:val="none"/>
        </w:rPr>
        <w:t>。</w:t>
      </w:r>
    </w:p>
    <w:p w14:paraId="40F6CBF9">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default" w:ascii="Times New Roman" w:hAnsi="Times New Roman" w:cs="Times New Roman"/>
          <w:b w:val="0"/>
          <w:bCs w:val="0"/>
          <w:spacing w:val="6"/>
          <w:sz w:val="32"/>
          <w:highlight w:val="none"/>
        </w:rPr>
      </w:pPr>
      <w:r>
        <w:rPr>
          <w:rFonts w:hint="default" w:ascii="Times New Roman" w:hAnsi="Times New Roman" w:cs="Times New Roman"/>
          <w:b w:val="0"/>
          <w:bCs w:val="0"/>
          <w:spacing w:val="6"/>
          <w:sz w:val="32"/>
          <w:highlight w:val="none"/>
          <w:lang w:val="en-US" w:eastAsia="zh-CN"/>
        </w:rPr>
        <w:t>构建“绿色、高效、畅通”的市政路网。</w:t>
      </w:r>
      <w:r>
        <w:rPr>
          <w:rFonts w:hint="default" w:ascii="Times New Roman" w:hAnsi="Times New Roman" w:cs="Times New Roman"/>
          <w:b w:val="0"/>
          <w:bCs w:val="0"/>
          <w:spacing w:val="6"/>
          <w:sz w:val="32"/>
          <w:highlight w:val="none"/>
        </w:rPr>
        <w:t>有序推进城市快速干线交通系统建设，促进城市及周边高快速路一体化、提升城市通勤走廊出行效率。积极实施城市生活性集散交通系统建设，加强城市物流配送设施建设，做好快速干线交通系统与生活性集散交通系统的衔接。围绕搭建“一环、八横、十二纵”城区主干路网系统，新建改造北大岩路、河湖一路等1</w:t>
      </w:r>
      <w:r>
        <w:rPr>
          <w:rFonts w:hint="default" w:ascii="Times New Roman" w:hAnsi="Times New Roman" w:cs="Times New Roman"/>
          <w:b w:val="0"/>
          <w:bCs w:val="0"/>
          <w:spacing w:val="6"/>
          <w:sz w:val="32"/>
          <w:highlight w:val="none"/>
          <w:lang w:val="en-US" w:eastAsia="zh-CN"/>
        </w:rPr>
        <w:t>6</w:t>
      </w:r>
      <w:r>
        <w:rPr>
          <w:rFonts w:hint="default" w:ascii="Times New Roman" w:hAnsi="Times New Roman" w:cs="Times New Roman"/>
          <w:b w:val="0"/>
          <w:bCs w:val="0"/>
          <w:spacing w:val="6"/>
          <w:sz w:val="32"/>
          <w:highlight w:val="none"/>
        </w:rPr>
        <w:t>条城区道路，打通“断头路”“瓶颈路”，提升路网通行效率和商业辐射能力。加快开展城市绿色慢行交通系统建设，提升慢行交通设施的连续性、安全性和舒适性。强化城市交通基础设施全生命周期管理，加强充换电站等配套设施建设，补齐重点区域停车设施短板。</w:t>
      </w:r>
    </w:p>
    <w:p w14:paraId="72512801">
      <w:pPr>
        <w:keepNext w:val="0"/>
        <w:keepLines w:val="0"/>
        <w:pageBreakBefore w:val="0"/>
        <w:widowControl w:val="0"/>
        <w:kinsoku/>
        <w:wordWrap/>
        <w:overflowPunct/>
        <w:topLinePunct w:val="0"/>
        <w:autoSpaceDE/>
        <w:autoSpaceDN/>
        <w:bidi w:val="0"/>
        <w:adjustRightInd/>
        <w:snapToGrid/>
        <w:spacing w:line="570" w:lineRule="exact"/>
        <w:ind w:firstLine="643"/>
        <w:textAlignment w:val="auto"/>
        <w:outlineLvl w:val="9"/>
        <w:rPr>
          <w:rFonts w:hint="default" w:ascii="Times New Roman" w:hAnsi="Times New Roman" w:eastAsia="仿宋_GB2312" w:cs="Times New Roman"/>
          <w:b w:val="0"/>
          <w:bCs w:val="0"/>
          <w:color w:val="000000" w:themeColor="text1"/>
          <w:spacing w:val="6"/>
          <w:position w:val="0"/>
          <w:sz w:val="32"/>
          <w:szCs w:val="32"/>
          <w:highlight w:val="none"/>
          <w:lang w:val="en-US" w:eastAsia="zh-CN"/>
          <w14:textFill>
            <w14:solidFill>
              <w14:schemeClr w14:val="tx1"/>
            </w14:solidFill>
          </w14:textFill>
        </w:rPr>
      </w:pPr>
    </w:p>
    <w:tbl>
      <w:tblPr>
        <w:tblStyle w:val="16"/>
        <w:tblW w:w="8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0"/>
      </w:tblGrid>
      <w:tr w14:paraId="57EA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590" w:type="dxa"/>
            <w:vAlign w:val="top"/>
          </w:tcPr>
          <w:p w14:paraId="14F3E1AC">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专栏15：现代化综合交通运输重点工程</w:t>
            </w:r>
          </w:p>
        </w:tc>
      </w:tr>
      <w:tr w14:paraId="63E8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3" w:hRule="atLeast"/>
          <w:jc w:val="center"/>
        </w:trPr>
        <w:tc>
          <w:tcPr>
            <w:tcW w:w="8590" w:type="dxa"/>
            <w:vAlign w:val="top"/>
          </w:tcPr>
          <w:p w14:paraId="403DACF9">
            <w:pPr>
              <w:pStyle w:val="27"/>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高铁及公铁海联运中心建设项目。鲁中高铁（聊城至泰安至莱芜至潍宿高铁项目）、瓦日铁路鲁中公铁海多式联运中心项目。</w:t>
            </w:r>
          </w:p>
          <w:p w14:paraId="37EA67B9">
            <w:pPr>
              <w:pStyle w:val="27"/>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公路改扩建及道路基础设施建设工程。G341黄海线沂源鱼台至沂源钢城界段改建工程、潍坊至邹城高速公路建设工程、</w:t>
            </w:r>
            <w:r>
              <w:rPr>
                <w:rFonts w:hint="default" w:ascii="Times New Roman" w:hAnsi="Times New Roman" w:eastAsia="仿宋_GB2312" w:cs="Times New Roman"/>
                <w:b w:val="0"/>
                <w:bCs w:val="0"/>
                <w:spacing w:val="6"/>
                <w:sz w:val="24"/>
                <w:szCs w:val="24"/>
                <w:highlight w:val="none"/>
                <w:lang w:val="en-US" w:eastAsia="zh-CN"/>
              </w:rPr>
              <w:t>Y015三九路璞邱至九会段建设工程、</w:t>
            </w:r>
            <w:r>
              <w:rPr>
                <w:rFonts w:hint="default" w:ascii="Times New Roman" w:hAnsi="Times New Roman" w:eastAsia="仿宋_GB2312" w:cs="Times New Roman"/>
                <w:b w:val="0"/>
                <w:bCs w:val="0"/>
                <w:kern w:val="2"/>
                <w:sz w:val="24"/>
                <w:szCs w:val="24"/>
                <w:highlight w:val="none"/>
                <w:lang w:val="en-US" w:eastAsia="zh-CN" w:bidi="ar-SA"/>
              </w:rPr>
              <w:t>X026南崔路织女洞至惠沂线段改建工程、X015草齐路草埠至沂源钢城界段大修工程、X009淄安路沂邳线至振兴路段改建工程、鲁山画卷环山文化长廊道路提升工程、沂源至莱芜高速公路建设工程。</w:t>
            </w:r>
          </w:p>
          <w:p w14:paraId="4428F322">
            <w:pPr>
              <w:pStyle w:val="27"/>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低空经济示范项目。低空基础设施：建设A2类沂源龙子峪直升机场和A1类沂源桃花岛通用机场；建设无人机起降平台398处。低空飞行管理服务平台：建设沂源县低空空域交通管控及安全防护平台，包括平台软件、数据基座、安全防护设备、服务器等。低空应用场景打造：围绕“低空+”农业、文旅、教育培训等领域打造低空应用场景15处。</w:t>
            </w:r>
          </w:p>
          <w:p w14:paraId="101DE23B">
            <w:pPr>
              <w:pStyle w:val="27"/>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市政道路畅通畅联工程。依次对北大岩路（康源路至人民路）、高新路中段（新城路至北麻路）、河湖一路（鲁山西路至荆山西路）、祥源路北延（新城路至人民路）、润生路南延（荆山路至沂河路）、东埠路北延（人民路至康源路）、河西三路（华源路至松山路）、人民路西延（螳螂河东路至规划黄海线）、新城路西延（历山路至螳螂河东路）、山前路（人民路至益民路）、富源路北延（康源路至人民路）、祥源路北延（人民路到康源路）、康源路东延（祥源路至儒林河西路）13段道路实施延展建设，提升改造鲁山路（健康路至沿河东路）、荆山西路（华源路至南麻大街）、兴源路南段（振兴路至沂源东高速口）。</w:t>
            </w:r>
          </w:p>
        </w:tc>
      </w:tr>
    </w:tbl>
    <w:p w14:paraId="7DC64E51">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22" w:name="_Toc7979_WPSOffice_Level3"/>
      <w:r>
        <w:rPr>
          <w:rFonts w:hint="default" w:ascii="Times New Roman" w:hAnsi="Times New Roman" w:cs="Times New Roman"/>
          <w:highlight w:val="none"/>
          <w:lang w:val="en-US" w:eastAsia="zh-CN"/>
        </w:rPr>
        <w:t>2.完善水利基础设施功能</w:t>
      </w:r>
      <w:bookmarkEnd w:id="122"/>
    </w:p>
    <w:p w14:paraId="26578654">
      <w:pPr>
        <w:keepNext w:val="0"/>
        <w:keepLines w:val="0"/>
        <w:pageBreakBefore w:val="0"/>
        <w:widowControl w:val="0"/>
        <w:kinsoku/>
        <w:wordWrap/>
        <w:overflowPunct/>
        <w:topLinePunct w:val="0"/>
        <w:autoSpaceDE/>
        <w:autoSpaceDN/>
        <w:bidi w:val="0"/>
        <w:adjustRightInd/>
        <w:snapToGrid/>
        <w:spacing w:line="570" w:lineRule="exact"/>
        <w:ind w:firstLine="643"/>
        <w:textAlignment w:val="auto"/>
        <w:outlineLvl w:val="9"/>
        <w:rPr>
          <w:rFonts w:hint="default" w:ascii="Times New Roman" w:hAnsi="Times New Roman" w:cs="Times New Roman"/>
          <w:b w:val="0"/>
          <w:bCs w:val="0"/>
          <w:color w:val="000000" w:themeColor="text1"/>
          <w:spacing w:val="0"/>
          <w:positio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position w:val="0"/>
          <w:sz w:val="32"/>
          <w:szCs w:val="32"/>
          <w:highlight w:val="none"/>
          <w:lang w:val="en-US" w:eastAsia="zh-CN"/>
          <w14:textFill>
            <w14:solidFill>
              <w14:schemeClr w14:val="tx1"/>
            </w14:solidFill>
          </w14:textFill>
        </w:rPr>
        <w:t>全面提升水</w:t>
      </w:r>
      <w:r>
        <w:rPr>
          <w:rFonts w:hint="default" w:ascii="Times New Roman" w:hAnsi="Times New Roman" w:eastAsia="仿宋_GB2312" w:cs="Times New Roman"/>
          <w:b w:val="0"/>
          <w:bCs w:val="0"/>
          <w:color w:val="000000" w:themeColor="text1"/>
          <w:spacing w:val="6"/>
          <w:position w:val="0"/>
          <w:sz w:val="32"/>
          <w:szCs w:val="32"/>
          <w:highlight w:val="none"/>
          <w:lang w:val="en-US" w:eastAsia="zh-CN"/>
          <w14:textFill>
            <w14:solidFill>
              <w14:schemeClr w14:val="tx1"/>
            </w14:solidFill>
          </w14:textFill>
        </w:rPr>
        <w:t>资源优化配置能力、防汛抗旱减灾能力、农村供水保障能力、水资源节约利用能力、河湖保护治理能力</w:t>
      </w:r>
      <w:r>
        <w:rPr>
          <w:rFonts w:hint="default" w:ascii="Times New Roman" w:hAnsi="Times New Roman" w:cs="Times New Roman"/>
          <w:b w:val="0"/>
          <w:bCs w:val="0"/>
          <w:color w:val="000000" w:themeColor="text1"/>
          <w:spacing w:val="6"/>
          <w:position w:val="0"/>
          <w:sz w:val="32"/>
          <w:szCs w:val="32"/>
          <w:highlight w:val="none"/>
          <w:lang w:val="en-US" w:eastAsia="zh-CN"/>
          <w14:textFill>
            <w14:solidFill>
              <w14:schemeClr w14:val="tx1"/>
            </w14:solidFill>
          </w14:textFill>
        </w:rPr>
        <w:t>。</w:t>
      </w:r>
      <w:r>
        <w:rPr>
          <w:rFonts w:hint="default" w:ascii="Times New Roman" w:hAnsi="Times New Roman" w:cs="Times New Roman"/>
          <w:b w:val="0"/>
          <w:bCs w:val="0"/>
          <w:spacing w:val="6"/>
          <w:sz w:val="32"/>
          <w:szCs w:val="32"/>
          <w:highlight w:val="none"/>
          <w:lang w:val="en-US" w:eastAsia="zh-CN"/>
        </w:rPr>
        <w:t>加强</w:t>
      </w:r>
      <w:r>
        <w:rPr>
          <w:rFonts w:hint="default" w:ascii="Times New Roman" w:hAnsi="Times New Roman" w:cs="Times New Roman"/>
          <w:b w:val="0"/>
          <w:bCs w:val="0"/>
          <w:spacing w:val="6"/>
          <w:sz w:val="32"/>
          <w:szCs w:val="32"/>
          <w:highlight w:val="none"/>
          <w:lang w:eastAsia="zh-CN"/>
        </w:rPr>
        <w:t>小型水库改造提升，对塘坝进行除险加固，</w:t>
      </w:r>
      <w:r>
        <w:rPr>
          <w:rFonts w:hint="default" w:ascii="Times New Roman" w:hAnsi="Times New Roman" w:cs="Times New Roman"/>
          <w:b w:val="0"/>
          <w:bCs w:val="0"/>
          <w:spacing w:val="6"/>
          <w:sz w:val="32"/>
          <w:szCs w:val="32"/>
          <w:highlight w:val="none"/>
          <w:lang w:val="en-US" w:eastAsia="zh-CN"/>
        </w:rPr>
        <w:t>在</w:t>
      </w:r>
      <w:r>
        <w:rPr>
          <w:rFonts w:hint="default" w:ascii="Times New Roman" w:hAnsi="Times New Roman" w:cs="Times New Roman"/>
          <w:b w:val="0"/>
          <w:bCs w:val="0"/>
          <w:spacing w:val="6"/>
          <w:sz w:val="32"/>
          <w:szCs w:val="32"/>
          <w:highlight w:val="none"/>
          <w:lang w:eastAsia="zh-CN"/>
        </w:rPr>
        <w:t>沂河干流</w:t>
      </w:r>
      <w:r>
        <w:rPr>
          <w:rFonts w:hint="default" w:ascii="Times New Roman" w:hAnsi="Times New Roman" w:cs="Times New Roman"/>
          <w:b w:val="0"/>
          <w:bCs w:val="0"/>
          <w:spacing w:val="6"/>
          <w:sz w:val="32"/>
          <w:szCs w:val="32"/>
          <w:highlight w:val="none"/>
          <w:lang w:val="en-US" w:eastAsia="zh-CN"/>
        </w:rPr>
        <w:t>探索建设地下水库，推进</w:t>
      </w:r>
      <w:r>
        <w:rPr>
          <w:rFonts w:hint="default" w:ascii="Times New Roman" w:hAnsi="Times New Roman" w:cs="Times New Roman"/>
          <w:b w:val="0"/>
          <w:bCs w:val="0"/>
          <w:spacing w:val="6"/>
          <w:sz w:val="32"/>
          <w:szCs w:val="32"/>
          <w:highlight w:val="none"/>
          <w:lang w:eastAsia="zh-CN"/>
        </w:rPr>
        <w:t>田庄水库生态扩容增效，</w:t>
      </w:r>
      <w:r>
        <w:rPr>
          <w:rFonts w:hint="default" w:ascii="Times New Roman" w:hAnsi="Times New Roman" w:cs="Times New Roman"/>
          <w:b w:val="0"/>
          <w:bCs w:val="0"/>
          <w:spacing w:val="6"/>
          <w:sz w:val="32"/>
          <w:szCs w:val="32"/>
          <w:highlight w:val="none"/>
          <w:lang w:val="en-US" w:eastAsia="zh-CN"/>
        </w:rPr>
        <w:t>加快</w:t>
      </w:r>
      <w:r>
        <w:rPr>
          <w:rFonts w:hint="default" w:ascii="Times New Roman" w:hAnsi="Times New Roman" w:cs="Times New Roman"/>
          <w:b w:val="0"/>
          <w:bCs w:val="0"/>
          <w:spacing w:val="6"/>
          <w:sz w:val="32"/>
          <w:szCs w:val="32"/>
          <w:highlight w:val="none"/>
          <w:lang w:eastAsia="zh-CN"/>
        </w:rPr>
        <w:t>红旗水库中型灌区续建配套</w:t>
      </w:r>
      <w:r>
        <w:rPr>
          <w:rFonts w:hint="default" w:ascii="Times New Roman" w:hAnsi="Times New Roman" w:cs="Times New Roman"/>
          <w:b w:val="0"/>
          <w:bCs w:val="0"/>
          <w:spacing w:val="6"/>
          <w:sz w:val="32"/>
          <w:szCs w:val="32"/>
          <w:highlight w:val="none"/>
          <w:lang w:val="en-US" w:eastAsia="zh-CN"/>
        </w:rPr>
        <w:t>并进行</w:t>
      </w:r>
      <w:r>
        <w:rPr>
          <w:rFonts w:hint="default" w:ascii="Times New Roman" w:hAnsi="Times New Roman" w:cs="Times New Roman"/>
          <w:b w:val="0"/>
          <w:bCs w:val="0"/>
          <w:spacing w:val="6"/>
          <w:sz w:val="32"/>
          <w:szCs w:val="32"/>
          <w:highlight w:val="none"/>
          <w:lang w:eastAsia="zh-CN"/>
        </w:rPr>
        <w:t>现代化改造，</w:t>
      </w:r>
      <w:r>
        <w:rPr>
          <w:rFonts w:hint="default" w:ascii="Times New Roman" w:hAnsi="Times New Roman" w:cs="Times New Roman"/>
          <w:b w:val="0"/>
          <w:bCs w:val="0"/>
          <w:spacing w:val="6"/>
          <w:sz w:val="32"/>
          <w:szCs w:val="32"/>
          <w:highlight w:val="none"/>
          <w:lang w:val="en-US" w:eastAsia="zh-CN"/>
        </w:rPr>
        <w:t>确保全县农业用地实现“旱能浇”</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cs="Times New Roman"/>
          <w:b w:val="0"/>
          <w:bCs w:val="0"/>
          <w:spacing w:val="6"/>
          <w:sz w:val="32"/>
          <w:szCs w:val="32"/>
          <w:highlight w:val="none"/>
          <w:lang w:val="en-US" w:eastAsia="zh-CN"/>
        </w:rPr>
        <w:t>提升</w:t>
      </w:r>
      <w:r>
        <w:rPr>
          <w:rFonts w:hint="default" w:ascii="Times New Roman" w:hAnsi="Times New Roman" w:cs="Times New Roman"/>
          <w:b w:val="0"/>
          <w:bCs w:val="0"/>
          <w:spacing w:val="6"/>
          <w:sz w:val="32"/>
          <w:szCs w:val="32"/>
          <w:highlight w:val="none"/>
          <w:lang w:eastAsia="zh-CN"/>
        </w:rPr>
        <w:t>水土保持一体化</w:t>
      </w:r>
      <w:r>
        <w:rPr>
          <w:rFonts w:hint="default" w:ascii="Times New Roman" w:hAnsi="Times New Roman" w:cs="Times New Roman"/>
          <w:b w:val="0"/>
          <w:bCs w:val="0"/>
          <w:spacing w:val="6"/>
          <w:sz w:val="32"/>
          <w:szCs w:val="32"/>
          <w:highlight w:val="none"/>
          <w:lang w:val="en-US" w:eastAsia="zh-CN"/>
        </w:rPr>
        <w:t>水平，</w:t>
      </w:r>
      <w:r>
        <w:rPr>
          <w:rFonts w:hint="default" w:ascii="Times New Roman" w:hAnsi="Times New Roman" w:cs="Times New Roman"/>
          <w:b w:val="0"/>
          <w:bCs w:val="0"/>
          <w:spacing w:val="6"/>
          <w:sz w:val="32"/>
          <w:szCs w:val="32"/>
          <w:highlight w:val="none"/>
          <w:lang w:eastAsia="zh-CN"/>
        </w:rPr>
        <w:t>以</w:t>
      </w:r>
      <w:r>
        <w:rPr>
          <w:rFonts w:hint="default" w:ascii="Times New Roman" w:hAnsi="Times New Roman" w:cs="Times New Roman"/>
          <w:b w:val="0"/>
          <w:bCs w:val="0"/>
          <w:spacing w:val="6"/>
          <w:sz w:val="32"/>
          <w:szCs w:val="32"/>
          <w:highlight w:val="none"/>
          <w:lang w:val="en-US" w:eastAsia="zh-CN"/>
        </w:rPr>
        <w:t>小流域治理</w:t>
      </w:r>
      <w:r>
        <w:rPr>
          <w:rFonts w:hint="default" w:ascii="Times New Roman" w:hAnsi="Times New Roman" w:cs="Times New Roman"/>
          <w:b w:val="0"/>
          <w:bCs w:val="0"/>
          <w:spacing w:val="6"/>
          <w:sz w:val="32"/>
          <w:szCs w:val="32"/>
          <w:highlight w:val="none"/>
          <w:lang w:eastAsia="zh-CN"/>
        </w:rPr>
        <w:t>工程为主，因地制宜布设田间道路、蓄水池等小型水利水保工程。</w:t>
      </w:r>
      <w:r>
        <w:rPr>
          <w:rFonts w:hint="default" w:ascii="Times New Roman" w:hAnsi="Times New Roman" w:cs="Times New Roman"/>
          <w:b w:val="0"/>
          <w:bCs w:val="0"/>
          <w:spacing w:val="6"/>
          <w:highlight w:val="none"/>
        </w:rPr>
        <w:t>统筹城市防洪和内涝治理，建立健全城区水系、排水管网与周边水库</w:t>
      </w:r>
      <w:r>
        <w:rPr>
          <w:rFonts w:hint="default" w:ascii="Times New Roman" w:hAnsi="Times New Roman" w:cs="Times New Roman"/>
          <w:b w:val="0"/>
          <w:bCs w:val="0"/>
          <w:spacing w:val="6"/>
          <w:highlight w:val="none"/>
          <w:lang w:eastAsia="zh-CN"/>
        </w:rPr>
        <w:t>、</w:t>
      </w:r>
      <w:r>
        <w:rPr>
          <w:rFonts w:hint="default" w:ascii="Times New Roman" w:hAnsi="Times New Roman" w:cs="Times New Roman"/>
          <w:b w:val="0"/>
          <w:bCs w:val="0"/>
          <w:spacing w:val="6"/>
          <w:highlight w:val="none"/>
          <w:lang w:val="en-US" w:eastAsia="zh-CN"/>
        </w:rPr>
        <w:t>河流</w:t>
      </w:r>
      <w:r>
        <w:rPr>
          <w:rFonts w:hint="default" w:ascii="Times New Roman" w:hAnsi="Times New Roman" w:cs="Times New Roman"/>
          <w:b w:val="0"/>
          <w:bCs w:val="0"/>
          <w:spacing w:val="6"/>
          <w:highlight w:val="none"/>
        </w:rPr>
        <w:t>等联排联调运行管理模式，加快排水防涝设施建设改造，构建完善的城市防洪排涝体系，</w:t>
      </w:r>
      <w:r>
        <w:rPr>
          <w:rFonts w:hint="default" w:ascii="Times New Roman" w:hAnsi="Times New Roman" w:cs="Times New Roman"/>
          <w:b w:val="0"/>
          <w:bCs w:val="0"/>
          <w:spacing w:val="6"/>
          <w:highlight w:val="none"/>
          <w:lang w:val="en-US" w:eastAsia="zh-CN"/>
        </w:rPr>
        <w:t>确保全县城区实现“涝能排”</w:t>
      </w:r>
      <w:r>
        <w:rPr>
          <w:rFonts w:hint="default" w:ascii="Times New Roman" w:hAnsi="Times New Roman" w:cs="Times New Roman"/>
          <w:b w:val="0"/>
          <w:bCs w:val="0"/>
          <w:spacing w:val="6"/>
          <w:highlight w:val="none"/>
        </w:rPr>
        <w:t>。推进海绵城市建设，加强雨水管网建设改造和排水管网及设施提升改造，提升管网排水能力。推动地下设施、城市道路交通及其连接通道等重点设施排水防涝能力提升。完成东南河老城区段干支流地下排水涵渠行洪能力综合提升工程，聚焦老旧街区、活力片区、城中村等薄弱区域，全面开展管网设施排查整改，同步做好雨污分流收尾工作。</w:t>
      </w:r>
      <w:r>
        <w:rPr>
          <w:rFonts w:hint="default" w:ascii="Times New Roman" w:hAnsi="Times New Roman" w:cs="Times New Roman"/>
          <w:b w:val="0"/>
          <w:bCs w:val="0"/>
          <w:spacing w:val="6"/>
          <w:highlight w:val="none"/>
          <w:lang w:eastAsia="zh-CN"/>
        </w:rPr>
        <w:t>推动城市供水设施改造提标，加强城市生活污水收集、处理和再生利用及污泥处理处置设施建设改造，加快建立污水处理厂网一体建设运维机制。</w:t>
      </w:r>
      <w:r>
        <w:rPr>
          <w:rFonts w:hint="default" w:ascii="Times New Roman" w:hAnsi="Times New Roman" w:cs="Times New Roman"/>
          <w:b w:val="0"/>
          <w:bCs w:val="0"/>
          <w:spacing w:val="6"/>
          <w:highlight w:val="none"/>
          <w:lang w:val="en-US" w:eastAsia="zh-CN"/>
        </w:rPr>
        <w:t>强化数字水利基础设施建设，</w:t>
      </w:r>
      <w:r>
        <w:rPr>
          <w:rFonts w:hint="default" w:ascii="Times New Roman" w:hAnsi="Times New Roman" w:eastAsia="仿宋_GB2312" w:cs="Times New Roman"/>
          <w:b w:val="0"/>
          <w:bCs w:val="0"/>
          <w:color w:val="000000" w:themeColor="text1"/>
          <w:spacing w:val="6"/>
          <w:position w:val="0"/>
          <w:sz w:val="32"/>
          <w:szCs w:val="32"/>
          <w:highlight w:val="none"/>
          <w:lang w:val="en-US" w:eastAsia="zh-CN"/>
          <w14:textFill>
            <w14:solidFill>
              <w14:schemeClr w14:val="tx1"/>
            </w14:solidFill>
          </w14:textFill>
        </w:rPr>
        <w:t>纵深推进一河十脉五支“水网+”、数字孪生水利“一网统管”、城乡供水“全域一张网”</w:t>
      </w:r>
      <w:r>
        <w:rPr>
          <w:rFonts w:hint="default" w:ascii="Times New Roman" w:hAnsi="Times New Roman" w:cs="Times New Roman"/>
          <w:b w:val="0"/>
          <w:bCs w:val="0"/>
          <w:color w:val="000000" w:themeColor="text1"/>
          <w:spacing w:val="6"/>
          <w:position w:val="0"/>
          <w:sz w:val="32"/>
          <w:szCs w:val="32"/>
          <w:highlight w:val="none"/>
          <w:lang w:val="en-US" w:eastAsia="zh-CN"/>
          <w14:textFill>
            <w14:solidFill>
              <w14:schemeClr w14:val="tx1"/>
            </w14:solidFill>
          </w14:textFill>
        </w:rPr>
        <w:t>建设</w:t>
      </w:r>
      <w:r>
        <w:rPr>
          <w:rFonts w:hint="default" w:ascii="Times New Roman" w:hAnsi="Times New Roman" w:cs="Times New Roman"/>
          <w:b w:val="0"/>
          <w:bCs w:val="0"/>
          <w:color w:val="000000" w:themeColor="text1"/>
          <w:spacing w:val="0"/>
          <w:position w:val="0"/>
          <w:sz w:val="32"/>
          <w:szCs w:val="32"/>
          <w:highlight w:val="none"/>
          <w:lang w:val="en-US" w:eastAsia="zh-CN"/>
          <w14:textFill>
            <w14:solidFill>
              <w14:schemeClr w14:val="tx1"/>
            </w14:solidFill>
          </w14:textFill>
        </w:rPr>
        <w:t>。</w:t>
      </w:r>
    </w:p>
    <w:tbl>
      <w:tblPr>
        <w:tblStyle w:val="16"/>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5"/>
      </w:tblGrid>
      <w:tr w14:paraId="1338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75" w:type="dxa"/>
          </w:tcPr>
          <w:p w14:paraId="5BC12C1D">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专栏16：水利基础设施重点工程</w:t>
            </w:r>
          </w:p>
        </w:tc>
      </w:tr>
      <w:tr w14:paraId="5CFD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0" w:hRule="atLeast"/>
          <w:jc w:val="center"/>
        </w:trPr>
        <w:tc>
          <w:tcPr>
            <w:tcW w:w="8575" w:type="dxa"/>
          </w:tcPr>
          <w:p w14:paraId="10016EA5">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水库加固、扩容及改造工程。包括生态安澜惠民工程、田庄水库“齐鲁水塔·水润沂蒙”生态扩容增效工程、红旗水库中型灌区续建配套与现代化改造工程。</w:t>
            </w:r>
          </w:p>
          <w:p w14:paraId="45F84947">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一河十脉五支水环境综合治理工程。针对沂河及螳螂河、徐家庄河、南岩河、高村河、白马河、杨家庄河、马庄河、红水河、石桥河、儒林河等10条县级河道，苗庄河、韩庄河、饮马河、巨东河、水北河等5条支流进行防洪治理。</w:t>
            </w:r>
          </w:p>
          <w:p w14:paraId="41495EA5">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供水工程。西部水厂建设项目、城乡供水设施更新改造项目、城乡供水智慧化平台项目、小型供水工程标准化建设项目。</w:t>
            </w:r>
          </w:p>
          <w:p w14:paraId="3B99C20B">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水保工程。生态小流域治理工程、一体化推进水土保持工程。</w:t>
            </w:r>
          </w:p>
        </w:tc>
      </w:tr>
    </w:tbl>
    <w:p w14:paraId="0B0ED703">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6"/>
          <w:sz w:val="32"/>
          <w:highlight w:val="none"/>
          <w:lang w:val="en-US" w:eastAsia="zh-CN"/>
        </w:rPr>
      </w:pPr>
      <w:bookmarkStart w:id="123" w:name="_Toc9702_WPSOffice_Level3"/>
      <w:r>
        <w:rPr>
          <w:rFonts w:hint="default" w:ascii="Times New Roman" w:hAnsi="Times New Roman" w:cs="Times New Roman"/>
          <w:spacing w:val="6"/>
          <w:sz w:val="32"/>
          <w:highlight w:val="none"/>
          <w:lang w:val="en-US" w:eastAsia="zh-CN"/>
        </w:rPr>
        <w:t>3.夯实能源保障基础</w:t>
      </w:r>
      <w:bookmarkEnd w:id="123"/>
    </w:p>
    <w:p w14:paraId="1EC0798D">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eastAsia="zh-CN"/>
        </w:rPr>
      </w:pPr>
      <w:r>
        <w:rPr>
          <w:rFonts w:hint="default" w:ascii="Times New Roman" w:hAnsi="Times New Roman" w:cs="Times New Roman"/>
          <w:b w:val="0"/>
          <w:bCs w:val="0"/>
          <w:spacing w:val="6"/>
          <w:sz w:val="32"/>
          <w:highlight w:val="none"/>
        </w:rPr>
        <w:t>系统构建安全低碳的现代能源基础设施体系</w:t>
      </w:r>
      <w:r>
        <w:rPr>
          <w:rFonts w:hint="default" w:ascii="Times New Roman" w:hAnsi="Times New Roman" w:cs="Times New Roman"/>
          <w:b w:val="0"/>
          <w:bCs w:val="0"/>
          <w:spacing w:val="6"/>
          <w:sz w:val="32"/>
          <w:highlight w:val="none"/>
          <w:lang w:eastAsia="zh-CN"/>
        </w:rPr>
        <w:t>，</w:t>
      </w:r>
      <w:r>
        <w:rPr>
          <w:rFonts w:hint="default" w:ascii="Times New Roman" w:hAnsi="Times New Roman" w:eastAsia="仿宋_GB2312" w:cs="Times New Roman"/>
          <w:b w:val="0"/>
          <w:bCs w:val="0"/>
          <w:spacing w:val="6"/>
          <w:sz w:val="32"/>
          <w:szCs w:val="32"/>
          <w:highlight w:val="none"/>
        </w:rPr>
        <w:t>推动新能源高质量发展和大规模高比例开发利用，</w:t>
      </w:r>
      <w:r>
        <w:rPr>
          <w:rFonts w:hint="default" w:ascii="Times New Roman" w:hAnsi="Times New Roman" w:cs="Times New Roman"/>
          <w:b w:val="0"/>
          <w:bCs w:val="0"/>
          <w:spacing w:val="6"/>
          <w:sz w:val="32"/>
          <w:szCs w:val="32"/>
          <w:highlight w:val="none"/>
          <w:lang w:val="en-US" w:eastAsia="zh-CN"/>
        </w:rPr>
        <w:t>推进</w:t>
      </w:r>
      <w:r>
        <w:rPr>
          <w:rFonts w:hint="default" w:ascii="Times New Roman" w:hAnsi="Times New Roman" w:eastAsia="仿宋_GB2312" w:cs="Times New Roman"/>
          <w:b w:val="0"/>
          <w:bCs w:val="0"/>
          <w:spacing w:val="6"/>
          <w:sz w:val="32"/>
          <w:szCs w:val="32"/>
          <w:highlight w:val="none"/>
          <w:lang w:eastAsia="zh-CN"/>
        </w:rPr>
        <w:t>风电</w:t>
      </w:r>
      <w:r>
        <w:rPr>
          <w:rFonts w:hint="default" w:ascii="Times New Roman" w:hAnsi="Times New Roman" w:cs="Times New Roman"/>
          <w:b w:val="0"/>
          <w:bCs w:val="0"/>
          <w:spacing w:val="6"/>
          <w:sz w:val="32"/>
          <w:szCs w:val="32"/>
          <w:highlight w:val="none"/>
          <w:lang w:val="en-US" w:eastAsia="zh-CN"/>
        </w:rPr>
        <w:t>和光伏</w:t>
      </w:r>
      <w:r>
        <w:rPr>
          <w:rFonts w:hint="default" w:ascii="Times New Roman" w:hAnsi="Times New Roman" w:eastAsia="仿宋_GB2312" w:cs="Times New Roman"/>
          <w:b w:val="0"/>
          <w:bCs w:val="0"/>
          <w:spacing w:val="6"/>
          <w:sz w:val="32"/>
          <w:szCs w:val="32"/>
          <w:highlight w:val="none"/>
          <w:lang w:eastAsia="zh-CN"/>
        </w:rPr>
        <w:t>项目</w:t>
      </w:r>
      <w:r>
        <w:rPr>
          <w:rFonts w:hint="default" w:ascii="Times New Roman" w:hAnsi="Times New Roman" w:cs="Times New Roman"/>
          <w:b w:val="0"/>
          <w:bCs w:val="0"/>
          <w:spacing w:val="6"/>
          <w:sz w:val="32"/>
          <w:szCs w:val="32"/>
          <w:highlight w:val="none"/>
          <w:lang w:val="en-US" w:eastAsia="zh-CN"/>
        </w:rPr>
        <w:t>建设</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lang w:val="en-US" w:eastAsia="zh-CN"/>
        </w:rPr>
        <w:t>实现可持续发展</w:t>
      </w:r>
      <w:r>
        <w:rPr>
          <w:rFonts w:hint="default" w:ascii="Times New Roman" w:hAnsi="Times New Roman" w:eastAsia="仿宋_GB2312" w:cs="Times New Roman"/>
          <w:b w:val="0"/>
          <w:bCs w:val="0"/>
          <w:spacing w:val="6"/>
          <w:sz w:val="32"/>
          <w:szCs w:val="32"/>
          <w:highlight w:val="none"/>
        </w:rPr>
        <w:t>。</w:t>
      </w:r>
      <w:r>
        <w:rPr>
          <w:rFonts w:hint="default" w:ascii="Times New Roman" w:hAnsi="Times New Roman" w:eastAsia="仿宋_GB2312" w:cs="Times New Roman"/>
          <w:b w:val="0"/>
          <w:bCs w:val="0"/>
          <w:spacing w:val="6"/>
          <w:sz w:val="32"/>
          <w:szCs w:val="32"/>
          <w:highlight w:val="none"/>
          <w:lang w:val="en-US" w:eastAsia="zh-CN"/>
        </w:rPr>
        <w:t>构建</w:t>
      </w:r>
      <w:r>
        <w:rPr>
          <w:rFonts w:hint="default" w:ascii="Times New Roman" w:hAnsi="Times New Roman" w:cs="Times New Roman"/>
          <w:b w:val="0"/>
          <w:bCs w:val="0"/>
          <w:spacing w:val="6"/>
          <w:sz w:val="32"/>
          <w:szCs w:val="32"/>
          <w:highlight w:val="none"/>
          <w:lang w:val="en-US" w:eastAsia="zh-CN"/>
        </w:rPr>
        <w:t>“</w:t>
      </w:r>
      <w:r>
        <w:rPr>
          <w:rFonts w:hint="default" w:ascii="Times New Roman" w:hAnsi="Times New Roman" w:eastAsia="仿宋_GB2312" w:cs="Times New Roman"/>
          <w:b w:val="0"/>
          <w:bCs w:val="0"/>
          <w:spacing w:val="6"/>
          <w:sz w:val="32"/>
          <w:szCs w:val="32"/>
          <w:highlight w:val="none"/>
          <w:lang w:val="en-US" w:eastAsia="zh-CN"/>
        </w:rPr>
        <w:t>源网荷储+绿电</w:t>
      </w:r>
      <w:r>
        <w:rPr>
          <w:rFonts w:hint="default" w:ascii="Times New Roman" w:hAnsi="Times New Roman" w:cs="Times New Roman"/>
          <w:b w:val="0"/>
          <w:bCs w:val="0"/>
          <w:spacing w:val="6"/>
          <w:sz w:val="32"/>
          <w:szCs w:val="32"/>
          <w:highlight w:val="none"/>
          <w:lang w:val="en-US" w:eastAsia="zh-CN"/>
        </w:rPr>
        <w:t>直连”</w:t>
      </w:r>
      <w:r>
        <w:rPr>
          <w:rFonts w:hint="default" w:ascii="Times New Roman" w:hAnsi="Times New Roman" w:eastAsia="仿宋_GB2312" w:cs="Times New Roman"/>
          <w:b w:val="0"/>
          <w:bCs w:val="0"/>
          <w:spacing w:val="6"/>
          <w:sz w:val="32"/>
          <w:szCs w:val="32"/>
          <w:highlight w:val="none"/>
          <w:lang w:val="en-US" w:eastAsia="zh-CN"/>
        </w:rPr>
        <w:t>体系，整合分布式光伏、风电、储能等设施，搭建虚拟电厂及微电网交易平台，实现绿电余缺互济。编制城镇燃气专项规划，建设经济开发区、沂河路天然气管道互联项目，实施城区至沟泉天然气中压管道敷设工程，进一步完善优化天然气管网布局。</w:t>
      </w:r>
      <w:r>
        <w:rPr>
          <w:rFonts w:hint="default" w:ascii="Times New Roman" w:hAnsi="Times New Roman" w:cs="Times New Roman"/>
          <w:b w:val="0"/>
          <w:bCs w:val="0"/>
          <w:spacing w:val="6"/>
          <w:sz w:val="32"/>
          <w:szCs w:val="32"/>
          <w:highlight w:val="none"/>
          <w:lang w:val="en-US" w:eastAsia="zh-CN"/>
        </w:rPr>
        <w:t>推进莱芜</w:t>
      </w:r>
      <w:r>
        <w:rPr>
          <w:rFonts w:hint="default" w:ascii="Times New Roman" w:hAnsi="Times New Roman" w:eastAsia="仿宋_GB2312" w:cs="Times New Roman"/>
          <w:b w:val="0"/>
          <w:bCs w:val="0"/>
          <w:spacing w:val="6"/>
          <w:sz w:val="32"/>
          <w:szCs w:val="32"/>
          <w:highlight w:val="none"/>
          <w:lang w:val="en-US" w:eastAsia="zh-CN"/>
        </w:rPr>
        <w:t>—沂源天然气干线</w:t>
      </w:r>
      <w:r>
        <w:rPr>
          <w:rFonts w:hint="default" w:ascii="Times New Roman" w:hAnsi="Times New Roman" w:cs="Times New Roman"/>
          <w:b w:val="0"/>
          <w:bCs w:val="0"/>
          <w:spacing w:val="6"/>
          <w:sz w:val="32"/>
          <w:szCs w:val="32"/>
          <w:highlight w:val="none"/>
          <w:lang w:val="en-US" w:eastAsia="zh-CN"/>
        </w:rPr>
        <w:t>建设，破解高质量发展能源要素制约。</w:t>
      </w:r>
      <w:r>
        <w:rPr>
          <w:rFonts w:hint="default" w:ascii="Times New Roman" w:hAnsi="Times New Roman" w:cs="Times New Roman"/>
          <w:b w:val="0"/>
          <w:bCs w:val="0"/>
          <w:spacing w:val="6"/>
          <w:sz w:val="32"/>
          <w:highlight w:val="none"/>
        </w:rPr>
        <w:t>编制全县城区集中供热专项规划，科学规划布局实施热源、热网建设。构建全县供热“一张网”，建设西部热源、储能站等供热及配套项目，解决西部宜居新城、南部产业新城供热问题，提升供热保障能力。实施东热西输项目，推进城区供暖主管道延伸改造</w:t>
      </w:r>
      <w:r>
        <w:rPr>
          <w:rFonts w:hint="default" w:ascii="Times New Roman" w:hAnsi="Times New Roman" w:cs="Times New Roman"/>
          <w:b w:val="0"/>
          <w:bCs w:val="0"/>
          <w:spacing w:val="6"/>
          <w:sz w:val="32"/>
          <w:highlight w:val="none"/>
          <w:lang w:eastAsia="zh-CN"/>
        </w:rPr>
        <w:t>，</w:t>
      </w:r>
      <w:r>
        <w:rPr>
          <w:rFonts w:hint="default" w:ascii="Times New Roman" w:hAnsi="Times New Roman" w:cs="Times New Roman"/>
          <w:b w:val="0"/>
          <w:bCs w:val="0"/>
          <w:spacing w:val="6"/>
          <w:sz w:val="32"/>
          <w:highlight w:val="none"/>
        </w:rPr>
        <w:t>完成康源路至南麻大街、东部热源至儒林路供热主管道联通工程，提升东部热源向西输送能力，均衡城区供热分配。实施老旧小区供热二次管网设施改造，改善提升供热</w:t>
      </w:r>
      <w:r>
        <w:rPr>
          <w:rFonts w:hint="default" w:ascii="Times New Roman" w:hAnsi="Times New Roman" w:cs="Times New Roman"/>
          <w:b w:val="0"/>
          <w:bCs w:val="0"/>
          <w:highlight w:val="none"/>
        </w:rPr>
        <w:t>品质。</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63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4F241C2">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专栏17：能源基础设施重点工程</w:t>
            </w:r>
          </w:p>
        </w:tc>
      </w:tr>
      <w:tr w14:paraId="0453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D8386E7">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新能源项目。山东省中振农业开发有限公司农光互补发电项目、沂源“千乡万村驭风行动”风电项目，苏帕、龙恩、嘉阳等电化学储能电站项目。</w:t>
            </w:r>
          </w:p>
          <w:p w14:paraId="1723FC83">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kern w:val="2"/>
                <w:sz w:val="24"/>
                <w:szCs w:val="24"/>
                <w:highlight w:val="none"/>
                <w:lang w:val="en-US" w:eastAsia="zh-CN" w:bidi="ar-SA"/>
              </w:rPr>
            </w:pPr>
            <w:r>
              <w:rPr>
                <w:rFonts w:hint="default" w:ascii="Times New Roman" w:hAnsi="Times New Roman" w:eastAsia="仿宋_GB2312" w:cs="Times New Roman"/>
                <w:b w:val="0"/>
                <w:bCs w:val="0"/>
                <w:kern w:val="2"/>
                <w:sz w:val="24"/>
                <w:szCs w:val="24"/>
                <w:highlight w:val="none"/>
                <w:lang w:val="en-US" w:eastAsia="zh-CN" w:bidi="ar-SA"/>
              </w:rPr>
              <w:t>天然气项目。莱芜—沂源天然气干线项目。</w:t>
            </w:r>
          </w:p>
          <w:p w14:paraId="4E14C75C">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供热项目。沂源县源能热力有限公司新热源至城区供热联络管线提升改造项目、沂源县源能热力有限公司城区供暖主管道延伸改造项目、城区供热一次管网互联互通项目、城区供暖循环水二次网及附属设备更新和智慧化改造项目、全县玻璃行业企业清洁能源替代项目。</w:t>
            </w:r>
          </w:p>
        </w:tc>
      </w:tr>
    </w:tbl>
    <w:p w14:paraId="0678BA5B">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124" w:name="_Toc12465"/>
      <w:bookmarkStart w:id="125" w:name="_Toc21767"/>
      <w:bookmarkStart w:id="126" w:name="_Toc13705_WPSOffice_Level2"/>
      <w:r>
        <w:rPr>
          <w:rFonts w:hint="default" w:ascii="Times New Roman" w:hAnsi="Times New Roman" w:cs="Times New Roman"/>
          <w:sz w:val="32"/>
          <w:szCs w:val="22"/>
          <w:highlight w:val="none"/>
          <w:lang w:val="en-US" w:eastAsia="zh-CN"/>
        </w:rPr>
        <w:t>第三节  提升城市精细化管理水平</w:t>
      </w:r>
      <w:bookmarkEnd w:id="124"/>
      <w:bookmarkEnd w:id="125"/>
      <w:bookmarkEnd w:id="126"/>
    </w:p>
    <w:p w14:paraId="57DFABC9">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27" w:name="_Toc31115"/>
      <w:bookmarkStart w:id="128" w:name="_Toc27118_WPSOffice_Level3"/>
      <w:r>
        <w:rPr>
          <w:rFonts w:hint="default" w:ascii="Times New Roman" w:hAnsi="Times New Roman" w:cs="Times New Roman"/>
          <w:highlight w:val="none"/>
          <w:lang w:val="en-US" w:eastAsia="zh-CN"/>
        </w:rPr>
        <w:t>1.</w:t>
      </w:r>
      <w:bookmarkEnd w:id="127"/>
      <w:bookmarkEnd w:id="128"/>
      <w:r>
        <w:rPr>
          <w:rFonts w:hint="default" w:ascii="Times New Roman" w:hAnsi="Times New Roman" w:cs="Times New Roman"/>
          <w:highlight w:val="none"/>
          <w:lang w:val="en-US" w:eastAsia="zh-CN"/>
        </w:rPr>
        <w:t>提升城市市容精细化水平</w:t>
      </w:r>
    </w:p>
    <w:p w14:paraId="0188A7F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以“绣花功夫”推进城市精细化、智慧化管理，着力构建“市容有序、环境优美、设施完善、治理高效”的城市管理体系，打造“明、净、齐、美”城市形象。常态化开展市容市貌整治、环卫深度保洁，营造规范有序、干净整洁的城市环境。规范升级便民市场、维修点40处，加快义乌农贸市场建设，逐步取缔不规范疏导点。持续纠治乱贴乱画、乱搭乱建、乱停乱放等不文明行为。深入推进“深夜清脏洗城”“六脏治理”等活动，不断提升环卫保洁治理水平，巩固国家卫生城市创建成果。常态化推进背街小巷综合整治工作，推进沿街箱体减量化、小型化、隐形化和规范化，对城市家具进行系统性美化与功能升级，着力解决城市脏乱差及市政设施破损等问题。整合各类停车资源，加快推进智慧停车充电“一张网”建设，新建一批智慧停车场、路内泊位、智慧候车亭，逐步解决停车难、停车乱问题。加严违建治理，完善长效管控机制。完善城乡环卫一体化运行机制，进一步提升生活垃圾治理能力，实现全县生活垃圾无害化处理的行政村比例达到100%，城乡生活垃圾及城市餐厨垃圾无害化处置率达到100%，生活垃圾分类基本实现全覆盖。鼓励和支持生活垃圾分类收运体系和再生资源回收体系融合发展，提升生活垃圾减量化、资源化、无害化处理水平，在2030年底前实现可回收物智能箱覆盖全县80%以上住宅小区。推进公园城市建设，科学增加各类公园及精微卡点数量，实现“百园城市”建设目标。全方位推进物业服务提质增效，建立健全物业服务考核评价体系，培育品牌物业企业与示范小区。持续推进红色物业与基层治理深度融合，规范公共收益管理，完善物业智慧平台功能，实现城区规范化物业小区全覆盖，为业主提供优质多元服务。</w:t>
      </w:r>
    </w:p>
    <w:p w14:paraId="1FA806C9">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29" w:name="_Toc27130"/>
      <w:bookmarkStart w:id="130" w:name="_Toc9249_WPSOffice_Level3"/>
      <w:r>
        <w:rPr>
          <w:rFonts w:hint="default" w:ascii="Times New Roman" w:hAnsi="Times New Roman" w:cs="Times New Roman"/>
          <w:highlight w:val="none"/>
          <w:lang w:val="en-US" w:eastAsia="zh-CN"/>
        </w:rPr>
        <w:t>2.深化智慧城市建设</w:t>
      </w:r>
      <w:bookmarkEnd w:id="129"/>
      <w:bookmarkEnd w:id="130"/>
    </w:p>
    <w:p w14:paraId="3ACBEC54">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强化第五代移动通信网络（5G）、千兆光网覆盖，优化算力设施建设布局，推进新型城市基础设施建设。加快传统基础设施数字化升级，推动城市公用设施、建筑、电网、地下管网等智能化改造。打造集约统一、数据融合、高效协同的城市数字底座，完善城市信息模型（CIM）平台。加强对城市运行管理服务状况的实时监测、动态分析，</w:t>
      </w:r>
      <w:r>
        <w:rPr>
          <w:rFonts w:hint="default" w:ascii="Times New Roman" w:hAnsi="Times New Roman" w:eastAsia="仿宋_GB2312" w:cs="Times New Roman"/>
          <w:b w:val="0"/>
          <w:bCs w:val="0"/>
          <w:spacing w:val="6"/>
          <w:kern w:val="2"/>
          <w:sz w:val="32"/>
          <w:szCs w:val="24"/>
          <w:highlight w:val="none"/>
          <w:lang w:val="en-US" w:eastAsia="zh-CN" w:bidi="ar-SA"/>
        </w:rPr>
        <w:t>统筹集成</w:t>
      </w:r>
      <w:r>
        <w:rPr>
          <w:rFonts w:hint="default" w:ascii="Times New Roman" w:hAnsi="Times New Roman" w:cs="Times New Roman"/>
          <w:b w:val="0"/>
          <w:bCs w:val="0"/>
          <w:spacing w:val="6"/>
          <w:kern w:val="2"/>
          <w:sz w:val="32"/>
          <w:szCs w:val="24"/>
          <w:highlight w:val="none"/>
          <w:lang w:val="en-US" w:eastAsia="zh-CN" w:bidi="ar-SA"/>
        </w:rPr>
        <w:t>智慧能源、</w:t>
      </w:r>
      <w:r>
        <w:rPr>
          <w:rFonts w:hint="default" w:ascii="Times New Roman" w:hAnsi="Times New Roman" w:cs="Times New Roman"/>
          <w:b w:val="0"/>
          <w:bCs w:val="0"/>
          <w:spacing w:val="6"/>
          <w:highlight w:val="none"/>
          <w:lang w:val="en-US" w:eastAsia="zh-CN"/>
        </w:rPr>
        <w:t>智慧交通、智慧城管、智慧水务、智慧环保、智慧网格</w:t>
      </w:r>
      <w:r>
        <w:rPr>
          <w:rFonts w:hint="default" w:ascii="Times New Roman" w:hAnsi="Times New Roman" w:eastAsia="仿宋_GB2312" w:cs="Times New Roman"/>
          <w:b w:val="0"/>
          <w:bCs w:val="0"/>
          <w:spacing w:val="6"/>
          <w:kern w:val="2"/>
          <w:sz w:val="32"/>
          <w:szCs w:val="24"/>
          <w:highlight w:val="none"/>
          <w:lang w:val="en-US" w:eastAsia="zh-CN" w:bidi="ar-SA"/>
        </w:rPr>
        <w:t>等</w:t>
      </w:r>
      <w:r>
        <w:rPr>
          <w:rFonts w:hint="default" w:ascii="Times New Roman" w:hAnsi="Times New Roman" w:cs="Times New Roman"/>
          <w:b w:val="0"/>
          <w:bCs w:val="0"/>
          <w:spacing w:val="6"/>
          <w:kern w:val="2"/>
          <w:sz w:val="32"/>
          <w:szCs w:val="24"/>
          <w:highlight w:val="none"/>
          <w:lang w:val="en-US" w:eastAsia="zh-CN" w:bidi="ar-SA"/>
        </w:rPr>
        <w:t>应用场景</w:t>
      </w:r>
      <w:r>
        <w:rPr>
          <w:rFonts w:hint="default" w:ascii="Times New Roman" w:hAnsi="Times New Roman" w:eastAsia="仿宋_GB2312" w:cs="Times New Roman"/>
          <w:b w:val="0"/>
          <w:bCs w:val="0"/>
          <w:spacing w:val="6"/>
          <w:kern w:val="2"/>
          <w:sz w:val="32"/>
          <w:szCs w:val="24"/>
          <w:highlight w:val="none"/>
          <w:lang w:val="en-US" w:eastAsia="zh-CN" w:bidi="ar-SA"/>
        </w:rPr>
        <w:t>，</w:t>
      </w:r>
      <w:r>
        <w:rPr>
          <w:rFonts w:hint="default" w:ascii="Times New Roman" w:hAnsi="Times New Roman" w:cs="Times New Roman"/>
          <w:b w:val="0"/>
          <w:bCs w:val="0"/>
          <w:spacing w:val="6"/>
          <w:highlight w:val="none"/>
          <w:lang w:val="en-US" w:eastAsia="zh-CN"/>
        </w:rPr>
        <w:t>推进城市运行管理服务“一网统管”。拓展“数字沂源”应用场景，</w:t>
      </w:r>
      <w:r>
        <w:rPr>
          <w:rFonts w:hint="default" w:ascii="Times New Roman" w:hAnsi="Times New Roman" w:cs="Times New Roman"/>
          <w:b w:val="0"/>
          <w:bCs w:val="0"/>
          <w:spacing w:val="6"/>
          <w:kern w:val="2"/>
          <w:sz w:val="32"/>
          <w:szCs w:val="24"/>
          <w:highlight w:val="none"/>
          <w:lang w:val="en-US" w:eastAsia="zh-CN" w:bidi="ar-SA"/>
        </w:rPr>
        <w:t>建设</w:t>
      </w:r>
      <w:r>
        <w:rPr>
          <w:rFonts w:hint="default" w:ascii="Times New Roman" w:hAnsi="Times New Roman" w:eastAsia="仿宋_GB2312" w:cs="Times New Roman"/>
          <w:b w:val="0"/>
          <w:bCs w:val="0"/>
          <w:spacing w:val="6"/>
          <w:kern w:val="2"/>
          <w:sz w:val="32"/>
          <w:szCs w:val="24"/>
          <w:highlight w:val="none"/>
          <w:lang w:val="en-US" w:eastAsia="zh-CN" w:bidi="ar-SA"/>
        </w:rPr>
        <w:t>物联感知平台，</w:t>
      </w:r>
      <w:r>
        <w:rPr>
          <w:rFonts w:hint="default" w:ascii="Times New Roman" w:hAnsi="Times New Roman" w:cs="Times New Roman"/>
          <w:b w:val="0"/>
          <w:bCs w:val="0"/>
          <w:spacing w:val="6"/>
          <w:kern w:val="2"/>
          <w:sz w:val="32"/>
          <w:szCs w:val="24"/>
          <w:highlight w:val="none"/>
          <w:lang w:val="en-US" w:eastAsia="zh-CN" w:bidi="ar-SA"/>
        </w:rPr>
        <w:t>提升</w:t>
      </w:r>
      <w:r>
        <w:rPr>
          <w:rFonts w:hint="default" w:ascii="Times New Roman" w:hAnsi="Times New Roman" w:eastAsia="仿宋_GB2312" w:cs="Times New Roman"/>
          <w:b w:val="0"/>
          <w:bCs w:val="0"/>
          <w:spacing w:val="6"/>
          <w:kern w:val="2"/>
          <w:sz w:val="32"/>
          <w:szCs w:val="24"/>
          <w:highlight w:val="none"/>
          <w:lang w:val="en-US" w:eastAsia="zh-CN" w:bidi="ar-SA"/>
        </w:rPr>
        <w:t>数据互联互通和业务协同</w:t>
      </w:r>
      <w:r>
        <w:rPr>
          <w:rFonts w:hint="default" w:ascii="Times New Roman" w:hAnsi="Times New Roman" w:cs="Times New Roman"/>
          <w:b w:val="0"/>
          <w:bCs w:val="0"/>
          <w:spacing w:val="6"/>
          <w:kern w:val="2"/>
          <w:sz w:val="32"/>
          <w:szCs w:val="24"/>
          <w:highlight w:val="none"/>
          <w:lang w:val="en-US" w:eastAsia="zh-CN" w:bidi="ar-SA"/>
        </w:rPr>
        <w:t>能力</w:t>
      </w:r>
      <w:r>
        <w:rPr>
          <w:rFonts w:hint="default" w:ascii="Times New Roman" w:hAnsi="Times New Roman" w:eastAsia="仿宋_GB2312" w:cs="Times New Roman"/>
          <w:b w:val="0"/>
          <w:bCs w:val="0"/>
          <w:spacing w:val="6"/>
          <w:kern w:val="2"/>
          <w:sz w:val="32"/>
          <w:szCs w:val="24"/>
          <w:highlight w:val="none"/>
          <w:lang w:val="en-US" w:eastAsia="zh-CN" w:bidi="ar-SA"/>
        </w:rPr>
        <w:t>。</w:t>
      </w:r>
      <w:r>
        <w:rPr>
          <w:rFonts w:hint="default" w:ascii="Times New Roman" w:hAnsi="Times New Roman" w:cs="Times New Roman"/>
          <w:b w:val="0"/>
          <w:bCs w:val="0"/>
          <w:spacing w:val="6"/>
          <w:highlight w:val="none"/>
          <w:lang w:val="en-US" w:eastAsia="zh-CN"/>
        </w:rPr>
        <w:t>发展智慧社区，结合完整社区建设实施公共设施数字化、网络化、智能化改造，提高智慧化安全防范、监测预警和应急处置能力。加快停车设施智能化改</w:t>
      </w:r>
      <w:r>
        <w:rPr>
          <w:rFonts w:hint="default" w:ascii="Times New Roman" w:hAnsi="Times New Roman" w:cs="Times New Roman"/>
          <w:b w:val="0"/>
          <w:bCs w:val="0"/>
          <w:highlight w:val="none"/>
          <w:lang w:val="en-US" w:eastAsia="zh-CN"/>
        </w:rPr>
        <w:t>造升级。</w:t>
      </w:r>
    </w:p>
    <w:p w14:paraId="3D7FD5A0">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31" w:name="_Toc29045"/>
      <w:bookmarkStart w:id="132" w:name="_Toc30167_WPSOffice_Level3"/>
      <w:r>
        <w:rPr>
          <w:rFonts w:hint="default" w:ascii="Times New Roman" w:hAnsi="Times New Roman" w:cs="Times New Roman"/>
          <w:highlight w:val="none"/>
          <w:lang w:val="en-US" w:eastAsia="zh-CN"/>
        </w:rPr>
        <w:t>3.</w:t>
      </w:r>
      <w:r>
        <w:rPr>
          <w:rFonts w:hint="eastAsia" w:ascii="Times New Roman" w:hAnsi="Times New Roman" w:cs="Times New Roman"/>
          <w:highlight w:val="none"/>
          <w:lang w:val="en-US" w:eastAsia="zh-CN"/>
        </w:rPr>
        <w:t>提升</w:t>
      </w:r>
      <w:r>
        <w:rPr>
          <w:rFonts w:hint="default" w:ascii="Times New Roman" w:hAnsi="Times New Roman" w:cs="Times New Roman"/>
          <w:highlight w:val="none"/>
          <w:lang w:val="en-US" w:eastAsia="zh-CN"/>
        </w:rPr>
        <w:t>城市安全运行水平</w:t>
      </w:r>
      <w:bookmarkEnd w:id="131"/>
      <w:bookmarkEnd w:id="132"/>
    </w:p>
    <w:p w14:paraId="24D8508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加快推进城市基础设施生命线工程建设，在城市运行管理服务平台上搭建城市生命线安全工程监测系统。加强地下综合管廊建设和老旧管线改造升级，加快推进老化燃气管道更新改造，深入开展城市房屋安全隐患排查整治，强化对小区电动自行车集中充电设施、住区消防车通道、安全疏散体系等隐患防治，加强对城市桥梁、隧道等设施的安全运行监测，提升网络枢纽、数据中心等信息基础设施抗毁韧性，全面提高新型城市基础设施安全风险抵御能力。提高城市公共卫生防控救治水平，加快完善应急物流体系，提升应急状况下城市物资快速保障能力。增强城市综合防灾减灾救灾能力，健全常态化风险隐患监测预警、排查整治机制。加强应急指挥、处置和救援体系建设，推进应急抢险救灾装备及物资前置储备。</w:t>
      </w:r>
    </w:p>
    <w:p w14:paraId="7EE43010">
      <w:pPr>
        <w:pStyle w:val="3"/>
        <w:keepNext/>
        <w:keepLines/>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133" w:name="_Toc27218"/>
      <w:bookmarkStart w:id="134" w:name="_Toc28445"/>
      <w:bookmarkStart w:id="135" w:name="_Toc1724_WPSOffice_Level2"/>
      <w:r>
        <w:rPr>
          <w:rFonts w:hint="default" w:ascii="Times New Roman" w:hAnsi="Times New Roman" w:cs="Times New Roman"/>
          <w:sz w:val="32"/>
          <w:szCs w:val="22"/>
          <w:highlight w:val="none"/>
          <w:lang w:val="en-US" w:eastAsia="zh-CN"/>
        </w:rPr>
        <w:t>第四节  加快推进农业转移人口市民化</w:t>
      </w:r>
      <w:bookmarkEnd w:id="133"/>
      <w:bookmarkEnd w:id="134"/>
      <w:bookmarkEnd w:id="135"/>
    </w:p>
    <w:p w14:paraId="72AB0ADC">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36" w:name="_Toc1590_WPSOffice_Level3"/>
      <w:bookmarkStart w:id="137" w:name="_Toc18055"/>
      <w:r>
        <w:rPr>
          <w:rFonts w:hint="default" w:ascii="Times New Roman" w:hAnsi="Times New Roman" w:cs="Times New Roman"/>
          <w:highlight w:val="none"/>
          <w:lang w:val="en-US" w:eastAsia="zh-CN"/>
        </w:rPr>
        <w:t>1.实施农业转移人口市民化行动</w:t>
      </w:r>
      <w:bookmarkEnd w:id="136"/>
      <w:bookmarkEnd w:id="137"/>
    </w:p>
    <w:p w14:paraId="4D32D17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全面深化户籍制度改革，探索农业转移人口“宜城则城、宜乡则乡、来去自由”的经常居住地登记户口制度，健全完善集体户制度。把握人口流动客观规律，推动相关公共服务随人走，健全以居住证为载体的基本公共服务与常住人口挂钩机制，按照常住人口规模优化基本公共服务设施布局。推进城镇基本公共服务覆盖非户籍常住人口，增强非户籍常住人口的市民身份认同感和城市归属感。推进农业转移人口在城镇稳定就业，全面落实农民工就业创业扶持政策。畅通入乡返乡落户渠道，允许入乡就业创业人员在原籍地或就业创业地落户并依法享有相关权益。</w:t>
      </w:r>
    </w:p>
    <w:p w14:paraId="51F99CD1">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38" w:name="_Toc17165"/>
      <w:bookmarkStart w:id="139" w:name="_Toc28991_WPSOffice_Level3"/>
      <w:r>
        <w:rPr>
          <w:rFonts w:hint="default" w:ascii="Times New Roman" w:hAnsi="Times New Roman" w:cs="Times New Roman"/>
          <w:highlight w:val="none"/>
          <w:lang w:val="en-US" w:eastAsia="zh-CN"/>
        </w:rPr>
        <w:t>2.强化进城落户农民权益保障</w:t>
      </w:r>
      <w:bookmarkEnd w:id="138"/>
      <w:bookmarkEnd w:id="139"/>
    </w:p>
    <w:p w14:paraId="793BB0E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eastAsia="仿宋_GB2312" w:cs="Times New Roman"/>
          <w:b w:val="0"/>
          <w:bCs w:val="0"/>
          <w:highlight w:val="none"/>
          <w:lang w:val="en-US" w:eastAsia="zh-CN"/>
        </w:rPr>
        <w:t>保障随迁子女平等享有受教育权利，在城镇新增人口、流动人口集中区域增加学位供给，基本满足随迁子女普惠性学前教育和义务教育阶段公办学校就读需求。加强农业转移人口多元化住房保障，将稳定就业生活的农业转移人口纳入城市住房保障范围，积极培育发展住房租赁市场，采取多种措施通过市场化方式满足农业转移人口住房需求。扩大农业转移人口社会保障覆盖，全面取消在就业地参保户籍限制，引导农业转移人口参加职工养老保险和医疗保险</w:t>
      </w:r>
      <w:r>
        <w:rPr>
          <w:rFonts w:hint="default" w:ascii="Times New Roman" w:hAnsi="Times New Roman" w:cs="Times New Roman"/>
          <w:b w:val="0"/>
          <w:bCs w:val="0"/>
          <w:highlight w:val="none"/>
          <w:lang w:val="en-US" w:eastAsia="zh-CN"/>
        </w:rPr>
        <w:t>，</w:t>
      </w:r>
      <w:r>
        <w:rPr>
          <w:rFonts w:hint="default" w:ascii="Times New Roman" w:hAnsi="Times New Roman" w:eastAsia="仿宋_GB2312" w:cs="Times New Roman"/>
          <w:b w:val="0"/>
          <w:bCs w:val="0"/>
          <w:highlight w:val="none"/>
          <w:lang w:val="en-US" w:eastAsia="zh-CN"/>
        </w:rPr>
        <w:t>全面落实持居住证参加城乡居民基本医疗保险政策。</w:t>
      </w:r>
      <w:r>
        <w:rPr>
          <w:rFonts w:hint="default" w:ascii="Times New Roman" w:hAnsi="Times New Roman" w:cs="Times New Roman"/>
          <w:b w:val="0"/>
          <w:bCs w:val="0"/>
          <w:highlight w:val="none"/>
          <w:lang w:val="en-US" w:eastAsia="zh-CN"/>
        </w:rPr>
        <w:t>完善基本财力保障机制奖补办法，将持有居住证的农业转移人口纳入相关民生支出测算范围。健全进城落户农民农村权益维护政策，依法维护进城落户农民的土地承包权、宅基地使用权、集体收益分配权，不得以退出上述权益作为农民进城落户的条件。</w:t>
      </w:r>
      <w:bookmarkStart w:id="140" w:name="_Toc20239"/>
    </w:p>
    <w:p w14:paraId="221B2C0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highlight w:val="none"/>
          <w:lang w:val="en-US" w:eastAsia="zh-CN"/>
        </w:rPr>
      </w:pPr>
    </w:p>
    <w:bookmarkEnd w:id="140"/>
    <w:p w14:paraId="1FB3803B">
      <w:pPr>
        <w:pStyle w:val="2"/>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小标宋简体" w:cs="Times New Roman"/>
          <w:b w:val="0"/>
          <w:bCs w:val="0"/>
          <w:sz w:val="40"/>
          <w:szCs w:val="32"/>
          <w:highlight w:val="none"/>
        </w:rPr>
      </w:pPr>
      <w:bookmarkStart w:id="141" w:name="_Toc31294"/>
      <w:bookmarkStart w:id="142" w:name="_Toc8837_WPSOffice_Level1"/>
      <w:r>
        <w:rPr>
          <w:rFonts w:hint="default" w:ascii="Times New Roman" w:hAnsi="Times New Roman" w:eastAsia="方正小标宋简体" w:cs="Times New Roman"/>
          <w:b w:val="0"/>
          <w:bCs w:val="0"/>
          <w:sz w:val="32"/>
          <w:szCs w:val="24"/>
          <w:highlight w:val="none"/>
        </w:rPr>
        <w:t>第</w:t>
      </w:r>
      <w:r>
        <w:rPr>
          <w:rFonts w:hint="default" w:ascii="Times New Roman" w:hAnsi="Times New Roman" w:cs="Times New Roman"/>
          <w:b w:val="0"/>
          <w:bCs w:val="0"/>
          <w:sz w:val="32"/>
          <w:szCs w:val="24"/>
          <w:highlight w:val="none"/>
          <w:lang w:val="en-US" w:eastAsia="zh-CN"/>
        </w:rPr>
        <w:t>八</w:t>
      </w:r>
      <w:r>
        <w:rPr>
          <w:rFonts w:hint="default" w:ascii="Times New Roman" w:hAnsi="Times New Roman" w:eastAsia="方正小标宋简体" w:cs="Times New Roman"/>
          <w:b w:val="0"/>
          <w:bCs w:val="0"/>
          <w:sz w:val="32"/>
          <w:szCs w:val="24"/>
          <w:highlight w:val="none"/>
        </w:rPr>
        <w:t xml:space="preserve">章  </w:t>
      </w:r>
      <w:r>
        <w:rPr>
          <w:rFonts w:hint="default" w:ascii="Times New Roman" w:hAnsi="Times New Roman" w:cs="Times New Roman"/>
          <w:b w:val="0"/>
          <w:bCs w:val="0"/>
          <w:sz w:val="32"/>
          <w:szCs w:val="24"/>
          <w:highlight w:val="none"/>
          <w:lang w:val="en-US" w:eastAsia="zh-CN"/>
        </w:rPr>
        <w:t>聚焦</w:t>
      </w:r>
      <w:r>
        <w:rPr>
          <w:rFonts w:hint="default" w:ascii="Times New Roman" w:hAnsi="Times New Roman" w:eastAsia="方正小标宋简体" w:cs="Times New Roman"/>
          <w:b w:val="0"/>
          <w:bCs w:val="0"/>
          <w:sz w:val="32"/>
          <w:szCs w:val="24"/>
          <w:highlight w:val="none"/>
        </w:rPr>
        <w:t>彰显文化魅力</w:t>
      </w:r>
      <w:r>
        <w:rPr>
          <w:rFonts w:hint="default" w:ascii="Times New Roman" w:hAnsi="Times New Roman" w:cs="Times New Roman"/>
          <w:b w:val="0"/>
          <w:bCs w:val="0"/>
          <w:sz w:val="32"/>
          <w:szCs w:val="24"/>
          <w:highlight w:val="none"/>
          <w:lang w:eastAsia="zh-CN"/>
        </w:rPr>
        <w:t>，</w:t>
      </w:r>
      <w:r>
        <w:rPr>
          <w:rFonts w:hint="default" w:ascii="Times New Roman" w:hAnsi="Times New Roman" w:eastAsia="方正小标宋简体" w:cs="Times New Roman"/>
          <w:b w:val="0"/>
          <w:bCs w:val="0"/>
          <w:sz w:val="32"/>
          <w:szCs w:val="24"/>
          <w:highlight w:val="none"/>
        </w:rPr>
        <w:t>推动旅游产业高质量发展</w:t>
      </w:r>
      <w:bookmarkEnd w:id="141"/>
      <w:bookmarkEnd w:id="142"/>
    </w:p>
    <w:p w14:paraId="2FDC271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val="0"/>
          <w:bCs w:val="0"/>
          <w:sz w:val="32"/>
          <w:highlight w:val="none"/>
        </w:rPr>
      </w:pPr>
      <w:r>
        <w:rPr>
          <w:rFonts w:hint="default" w:ascii="Times New Roman" w:hAnsi="Times New Roman" w:eastAsia="仿宋_GB2312" w:cs="Times New Roman"/>
          <w:b w:val="0"/>
          <w:bCs w:val="0"/>
          <w:sz w:val="32"/>
          <w:highlight w:val="none"/>
          <w:lang w:val="en-US" w:eastAsia="zh-CN"/>
        </w:rPr>
        <w:t>以社会主义核心价值观为引领，创新性推动优秀传统文化传承创新，繁荣发展文化事业和文化产业，聚焦“立足淄博、贴近沂蒙、走出山东”目标定位，坚持内强素质筑牢“四梁八柱”与外树形象擦亮“沂源招牌”相结合，构建全域旅游发展新格局，奋力跻身全省文旅队列第一方阵。</w:t>
      </w:r>
      <w:bookmarkStart w:id="143" w:name="_Toc29419"/>
    </w:p>
    <w:p w14:paraId="53A0051F">
      <w:pPr>
        <w:pStyle w:val="3"/>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44" w:name="_Toc27589"/>
      <w:bookmarkStart w:id="145" w:name="_Toc23600_WPSOffice_Level2"/>
      <w:r>
        <w:rPr>
          <w:rFonts w:hint="default" w:ascii="Times New Roman" w:hAnsi="Times New Roman" w:cs="Times New Roman"/>
          <w:sz w:val="32"/>
          <w:szCs w:val="22"/>
          <w:highlight w:val="none"/>
          <w:lang w:val="en-US" w:eastAsia="zh-CN"/>
        </w:rPr>
        <w:t>第一节  筑牢沂源文旅融合文化根基</w:t>
      </w:r>
      <w:bookmarkEnd w:id="143"/>
      <w:bookmarkEnd w:id="144"/>
      <w:bookmarkEnd w:id="145"/>
    </w:p>
    <w:p w14:paraId="0C7B8192">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46" w:name="_Toc8063_WPSOffice_Level3"/>
      <w:r>
        <w:rPr>
          <w:rFonts w:hint="default" w:ascii="Times New Roman" w:hAnsi="Times New Roman" w:cs="Times New Roman"/>
          <w:highlight w:val="none"/>
          <w:lang w:val="en-US" w:eastAsia="zh-CN"/>
        </w:rPr>
        <w:t>1.持续提升社会文明程度</w:t>
      </w:r>
      <w:bookmarkEnd w:id="146"/>
    </w:p>
    <w:p w14:paraId="27CD37B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坚持用习近平新时代中国特色社会主义思想凝心铸魂，持续擦亮“沂源红”宣讲品牌，推动党的创新理论落地生根、开花结果。大力挖掘阐释、弘扬传承新时代沂蒙精神，用好朱彦夫事迹展览馆、618战备电台、县委旧址、万祥山红色记忆馆等红色资源，加强和改进思想政治工作，推进校园文化建设，强化青少年理想信念教育。以争创全国县级文明城市为引领，实施文明城市创建八大行动，推动“创建文明城市”向“建设城市文明”跃升。实施“道德高地·好人之城”建设三年行动，大力选树宣传道德典型，讲好凡人善举感人故事。实施文明实践场域拓展工程，培树“沂风和畅·乡村好景”文明乡风，统筹推进城乡精神文明建设融合发展。深化主流媒体系统性变革，发挥“自媒体联盟”作用，加强新闻宣传和网络舆论一体化管理，提高主流舆论引导能力。</w:t>
      </w:r>
    </w:p>
    <w:tbl>
      <w:tblPr>
        <w:tblStyle w:val="16"/>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5"/>
      </w:tblGrid>
      <w:tr w14:paraId="455C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05" w:type="dxa"/>
          </w:tcPr>
          <w:p w14:paraId="41D33577">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专栏18：文明沂源创建提升工程</w:t>
            </w:r>
          </w:p>
        </w:tc>
      </w:tr>
      <w:tr w14:paraId="0AA9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8605" w:type="dxa"/>
          </w:tcPr>
          <w:p w14:paraId="4F6FEB9F">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提升理想信念。深入学习贯彻习近平新时代中国特色社会主义思想，加强爱国主义、集体主义、社会主义教育，大力培育和践行社会主义核心价值观。</w:t>
            </w:r>
          </w:p>
          <w:p w14:paraId="2C619F55">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提升道德水平。广泛运用基层宣讲、公益广告、专题展览、故事汇巡演等方式，加强典型事迹和榜样精神的社会传播，营造敬模范、学模范、见贤思齐的浓厚氛围，打造“道德高地·好人之城”。</w:t>
            </w:r>
          </w:p>
          <w:p w14:paraId="3CAE8008">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加强志愿服务。精准对接志愿服务社会需求，针对全县群众急难愁盼，广泛开展志愿服务活动，构建多元化志愿服务激励机制。</w:t>
            </w:r>
          </w:p>
          <w:p w14:paraId="281C4574">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提升信用水平。健全完善社会信用体系建设，广泛开展诚信宣传教育，建立完善守信联合激励和失信联合惩戒制度，开展诚信缺失突出问题集中治理。</w:t>
            </w:r>
          </w:p>
          <w:p w14:paraId="4D1BC102">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强化城市管理。大力开展市容环境集中整顿行动，加强执法进社区、进</w:t>
            </w:r>
            <w:r>
              <w:rPr>
                <w:rFonts w:hint="eastAsia" w:eastAsia="仿宋_GB2312" w:cs="Times New Roman"/>
                <w:b w:val="0"/>
                <w:bCs w:val="0"/>
                <w:sz w:val="24"/>
                <w:szCs w:val="24"/>
                <w:highlight w:val="none"/>
                <w:lang w:val="en-US" w:eastAsia="zh-CN"/>
              </w:rPr>
              <w:t>镇街</w:t>
            </w:r>
            <w:r>
              <w:rPr>
                <w:rFonts w:hint="default" w:ascii="Times New Roman" w:hAnsi="Times New Roman" w:eastAsia="仿宋_GB2312" w:cs="Times New Roman"/>
                <w:b w:val="0"/>
                <w:bCs w:val="0"/>
                <w:sz w:val="24"/>
                <w:szCs w:val="24"/>
                <w:highlight w:val="none"/>
                <w:lang w:val="en-US" w:eastAsia="zh-CN"/>
              </w:rPr>
              <w:t>，强力推动违法建设拆除，促进城市面貌简洁清朗。</w:t>
            </w:r>
          </w:p>
          <w:p w14:paraId="2736A328">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提升交通文明。落实文明畅通提升行动计划，不断提升物理隔离和智能化执法水平，加强文明交通宣传教育，不断提升市民文明交通意识。</w:t>
            </w:r>
          </w:p>
          <w:p w14:paraId="5501B08A">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规范农贸市场。坚持把改善集贸市场环境秩序与规范化管理相结合，开展各类集贸市场特别是农村集贸市场专项整治，确保市场管理规范、整洁有序。</w:t>
            </w:r>
          </w:p>
          <w:p w14:paraId="6C90AF08">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开展公益宣传。办好“V观沂源”主题宣传，统筹公益广告和公益宣传发布，开展公益广告征集活动，设计建设一批与城乡景观相融合、与历史文化相承接、与居民欣赏习惯相契合的公益广告。</w:t>
            </w:r>
          </w:p>
        </w:tc>
      </w:tr>
    </w:tbl>
    <w:p w14:paraId="15410C34">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47" w:name="_Toc9094_WPSOffice_Level3"/>
      <w:r>
        <w:rPr>
          <w:rFonts w:hint="default" w:ascii="Times New Roman" w:hAnsi="Times New Roman" w:cs="Times New Roman"/>
          <w:highlight w:val="none"/>
          <w:lang w:val="en-US" w:eastAsia="zh-CN"/>
        </w:rPr>
        <w:t>2.传承弘扬优秀传统文化</w:t>
      </w:r>
      <w:bookmarkEnd w:id="147"/>
    </w:p>
    <w:p w14:paraId="053F9573">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繁荣发展特色文化。探索建立科学有效的文化传承保护机制，重点弘扬“牛郎织女”爱情文化、“沂源猿人”生命文化、“朱彦夫事迹党性教育基地”红色文化、“洞见·时光”小三线文化以及“百公里沂河风景带”生态文化等特色文化，持续做好《记忆沂源》转化利用，推动优秀传统文化创造性转化、创新性发展，不断增强沂源文化的感召力、凝聚力、生命力。</w:t>
      </w:r>
    </w:p>
    <w:p w14:paraId="43B0A7E5">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加强文化遗产保护利用。扎实做好文物调查勘探和保护工作，高标准完成第四次全国文物普查工作，开展旧石器文物专项调查，实现全县镇（街道）、村（社区）的实地调查与文物复查全覆盖。实施一批文物保护项目，持续加大藏品征集力度，力争实现全国重点文物保护单位和省级文物保护单位的保护率达到100%。提升鲁山溶洞群、织女洞等文化遗产保护利用水平，深化圈连洞遗址发掘研究工作，加强对齐长城遗址、沂源猿人遗址、西鱼台遗址、唐山摩崖造像等文化遗产的考古与研究，加快“小三线”军工遗存和历史文化名村的保护开发。</w:t>
      </w:r>
    </w:p>
    <w:p w14:paraId="56702702">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加强非物质文化遗产传承创新。对代表性传承人实施动态管理，促进齐氏剪纸、唐家六面塑制作技艺等传统技艺的传承与推广。深入开展“非遗资源再挖掘”行动，持续推进非遗工坊建设，开展非遗“五进”活动，打造“非遗一条街”，设置“技艺展示区”“产品展销区”“互动体验区”等主题集市，定期举办“非遗赶大集”“传承人面对面”活动，推动非遗集市常态化，形成“逛非遗街、品沂源味”的文旅消费场景。推动非物质文化遗产和传统民俗活动场所与重点旅游线路有机整合。实施历史文化遗产数字再现工程，让历史文化遗产“活”起来。</w:t>
      </w:r>
    </w:p>
    <w:p w14:paraId="494B2AD1">
      <w:pPr>
        <w:pStyle w:val="4"/>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spacing w:val="6"/>
          <w:sz w:val="32"/>
          <w:highlight w:val="none"/>
          <w:lang w:val="en-US" w:eastAsia="zh-CN"/>
        </w:rPr>
      </w:pPr>
      <w:bookmarkStart w:id="148" w:name="_Toc13865_WPSOffice_Level3"/>
      <w:r>
        <w:rPr>
          <w:rFonts w:hint="default" w:ascii="Times New Roman" w:hAnsi="Times New Roman" w:cs="Times New Roman"/>
          <w:spacing w:val="6"/>
          <w:sz w:val="32"/>
          <w:highlight w:val="none"/>
          <w:lang w:val="en-US" w:eastAsia="zh-CN"/>
        </w:rPr>
        <w:t>3.推动文化事业繁荣发展</w:t>
      </w:r>
      <w:bookmarkEnd w:id="148"/>
    </w:p>
    <w:p w14:paraId="3BC37B56">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构筑公共文化空间新格局。推动公共文化服务从“阵地式”向“全域化”升级，从“单一供给”向“多元互动”转型，系统构建现代化文化设施体系。建设集图书借阅、报刊阅览、学习自修、视听服务、数字化阅读、休闲娱乐于一体的现代化公共图书馆，集数字化服务中心、非遗活态展馆、多功能培训基地、万人大型演出厅于一体的现代化文化馆，打造融合阅读体验、展览展示、文化沙龙、科普讲座等服务功能于一体的新型公共文化服务空间，建设“乡村记忆馆”，形成功能复合、覆盖城乡的公共文化空间网络。规划新建国家一级博物馆，构建集文化展示、教育普及、休闲体验于一体</w:t>
      </w:r>
      <w:r>
        <w:rPr>
          <w:rFonts w:hint="eastAsia" w:ascii="Times New Roman" w:hAnsi="Times New Roman" w:cs="Times New Roman"/>
          <w:b w:val="0"/>
          <w:bCs w:val="0"/>
          <w:spacing w:val="6"/>
          <w:sz w:val="32"/>
          <w:highlight w:val="none"/>
          <w:lang w:val="en-US" w:eastAsia="zh-CN"/>
        </w:rPr>
        <w:t>，</w:t>
      </w:r>
      <w:r>
        <w:rPr>
          <w:rFonts w:hint="default" w:ascii="Times New Roman" w:hAnsi="Times New Roman" w:cs="Times New Roman"/>
          <w:b w:val="0"/>
          <w:bCs w:val="0"/>
          <w:spacing w:val="6"/>
          <w:sz w:val="32"/>
          <w:highlight w:val="none"/>
          <w:lang w:val="en-US" w:eastAsia="zh-CN"/>
        </w:rPr>
        <w:t>覆盖领域广泛、品类丰富多样、彰显沂源地方特色的博物馆行业体系。</w:t>
      </w:r>
    </w:p>
    <w:p w14:paraId="6AF2C8BF">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创新公共文化服务新业态。改造提升城乡书房、阅读吧、文化驿站、镇街文化站、重点村文化活动中心等一批文化活动空间，持续开展全民阅读推广活动，加快建设“书香沂源”。支持新业态文化阵地建设，打造影视文化产业园。</w:t>
      </w:r>
      <w:r>
        <w:rPr>
          <w:rFonts w:hint="eastAsia" w:ascii="Times New Roman" w:hAnsi="Times New Roman" w:cs="Times New Roman"/>
          <w:b w:val="0"/>
          <w:bCs w:val="0"/>
          <w:spacing w:val="6"/>
          <w:sz w:val="32"/>
          <w:highlight w:val="none"/>
          <w:lang w:val="en-US" w:eastAsia="zh-CN"/>
        </w:rPr>
        <w:t>在</w:t>
      </w:r>
      <w:r>
        <w:rPr>
          <w:rFonts w:hint="default" w:ascii="Times New Roman" w:hAnsi="Times New Roman" w:cs="Times New Roman"/>
          <w:b w:val="0"/>
          <w:bCs w:val="0"/>
          <w:spacing w:val="6"/>
          <w:sz w:val="32"/>
          <w:highlight w:val="none"/>
          <w:lang w:val="en-US" w:eastAsia="zh-CN"/>
        </w:rPr>
        <w:t>传统节日庆祝活动中，注入时代精神和人文内涵，持续开展“齐舞悦动·沂路欢歌”等系列全民美育文化活动，创新开展传统民俗文化活动。通过空间共享、内容迭代、科技赋能、服务升级，推动公共文化空间特色更鲜明、品质更优良、效能更突出，构建“城区15分钟文化圈”“乡村30分钟文化圈”。</w:t>
      </w:r>
    </w:p>
    <w:p w14:paraId="328FEE3C">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bookmarkStart w:id="149" w:name="_Toc16167"/>
      <w:r>
        <w:rPr>
          <w:rFonts w:hint="default" w:ascii="Times New Roman" w:hAnsi="Times New Roman" w:cs="Times New Roman"/>
          <w:b w:val="0"/>
          <w:bCs w:val="0"/>
          <w:spacing w:val="6"/>
          <w:sz w:val="32"/>
          <w:highlight w:val="none"/>
          <w:lang w:val="en-US" w:eastAsia="zh-CN"/>
        </w:rPr>
        <w:t>丰富公共文化服务新供给。持续扩大“爱在沂源”系列文化品牌影响力，加强文艺精品创作培育，引导广大文艺工作者深入生活、扎根人民，挖掘本土文化资源，创作一批凸显沂源特色、彰显沂源精神的文艺精品。支持引导文艺团队、乡土文化能人广泛开展创作活动，推出一批精品小戏、小品和小剧场作品，扩大艺术作品的影响力。高质量举办送戏下乡、民间剧团展演、文化惠民辅导培训等特色文化活动。年均开展群众文化活动200余场，新增基层文艺团队30支，培育3—5支具有影响力的品牌团队。完善“订单式”“菜单式”服务机制，精准对接人民群众文化需求，持续提升文化惠民服务的覆盖面和实效性。</w:t>
      </w:r>
    </w:p>
    <w:p w14:paraId="5AADF870">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cs="Times New Roman"/>
          <w:b w:val="0"/>
          <w:bCs w:val="0"/>
          <w:spacing w:val="6"/>
          <w:sz w:val="32"/>
          <w:highlight w:val="none"/>
          <w:lang w:val="en-US" w:eastAsia="zh-CN"/>
        </w:rPr>
        <w:t>提升体育公共服务水平。</w:t>
      </w:r>
      <w:r>
        <w:rPr>
          <w:rFonts w:hint="default" w:ascii="Times New Roman" w:hAnsi="Times New Roman" w:eastAsia="仿宋_GB2312" w:cs="Times New Roman"/>
          <w:b w:val="0"/>
          <w:bCs w:val="0"/>
          <w:color w:val="auto"/>
          <w:spacing w:val="6"/>
          <w:sz w:val="32"/>
          <w:szCs w:val="32"/>
          <w:highlight w:val="none"/>
          <w:lang w:val="en-US" w:eastAsia="zh-CN"/>
        </w:rPr>
        <w:t>挖掘县城各类“金角银边”空间，</w:t>
      </w:r>
      <w:r>
        <w:rPr>
          <w:rFonts w:hint="default" w:ascii="Times New Roman" w:hAnsi="Times New Roman" w:cs="Times New Roman"/>
          <w:spacing w:val="6"/>
          <w:sz w:val="32"/>
          <w:highlight w:val="none"/>
        </w:rPr>
        <w:t>科学规划与建设</w:t>
      </w:r>
      <w:r>
        <w:rPr>
          <w:rFonts w:hint="default" w:ascii="Times New Roman" w:hAnsi="Times New Roman" w:cs="Times New Roman"/>
          <w:spacing w:val="6"/>
          <w:sz w:val="32"/>
          <w:highlight w:val="none"/>
          <w:lang w:val="en-US" w:eastAsia="zh-CN"/>
        </w:rPr>
        <w:t>一批</w:t>
      </w:r>
      <w:r>
        <w:rPr>
          <w:rFonts w:hint="default" w:ascii="Times New Roman" w:hAnsi="Times New Roman" w:eastAsia="仿宋_GB2312" w:cs="Times New Roman"/>
          <w:b w:val="0"/>
          <w:bCs w:val="0"/>
          <w:color w:val="auto"/>
          <w:spacing w:val="6"/>
          <w:sz w:val="32"/>
          <w:szCs w:val="32"/>
          <w:highlight w:val="none"/>
          <w:lang w:val="en-US" w:eastAsia="zh-CN"/>
        </w:rPr>
        <w:t>群众身边“小而美”的全民健身场地</w:t>
      </w:r>
      <w:r>
        <w:rPr>
          <w:rFonts w:hint="default" w:ascii="Times New Roman" w:hAnsi="Times New Roman" w:cs="Times New Roman"/>
          <w:b w:val="0"/>
          <w:bCs w:val="0"/>
          <w:color w:val="auto"/>
          <w:spacing w:val="6"/>
          <w:sz w:val="32"/>
          <w:szCs w:val="32"/>
          <w:highlight w:val="none"/>
          <w:lang w:val="en-US" w:eastAsia="zh-CN"/>
        </w:rPr>
        <w:t>，</w:t>
      </w:r>
      <w:r>
        <w:rPr>
          <w:rFonts w:hint="default" w:ascii="Times New Roman" w:hAnsi="Times New Roman" w:cs="Times New Roman"/>
          <w:spacing w:val="6"/>
          <w:sz w:val="32"/>
          <w:highlight w:val="none"/>
        </w:rPr>
        <w:t>持续完善“15分钟健身圈”。盘活现有资源，加强对现有</w:t>
      </w:r>
      <w:r>
        <w:rPr>
          <w:rFonts w:hint="default" w:ascii="Times New Roman" w:hAnsi="Times New Roman" w:cs="Times New Roman"/>
          <w:spacing w:val="6"/>
          <w:sz w:val="32"/>
          <w:highlight w:val="none"/>
          <w:lang w:val="en-US" w:eastAsia="zh-CN"/>
        </w:rPr>
        <w:t>各类公共</w:t>
      </w:r>
      <w:r>
        <w:rPr>
          <w:rFonts w:hint="default" w:ascii="Times New Roman" w:hAnsi="Times New Roman" w:cs="Times New Roman"/>
          <w:spacing w:val="6"/>
          <w:sz w:val="32"/>
          <w:highlight w:val="none"/>
        </w:rPr>
        <w:t>健身器材的维护、更新与智能化升级，提升设施使用效率和体验感。组织开展多层次、多样化全民健身活动，扩大群众参与度，</w:t>
      </w:r>
      <w:r>
        <w:rPr>
          <w:rFonts w:hint="eastAsia" w:ascii="Times New Roman" w:hAnsi="Times New Roman" w:cs="Times New Roman"/>
          <w:color w:val="auto"/>
          <w:spacing w:val="6"/>
          <w:sz w:val="32"/>
          <w:highlight w:val="none"/>
          <w:lang w:eastAsia="zh-CN"/>
        </w:rPr>
        <w:t>营造</w:t>
      </w:r>
      <w:r>
        <w:rPr>
          <w:rFonts w:hint="default" w:ascii="Times New Roman" w:hAnsi="Times New Roman" w:cs="Times New Roman"/>
          <w:spacing w:val="6"/>
          <w:sz w:val="32"/>
          <w:highlight w:val="none"/>
        </w:rPr>
        <w:t>浓厚健身氛围。</w:t>
      </w:r>
      <w:r>
        <w:rPr>
          <w:rFonts w:hint="default" w:ascii="Times New Roman" w:hAnsi="Times New Roman" w:cs="Times New Roman"/>
          <w:b w:val="0"/>
          <w:bCs w:val="0"/>
          <w:spacing w:val="6"/>
          <w:sz w:val="32"/>
          <w:highlight w:val="none"/>
          <w:lang w:val="en-US" w:eastAsia="zh-CN"/>
        </w:rPr>
        <w:t>构建普通学校、体校、社会力量协同的后备人才培养和输送机制，</w:t>
      </w:r>
      <w:r>
        <w:rPr>
          <w:rFonts w:hint="default" w:ascii="Times New Roman" w:hAnsi="Times New Roman" w:cs="Times New Roman"/>
          <w:spacing w:val="6"/>
          <w:sz w:val="32"/>
          <w:highlight w:val="none"/>
          <w:lang w:val="en-US" w:eastAsia="zh-CN"/>
        </w:rPr>
        <w:t>不断</w:t>
      </w:r>
      <w:r>
        <w:rPr>
          <w:rFonts w:hint="default" w:ascii="Times New Roman" w:hAnsi="Times New Roman" w:cs="Times New Roman"/>
          <w:b w:val="0"/>
          <w:bCs w:val="0"/>
          <w:spacing w:val="6"/>
          <w:sz w:val="32"/>
          <w:highlight w:val="none"/>
          <w:lang w:val="en-US" w:eastAsia="zh-CN"/>
        </w:rPr>
        <w:t>提升竞技体育综合实力。大力发展赛事经济，以省市级重大赛事和本土自主品牌赛事为引领，推进体育赛事活动进景区、进街区、进商圈，助力县域经济与社会发展。</w:t>
      </w:r>
      <w:bookmarkStart w:id="150" w:name="_Toc16704"/>
      <w:bookmarkStart w:id="151" w:name="_Toc31084_WPSOffice_Level2"/>
    </w:p>
    <w:p w14:paraId="5D686A8E">
      <w:pPr>
        <w:pStyle w:val="3"/>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第二节  构建全域旅游发展新格局</w:t>
      </w:r>
      <w:bookmarkEnd w:id="149"/>
      <w:bookmarkEnd w:id="150"/>
      <w:bookmarkEnd w:id="151"/>
    </w:p>
    <w:p w14:paraId="0DAB6111">
      <w:pPr>
        <w:pStyle w:val="4"/>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cs="Times New Roman"/>
          <w:spacing w:val="6"/>
          <w:sz w:val="32"/>
          <w:highlight w:val="none"/>
          <w:lang w:val="en-US" w:eastAsia="zh-CN"/>
        </w:rPr>
      </w:pPr>
      <w:bookmarkStart w:id="152" w:name="_Toc27974_WPSOffice_Level3"/>
      <w:r>
        <w:rPr>
          <w:rFonts w:hint="default" w:ascii="Times New Roman" w:hAnsi="Times New Roman" w:cs="Times New Roman"/>
          <w:spacing w:val="6"/>
          <w:sz w:val="32"/>
          <w:highlight w:val="none"/>
          <w:lang w:val="en-US" w:eastAsia="zh-CN"/>
        </w:rPr>
        <w:t>1.推动全县旅游景区“二次创业”</w:t>
      </w:r>
      <w:bookmarkEnd w:id="152"/>
    </w:p>
    <w:p w14:paraId="40A32113">
      <w:pPr>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spacing w:val="6"/>
          <w:sz w:val="32"/>
          <w:highlight w:val="none"/>
          <w:lang w:val="en-US" w:eastAsia="zh-CN"/>
        </w:rPr>
      </w:pPr>
      <w:r>
        <w:rPr>
          <w:rFonts w:hint="default" w:ascii="Times New Roman" w:hAnsi="Times New Roman" w:eastAsia="仿宋_GB2312" w:cs="Times New Roman"/>
          <w:b w:val="0"/>
          <w:bCs w:val="0"/>
          <w:spacing w:val="6"/>
          <w:kern w:val="2"/>
          <w:sz w:val="32"/>
          <w:szCs w:val="24"/>
          <w:highlight w:val="none"/>
          <w:lang w:val="en-US" w:eastAsia="zh-CN" w:bidi="ar-SA"/>
        </w:rPr>
        <w:t>聚焦“立足淄博、贴近沂蒙、走出山东”目标定位，树立“大文旅观”发展理念，</w:t>
      </w:r>
      <w:r>
        <w:rPr>
          <w:rFonts w:hint="default" w:ascii="Times New Roman" w:hAnsi="Times New Roman" w:cs="Times New Roman"/>
          <w:b w:val="0"/>
          <w:bCs w:val="0"/>
          <w:spacing w:val="6"/>
          <w:sz w:val="32"/>
          <w:highlight w:val="none"/>
          <w:lang w:val="en-US" w:eastAsia="zh-CN"/>
        </w:rPr>
        <w:t>按照</w:t>
      </w:r>
      <w:r>
        <w:rPr>
          <w:rFonts w:hint="default" w:ascii="Times New Roman" w:hAnsi="Times New Roman" w:eastAsia="仿宋_GB2312" w:cs="Times New Roman"/>
          <w:b w:val="0"/>
          <w:bCs w:val="0"/>
          <w:spacing w:val="6"/>
          <w:sz w:val="32"/>
          <w:highlight w:val="none"/>
        </w:rPr>
        <w:t>“以文为魂引领、以旅为体彰文、以农为根塑基、以商为媒共赢”的</w:t>
      </w:r>
      <w:r>
        <w:rPr>
          <w:rFonts w:hint="default" w:ascii="Times New Roman" w:hAnsi="Times New Roman" w:cs="Times New Roman"/>
          <w:b w:val="0"/>
          <w:bCs w:val="0"/>
          <w:spacing w:val="6"/>
          <w:sz w:val="32"/>
          <w:highlight w:val="none"/>
          <w:lang w:val="en-US" w:eastAsia="zh-CN"/>
        </w:rPr>
        <w:t>发展思路，引导现有旅游景区从单一观光向休闲度假转型、从单一业态向复合业态转型、从文化展示向综合体验转型，构建面上有推进、点上有突破的“一山一水五线八片多点”文旅高质量发展格局</w:t>
      </w:r>
      <w:r>
        <w:rPr>
          <w:rFonts w:hint="default" w:ascii="Times New Roman" w:hAnsi="Times New Roman" w:eastAsia="仿宋_GB2312" w:cs="Times New Roman"/>
          <w:b w:val="0"/>
          <w:bCs w:val="0"/>
          <w:spacing w:val="6"/>
          <w:sz w:val="32"/>
          <w:highlight w:val="none"/>
        </w:rPr>
        <w:t>，</w:t>
      </w:r>
      <w:r>
        <w:rPr>
          <w:rFonts w:hint="default" w:ascii="Times New Roman" w:hAnsi="Times New Roman" w:eastAsia="仿宋_GB2312" w:cs="Times New Roman"/>
          <w:b w:val="0"/>
          <w:bCs w:val="0"/>
          <w:spacing w:val="6"/>
          <w:kern w:val="2"/>
          <w:sz w:val="32"/>
          <w:szCs w:val="24"/>
          <w:highlight w:val="none"/>
          <w:lang w:val="en-US" w:eastAsia="zh-CN" w:bidi="ar-SA"/>
        </w:rPr>
        <w:t>努力把文旅产业打造成为支柱产业、民生产业。</w:t>
      </w:r>
      <w:r>
        <w:rPr>
          <w:rFonts w:hint="default" w:ascii="Times New Roman" w:hAnsi="Times New Roman" w:cs="Times New Roman"/>
          <w:b w:val="0"/>
          <w:bCs w:val="0"/>
          <w:spacing w:val="6"/>
          <w:sz w:val="32"/>
          <w:highlight w:val="none"/>
          <w:lang w:val="en-US" w:eastAsia="zh-CN"/>
        </w:rPr>
        <w:t>力争到2030年，全县A级旅游景区达到17家，旅游综合收入年均增长8%。</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130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6A0CA40">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专栏19：文旅高质量发展总体格局</w:t>
            </w:r>
          </w:p>
        </w:tc>
      </w:tr>
      <w:tr w14:paraId="5F44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8522" w:type="dxa"/>
          </w:tcPr>
          <w:p w14:paraId="0CB1D78B">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融合“一山”。围绕南北鲁山一体化发展，借势国家和省市文旅平台资源，规划做好环鲁山片区融合发展，</w:t>
            </w:r>
            <w:r>
              <w:rPr>
                <w:rFonts w:hint="default" w:ascii="Times New Roman" w:hAnsi="Times New Roman" w:eastAsia="仿宋_GB2312" w:cs="Times New Roman"/>
                <w:b w:val="0"/>
                <w:bCs w:val="0"/>
                <w:sz w:val="24"/>
                <w:szCs w:val="24"/>
                <w:highlight w:val="none"/>
                <w:lang w:val="en-US" w:eastAsia="zh-CN"/>
              </w:rPr>
              <w:t>实施南鲁山片区文旅农商融合提升项目，争创</w:t>
            </w:r>
            <w:r>
              <w:rPr>
                <w:rFonts w:hint="default" w:ascii="Times New Roman" w:hAnsi="Times New Roman" w:eastAsia="仿宋_GB2312" w:cs="Times New Roman"/>
                <w:b w:val="0"/>
                <w:bCs w:val="0"/>
                <w:sz w:val="24"/>
                <w:szCs w:val="24"/>
                <w:highlight w:val="none"/>
                <w:lang w:eastAsia="zh-CN"/>
              </w:rPr>
              <w:t>鲁山溶洞群5A级景区，丰富环鲁山片区业态，提升市场吸引力。</w:t>
            </w:r>
          </w:p>
          <w:p w14:paraId="05DCC5DA">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布局“一水”。挖掘利用沂河沿岸资源，打造百公里沂河风景带，通过河道治理、修建步道骑行道、旅游风景道、优化提升沿岸景观环境和绿化植被等方式，布局研学、亲水、露营、采摘、文化体验等业态，打造桃花岛、天湖、“一河两岸”、龙湾水乡、牛郎织女景区、唐山等节点项目。</w:t>
            </w:r>
          </w:p>
          <w:p w14:paraId="4EEB1535">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提升“五线”。持续打造提升田间乡村游、红色研学游、文化体验游、生态观光游、洞穴探险游5条精品线路。立足游客多元化、个性化需求，围绕春赏花、夏消暑、秋采摘、冬玩雪、银发游、亲子游、研学游，推出10条以上旅游线路。</w:t>
            </w:r>
          </w:p>
          <w:p w14:paraId="36F0B5ED">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color w:val="FF000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打造“八片”。</w:t>
            </w:r>
            <w:r>
              <w:rPr>
                <w:rFonts w:hint="default" w:ascii="Times New Roman" w:hAnsi="Times New Roman" w:eastAsia="仿宋_GB2312" w:cs="Times New Roman"/>
                <w:b w:val="0"/>
                <w:bCs w:val="0"/>
                <w:color w:val="auto"/>
                <w:sz w:val="24"/>
                <w:szCs w:val="24"/>
                <w:highlight w:val="none"/>
                <w:lang w:eastAsia="zh-CN"/>
              </w:rPr>
              <w:t>实施锦绣许村业态丰富、青岛绿兰莎啤酒工业游、鲁山片区提升、沂河源文化中心</w:t>
            </w:r>
            <w:r>
              <w:rPr>
                <w:rFonts w:hint="eastAsia"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eastAsia="zh-CN"/>
              </w:rPr>
              <w:t>桃花岛酒店升级、燕崖镇桑家峪民宿、牛郎织女景区业态提升、龙湾水乡网红打卡地建设</w:t>
            </w:r>
            <w:r>
              <w:rPr>
                <w:rFonts w:hint="eastAsia" w:eastAsia="仿宋_GB2312" w:cs="Times New Roman"/>
                <w:b w:val="0"/>
                <w:bCs w:val="0"/>
                <w:color w:val="auto"/>
                <w:sz w:val="24"/>
                <w:szCs w:val="24"/>
                <w:highlight w:val="none"/>
                <w:lang w:val="en-US" w:eastAsia="zh-CN"/>
              </w:rPr>
              <w:t>8个重点项目，打造8个引领片区</w:t>
            </w:r>
            <w:r>
              <w:rPr>
                <w:rFonts w:hint="default" w:ascii="Times New Roman" w:hAnsi="Times New Roman" w:eastAsia="仿宋_GB2312" w:cs="Times New Roman"/>
                <w:b w:val="0"/>
                <w:bCs w:val="0"/>
                <w:color w:val="auto"/>
                <w:sz w:val="24"/>
                <w:szCs w:val="24"/>
                <w:highlight w:val="none"/>
                <w:lang w:eastAsia="zh-CN"/>
              </w:rPr>
              <w:t>。</w:t>
            </w:r>
          </w:p>
          <w:p w14:paraId="5AEFB9CC">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eastAsia="zh-CN"/>
              </w:rPr>
              <w:t>培育“多点”。坚持抓大不放小，多点发力、梯次培育多个景区和乡村旅游点，推进南麻街道马王峪露营地、南鲁山镇流水国防体育研学基地、大张庄镇大马峪民宿、中庄镇临临高速服务区提升、石桥镇分水新村农旅融合等项目建设，初步形成覆盖全域、特点鲜明的多点支撑布局。</w:t>
            </w:r>
          </w:p>
        </w:tc>
      </w:tr>
    </w:tbl>
    <w:p w14:paraId="1B78839C">
      <w:pPr>
        <w:pStyle w:val="4"/>
        <w:bidi w:val="0"/>
        <w:rPr>
          <w:rFonts w:hint="default" w:ascii="Times New Roman" w:hAnsi="Times New Roman" w:cs="Times New Roman"/>
          <w:highlight w:val="none"/>
          <w:lang w:val="en-US" w:eastAsia="zh-CN"/>
        </w:rPr>
      </w:pPr>
      <w:bookmarkStart w:id="153" w:name="_Toc22866_WPSOffice_Level3"/>
      <w:r>
        <w:rPr>
          <w:rFonts w:hint="default" w:ascii="Times New Roman" w:hAnsi="Times New Roman" w:cs="Times New Roman"/>
          <w:highlight w:val="none"/>
          <w:lang w:val="en-US" w:eastAsia="zh-CN"/>
        </w:rPr>
        <w:t>2.实施重大文旅项目提质升级攻坚行动</w:t>
      </w:r>
      <w:bookmarkEnd w:id="153"/>
    </w:p>
    <w:p w14:paraId="7E2110C8">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重点谋划推进一批投资大、带动作用强、与现有文旅资源结合紧密的</w:t>
      </w:r>
      <w:r>
        <w:rPr>
          <w:rFonts w:hint="default" w:ascii="Times New Roman" w:hAnsi="Times New Roman" w:eastAsia="FangSong_GB2312" w:cs="Times New Roman"/>
          <w:b w:val="0"/>
          <w:bCs w:val="0"/>
          <w:spacing w:val="2"/>
          <w:highlight w:val="none"/>
        </w:rPr>
        <w:t>重点文旅</w:t>
      </w:r>
      <w:r>
        <w:rPr>
          <w:rFonts w:hint="default" w:ascii="Times New Roman" w:hAnsi="Times New Roman" w:cs="Times New Roman"/>
          <w:b w:val="0"/>
          <w:bCs w:val="0"/>
          <w:spacing w:val="6"/>
          <w:sz w:val="32"/>
          <w:highlight w:val="none"/>
          <w:lang w:val="en-US" w:eastAsia="zh-CN"/>
        </w:rPr>
        <w:t>项目，集中突破“一洞一馆一湾一传说”核心工程，力求早建成、早运营、早见</w:t>
      </w:r>
      <w:r>
        <w:rPr>
          <w:rFonts w:hint="default" w:ascii="Times New Roman" w:hAnsi="Times New Roman" w:eastAsia="FangSong_GB2312" w:cs="Times New Roman"/>
          <w:b w:val="0"/>
          <w:bCs w:val="0"/>
          <w:spacing w:val="6"/>
          <w:highlight w:val="none"/>
        </w:rPr>
        <w:t>效。</w:t>
      </w:r>
      <w:r>
        <w:rPr>
          <w:rFonts w:hint="default" w:ascii="Times New Roman" w:hAnsi="Times New Roman" w:cs="Times New Roman"/>
          <w:b w:val="0"/>
          <w:bCs w:val="0"/>
          <w:highlight w:val="none"/>
          <w:lang w:val="en-US" w:eastAsia="zh-CN"/>
        </w:rPr>
        <w:t>加强与旅游领域知名人</w:t>
      </w:r>
      <w:r>
        <w:rPr>
          <w:rFonts w:hint="default" w:ascii="Times New Roman" w:hAnsi="Times New Roman" w:cs="Times New Roman"/>
          <w:b w:val="0"/>
          <w:bCs w:val="0"/>
          <w:spacing w:val="6"/>
          <w:sz w:val="32"/>
          <w:highlight w:val="none"/>
          <w:lang w:val="en-US" w:eastAsia="zh-CN"/>
        </w:rPr>
        <w:t>士、专业团队对接，力争吸引一批知名文旅集团落地投资。做好重点文旅项目的公共配套服务，在农业设施、道路交通、生态保护、城市更新等领域为重点文旅项目留出充分发</w:t>
      </w:r>
      <w:r>
        <w:rPr>
          <w:rFonts w:hint="default" w:ascii="Times New Roman" w:hAnsi="Times New Roman" w:cs="Times New Roman"/>
          <w:b w:val="0"/>
          <w:bCs w:val="0"/>
          <w:highlight w:val="none"/>
          <w:lang w:val="en-US" w:eastAsia="zh-CN"/>
        </w:rPr>
        <w:t>展空间。</w:t>
      </w:r>
    </w:p>
    <w:tbl>
      <w:tblPr>
        <w:tblStyle w:val="16"/>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5"/>
      </w:tblGrid>
      <w:tr w14:paraId="7CE2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575" w:type="dxa"/>
          </w:tcPr>
          <w:p w14:paraId="046A9288">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专栏20：“一洞一馆一湾一传说”核心工程建设</w:t>
            </w:r>
          </w:p>
        </w:tc>
      </w:tr>
      <w:tr w14:paraId="2D07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5" w:type="dxa"/>
          </w:tcPr>
          <w:p w14:paraId="7B60126F">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一洞”。利用人防洞及周边资源，打造“洞见·时光”项目，利用洞外空间丰富军事体验、青少年实践基地、露营地、军事体验、民宿、停车场、健身步道和骑行道路等业态，串联九天洞、灵芝洞、千人洞等洞穴，打造洞穴探险游线路。</w:t>
            </w:r>
          </w:p>
          <w:p w14:paraId="072AE8A0">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一馆”。推进淄博宝琦金石博物馆建设，争创国家一级非国有博物馆，以打造“展陈+研学+文创”三位一体兼具文化底蕴与时代特色的博物馆为目标，做好手续备案、展陈布展等工作，打造新的文化地标和网红打卡地。</w:t>
            </w:r>
          </w:p>
          <w:p w14:paraId="587C70E6">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一湾”。挖掘沂河龙湾水乡段山水、农业、生态等资源，打造玻璃滑道漂流、水上娱乐运动、大樱桃采摘、餐饮娱乐、冰雪运动等项目，完善停车场、游客中心等基础配套设施，规范管理运营，提升服务水平，打造集“生态+休闲+娱乐”多元体验等功能于一体的网红打卡地。</w:t>
            </w:r>
          </w:p>
          <w:p w14:paraId="00F09810">
            <w:pPr>
              <w:pStyle w:val="27"/>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w:t>
            </w:r>
            <w:r>
              <w:rPr>
                <w:rFonts w:hint="default" w:ascii="Times New Roman" w:hAnsi="Times New Roman" w:eastAsia="仿宋_GB2312" w:cs="Times New Roman"/>
                <w:b w:val="0"/>
                <w:bCs w:val="0"/>
                <w:spacing w:val="6"/>
                <w:sz w:val="24"/>
                <w:szCs w:val="24"/>
                <w:highlight w:val="none"/>
                <w:lang w:val="en-US" w:eastAsia="zh-CN"/>
              </w:rPr>
              <w:t>一传说”。利用国家级非物质文化遗产“牛郎织女传说”爱情文化发源地——牛郎织女景区资源，推进场馆建设，提升停车场、旅游厕所等配套设施水平，丰富餐饮娱乐、婚礼策划举办等业态，迭代更新游戏演艺等体验场景，打造集田园休闲、文化体验、康养运动、特色度假等功能于一体的“东方爱情文化圣地”。</w:t>
            </w:r>
          </w:p>
        </w:tc>
      </w:tr>
    </w:tbl>
    <w:p w14:paraId="51B4F268">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highlight w:val="none"/>
          <w:lang w:val="en-US" w:eastAsia="zh-CN"/>
        </w:rPr>
      </w:pPr>
      <w:bookmarkStart w:id="154" w:name="_Toc1464_WPSOffice_Level3"/>
      <w:r>
        <w:rPr>
          <w:rFonts w:hint="default" w:ascii="Times New Roman" w:hAnsi="Times New Roman" w:eastAsia="楷体_GB2312" w:cs="Times New Roman"/>
          <w:b w:val="0"/>
          <w:bCs w:val="0"/>
          <w:highlight w:val="none"/>
          <w:lang w:val="en-US" w:eastAsia="zh-CN"/>
        </w:rPr>
        <w:t>3.激发文旅市场主体活力</w:t>
      </w:r>
      <w:bookmarkEnd w:id="154"/>
    </w:p>
    <w:p w14:paraId="3C69A59E">
      <w:pPr>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spacing w:val="0"/>
          <w:highlight w:val="none"/>
          <w:lang w:val="en-US" w:eastAsia="zh-CN"/>
        </w:rPr>
      </w:pPr>
      <w:r>
        <w:rPr>
          <w:rFonts w:hint="default" w:ascii="Times New Roman" w:hAnsi="Times New Roman" w:cs="Times New Roman"/>
          <w:b w:val="0"/>
          <w:bCs w:val="0"/>
          <w:spacing w:val="0"/>
          <w:highlight w:val="none"/>
          <w:lang w:val="en-US" w:eastAsia="zh-CN"/>
        </w:rPr>
        <w:t>强化“政府主导、市场运作、社会参与”的多元化投融资机制，鼓励和支持各类市场主体进入文旅农商融合领域。加快运营升级，通过招商引智、联盟发展等方式，深化与知名文旅企业、管理团队的合作，提升专业化、市场化运营水平。支持本土骨干企业通过产品迭代、跨界合作、营销引流等措施，实现转型升级。发挥国投集团龙头带动作用，通过生产协作、开放平台、共享资源等方式，带动上下游小微企业协同发展。优化文旅领域创业环境，创新小微文旅企业投融资机制，重点支持一批掌握“新技术、新业态、新模式”的企业发展，鼓励发展“小而美”的文旅创业团队和新业态工作室，构建结构合理、充满活力的经营主体梯队。</w:t>
      </w:r>
    </w:p>
    <w:p w14:paraId="32956F69">
      <w:pPr>
        <w:pStyle w:val="3"/>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32"/>
          <w:szCs w:val="22"/>
          <w:highlight w:val="none"/>
          <w:lang w:val="en-US" w:eastAsia="zh-CN"/>
        </w:rPr>
      </w:pPr>
      <w:bookmarkStart w:id="155" w:name="_Toc9356"/>
      <w:bookmarkStart w:id="156" w:name="_Toc18773_WPSOffice_Level2"/>
      <w:bookmarkStart w:id="157" w:name="_Toc22734"/>
      <w:r>
        <w:rPr>
          <w:rFonts w:hint="default" w:ascii="Times New Roman" w:hAnsi="Times New Roman" w:cs="Times New Roman"/>
          <w:sz w:val="32"/>
          <w:szCs w:val="22"/>
          <w:highlight w:val="none"/>
          <w:lang w:val="en-US" w:eastAsia="zh-CN"/>
        </w:rPr>
        <w:t xml:space="preserve">第三节  </w:t>
      </w:r>
      <w:r>
        <w:rPr>
          <w:rFonts w:hint="eastAsia" w:ascii="Times New Roman" w:hAnsi="Times New Roman" w:cs="Times New Roman"/>
          <w:sz w:val="32"/>
          <w:szCs w:val="22"/>
          <w:highlight w:val="none"/>
          <w:lang w:val="en-US" w:eastAsia="zh-CN"/>
        </w:rPr>
        <w:t>培育</w:t>
      </w:r>
      <w:r>
        <w:rPr>
          <w:rFonts w:hint="default" w:ascii="Times New Roman" w:hAnsi="Times New Roman" w:cs="Times New Roman"/>
          <w:sz w:val="32"/>
          <w:szCs w:val="22"/>
          <w:highlight w:val="none"/>
          <w:lang w:val="en-US" w:eastAsia="zh-CN"/>
        </w:rPr>
        <w:t>文旅农商融合新型业态</w:t>
      </w:r>
      <w:bookmarkEnd w:id="155"/>
      <w:bookmarkEnd w:id="156"/>
      <w:bookmarkEnd w:id="157"/>
    </w:p>
    <w:p w14:paraId="2661275D">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kern w:val="2"/>
          <w:sz w:val="32"/>
          <w:szCs w:val="24"/>
          <w:highlight w:val="none"/>
          <w:lang w:val="en-US" w:eastAsia="zh-CN" w:bidi="ar-SA"/>
        </w:rPr>
      </w:pPr>
      <w:r>
        <w:rPr>
          <w:rFonts w:hint="default" w:ascii="Times New Roman" w:hAnsi="Times New Roman" w:eastAsia="仿宋_GB2312" w:cs="Times New Roman"/>
          <w:b w:val="0"/>
          <w:bCs w:val="0"/>
          <w:kern w:val="2"/>
          <w:sz w:val="32"/>
          <w:szCs w:val="24"/>
          <w:highlight w:val="none"/>
          <w:lang w:val="en-US" w:eastAsia="zh-CN" w:bidi="ar-SA"/>
        </w:rPr>
        <w:t>深入推进“文旅+百业”“百业+文旅”融合发展，加速旅游与各领域各产业深度融合，系统开发更多顺应市场需求、符合消费趋势的新业态、新产品，更好满足个性化多元化需求。</w:t>
      </w:r>
    </w:p>
    <w:p w14:paraId="40A728EC">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58" w:name="_Toc213_WPSOffice_Level3"/>
      <w:r>
        <w:rPr>
          <w:rFonts w:hint="default" w:ascii="Times New Roman" w:hAnsi="Times New Roman" w:cs="Times New Roman"/>
          <w:highlight w:val="none"/>
          <w:lang w:val="en-US" w:eastAsia="zh-CN"/>
        </w:rPr>
        <w:t>1.</w:t>
      </w:r>
      <w:bookmarkEnd w:id="158"/>
      <w:r>
        <w:rPr>
          <w:rFonts w:hint="default" w:ascii="Times New Roman" w:hAnsi="Times New Roman" w:cs="Times New Roman"/>
          <w:highlight w:val="none"/>
          <w:lang w:val="en-US" w:eastAsia="zh-CN"/>
        </w:rPr>
        <w:t>文旅+乡村民俗</w:t>
      </w:r>
    </w:p>
    <w:p w14:paraId="164839A6">
      <w:pPr>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不断提升乡村旅游内涵，结合美丽乡村建设，</w:t>
      </w:r>
      <w:r>
        <w:rPr>
          <w:rFonts w:hint="default" w:ascii="Times New Roman" w:hAnsi="Times New Roman" w:cs="Times New Roman"/>
          <w:b w:val="0"/>
          <w:bCs w:val="0"/>
          <w:sz w:val="32"/>
          <w:szCs w:val="44"/>
          <w:highlight w:val="none"/>
          <w:lang w:val="en-US" w:eastAsia="zh-CN"/>
        </w:rPr>
        <w:t>重点</w:t>
      </w:r>
      <w:r>
        <w:rPr>
          <w:rFonts w:hint="default" w:ascii="Times New Roman" w:hAnsi="Times New Roman" w:eastAsia="仿宋_GB2312" w:cs="Times New Roman"/>
          <w:b w:val="0"/>
          <w:bCs w:val="0"/>
          <w:sz w:val="32"/>
          <w:szCs w:val="44"/>
          <w:highlight w:val="none"/>
        </w:rPr>
        <w:t>打造南鲁山</w:t>
      </w:r>
      <w:r>
        <w:rPr>
          <w:rFonts w:hint="default" w:ascii="Times New Roman" w:hAnsi="Times New Roman" w:cs="Times New Roman"/>
          <w:b w:val="0"/>
          <w:bCs w:val="0"/>
          <w:sz w:val="32"/>
          <w:szCs w:val="44"/>
          <w:highlight w:val="none"/>
          <w:lang w:val="en-US" w:eastAsia="zh-CN"/>
        </w:rPr>
        <w:t>镇</w:t>
      </w:r>
      <w:r>
        <w:rPr>
          <w:rFonts w:hint="default" w:ascii="Times New Roman" w:hAnsi="Times New Roman" w:eastAsia="仿宋_GB2312" w:cs="Times New Roman"/>
          <w:b w:val="0"/>
          <w:bCs w:val="0"/>
          <w:sz w:val="32"/>
          <w:szCs w:val="44"/>
          <w:highlight w:val="none"/>
        </w:rPr>
        <w:t>朱阿、鲁村</w:t>
      </w:r>
      <w:r>
        <w:rPr>
          <w:rFonts w:hint="default" w:ascii="Times New Roman" w:hAnsi="Times New Roman" w:cs="Times New Roman"/>
          <w:b w:val="0"/>
          <w:bCs w:val="0"/>
          <w:sz w:val="32"/>
          <w:szCs w:val="44"/>
          <w:highlight w:val="none"/>
          <w:lang w:val="en-US" w:eastAsia="zh-CN"/>
        </w:rPr>
        <w:t>镇</w:t>
      </w:r>
      <w:r>
        <w:rPr>
          <w:rFonts w:hint="default" w:ascii="Times New Roman" w:hAnsi="Times New Roman" w:eastAsia="仿宋_GB2312" w:cs="Times New Roman"/>
          <w:b w:val="0"/>
          <w:bCs w:val="0"/>
          <w:sz w:val="32"/>
          <w:szCs w:val="44"/>
          <w:highlight w:val="none"/>
        </w:rPr>
        <w:t>龙子峪、燕崖</w:t>
      </w:r>
      <w:r>
        <w:rPr>
          <w:rFonts w:hint="default" w:ascii="Times New Roman" w:hAnsi="Times New Roman" w:cs="Times New Roman"/>
          <w:b w:val="0"/>
          <w:bCs w:val="0"/>
          <w:sz w:val="32"/>
          <w:szCs w:val="44"/>
          <w:highlight w:val="none"/>
          <w:lang w:val="en-US" w:eastAsia="zh-CN"/>
        </w:rPr>
        <w:t>镇</w:t>
      </w:r>
      <w:r>
        <w:rPr>
          <w:rFonts w:hint="default" w:ascii="Times New Roman" w:hAnsi="Times New Roman" w:eastAsia="仿宋_GB2312" w:cs="Times New Roman"/>
          <w:b w:val="0"/>
          <w:bCs w:val="0"/>
          <w:sz w:val="32"/>
          <w:szCs w:val="44"/>
          <w:highlight w:val="none"/>
        </w:rPr>
        <w:t>朱家户、石桥</w:t>
      </w:r>
      <w:r>
        <w:rPr>
          <w:rFonts w:hint="default" w:ascii="Times New Roman" w:hAnsi="Times New Roman" w:cs="Times New Roman"/>
          <w:b w:val="0"/>
          <w:bCs w:val="0"/>
          <w:sz w:val="32"/>
          <w:szCs w:val="44"/>
          <w:highlight w:val="none"/>
          <w:lang w:val="en-US" w:eastAsia="zh-CN"/>
        </w:rPr>
        <w:t>镇</w:t>
      </w:r>
      <w:r>
        <w:rPr>
          <w:rFonts w:hint="default" w:ascii="Times New Roman" w:hAnsi="Times New Roman" w:eastAsia="仿宋_GB2312" w:cs="Times New Roman"/>
          <w:b w:val="0"/>
          <w:bCs w:val="0"/>
          <w:sz w:val="32"/>
          <w:szCs w:val="44"/>
          <w:highlight w:val="none"/>
        </w:rPr>
        <w:t>大泉等特色乡村旅游片区</w:t>
      </w:r>
      <w:r>
        <w:rPr>
          <w:rFonts w:hint="default" w:ascii="Times New Roman" w:hAnsi="Times New Roman" w:cs="Times New Roman"/>
          <w:b w:val="0"/>
          <w:bCs w:val="0"/>
          <w:sz w:val="32"/>
          <w:szCs w:val="44"/>
          <w:highlight w:val="none"/>
          <w:lang w:eastAsia="zh-CN"/>
        </w:rPr>
        <w:t>，</w:t>
      </w:r>
      <w:r>
        <w:rPr>
          <w:rFonts w:hint="default" w:ascii="Times New Roman" w:hAnsi="Times New Roman" w:cs="Times New Roman"/>
          <w:b w:val="0"/>
          <w:bCs w:val="0"/>
          <w:highlight w:val="none"/>
          <w:lang w:val="en-US" w:eastAsia="zh-CN"/>
        </w:rPr>
        <w:t>以农业科技园区、田园综合体、农家乐特色村为载体，打造山巅之城等一批特色农业文旅开发项目，以农场庄园、美食民宿、观景赏花、果园采摘、农事民俗体验等为着力点，发展观光观赏型、参与体验型、休闲度假型、民俗节庆型等乡村休闲旅游。创新民俗旅游发展模式，深入挖掘乡村民俗风情、历史文化底蕴和宗教文化资源，注重保护传统村落和乡村特色风貌，大力发展民俗村寨、民俗表演、风情园等民俗风情旅游产品，擦亮敬水节、啤酒美食节、伏羊文化节、七夕情侣节、苹果节等特色鲜明的民俗节事活动品牌，</w:t>
      </w:r>
      <w:r>
        <w:rPr>
          <w:rFonts w:hint="default" w:ascii="Times New Roman" w:hAnsi="Times New Roman" w:eastAsia="仿宋_GB2312" w:cs="Times New Roman"/>
          <w:b w:val="0"/>
          <w:bCs w:val="0"/>
          <w:sz w:val="32"/>
          <w:szCs w:val="44"/>
          <w:highlight w:val="none"/>
        </w:rPr>
        <w:t>形成“春天敬水节、夏天品全羊、秋天庆丰收、冬天过年忙”的全年</w:t>
      </w:r>
      <w:r>
        <w:rPr>
          <w:rFonts w:hint="default" w:ascii="Times New Roman" w:hAnsi="Times New Roman" w:cs="Times New Roman"/>
          <w:b w:val="0"/>
          <w:bCs w:val="0"/>
          <w:sz w:val="32"/>
          <w:szCs w:val="44"/>
          <w:highlight w:val="none"/>
          <w:lang w:val="en-US" w:eastAsia="zh-CN"/>
        </w:rPr>
        <w:t>文旅</w:t>
      </w:r>
      <w:r>
        <w:rPr>
          <w:rFonts w:hint="default" w:ascii="Times New Roman" w:hAnsi="Times New Roman" w:eastAsia="仿宋_GB2312" w:cs="Times New Roman"/>
          <w:b w:val="0"/>
          <w:bCs w:val="0"/>
          <w:sz w:val="32"/>
          <w:szCs w:val="44"/>
          <w:highlight w:val="none"/>
        </w:rPr>
        <w:t>活动格局，</w:t>
      </w:r>
      <w:r>
        <w:rPr>
          <w:rFonts w:hint="default" w:ascii="Times New Roman" w:hAnsi="Times New Roman" w:cs="Times New Roman"/>
          <w:b w:val="0"/>
          <w:bCs w:val="0"/>
          <w:sz w:val="32"/>
          <w:szCs w:val="44"/>
          <w:highlight w:val="none"/>
          <w:lang w:val="en-US" w:eastAsia="zh-CN"/>
        </w:rPr>
        <w:t>以民俗节庆活动助力</w:t>
      </w:r>
      <w:r>
        <w:rPr>
          <w:rFonts w:hint="default" w:ascii="Times New Roman" w:hAnsi="Times New Roman" w:eastAsia="仿宋_GB2312" w:cs="Times New Roman"/>
          <w:b w:val="0"/>
          <w:bCs w:val="0"/>
          <w:sz w:val="32"/>
          <w:szCs w:val="44"/>
          <w:highlight w:val="none"/>
        </w:rPr>
        <w:t>乡村旅游消费升级。</w:t>
      </w:r>
    </w:p>
    <w:p w14:paraId="23FFBCAC">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59" w:name="_Toc22727_WPSOffice_Level3"/>
      <w:r>
        <w:rPr>
          <w:rFonts w:hint="default" w:ascii="Times New Roman" w:hAnsi="Times New Roman" w:cs="Times New Roman"/>
          <w:highlight w:val="none"/>
          <w:lang w:val="en-US" w:eastAsia="zh-CN"/>
        </w:rPr>
        <w:t>2.文旅+运动休闲</w:t>
      </w:r>
      <w:bookmarkEnd w:id="159"/>
    </w:p>
    <w:p w14:paraId="24D6D1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依托鲁山国家森林公园、鲁山溶洞群风景区等优质运动休闲资源，建设以优势项目为主、多种项目融合的高质量户外运动旅游目的地。鼓励发展包括教练、导游、装备租赁销售和保险等在内的户外运动服务体系，持续增加优质体育消费供给。引导和支持各旅游景区组织开展丰富多彩的群众性体育活动，推广徒步、登山、骑行、越野、水上、桨板等传统户外运动，打造百公里山水越野赛道，发展探洞、低空、桨板等新兴户外运动，鼓励依托资源优势，根据季节变化开展春季徒步、夏季游船、秋季骑行、冬季滑雪等特色活动。深入实施“体育赛事进景区”“跟着赛事去旅行”“户外运动 活力山水”等行动，积极承办国家和省级户外运动赛事，对标国内一流赛事标准，不断提高运营水平</w:t>
      </w:r>
      <w:r>
        <w:rPr>
          <w:rFonts w:hint="default" w:ascii="Times New Roman" w:hAnsi="Times New Roman" w:cs="Times New Roman"/>
          <w:b w:val="0"/>
          <w:bCs w:val="0"/>
          <w:spacing w:val="6"/>
          <w:sz w:val="32"/>
          <w:highlight w:val="none"/>
          <w:lang w:val="en-US" w:eastAsia="zh-CN"/>
        </w:rPr>
        <w:t>，推动一批户外运动赛事在旅游景区实现创新发展。</w:t>
      </w:r>
    </w:p>
    <w:p w14:paraId="2EA03336">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60" w:name="_Toc22148_WPSOffice_Level3"/>
      <w:r>
        <w:rPr>
          <w:rFonts w:hint="default" w:ascii="Times New Roman" w:hAnsi="Times New Roman" w:cs="Times New Roman"/>
          <w:highlight w:val="none"/>
          <w:lang w:val="en-US" w:eastAsia="zh-CN"/>
        </w:rPr>
        <w:t>3.文旅+研学研修</w:t>
      </w:r>
      <w:bookmarkEnd w:id="160"/>
    </w:p>
    <w:p w14:paraId="41599083">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依托齐长城遗址、沂源猿人遗址、朱彦夫旧居、桃花岛以及各天然溶洞、博物馆、非遗工坊等特色文旅资源，挖掘展现历史、地理、艺术等多元化价值，引进国内研学旅游知名企业，开发一批育人效果突出的研学旅行活动课程，建设一批具有良好示范带动作用的研学旅行基地，打造一批省级中小学生研学基地和具有影响力的科考研学旅行精品线路，探索形成活动品质持续提升、组织管理规范有序、基础条件保障有力、安全责任落实到位、文化氛围健康向上的研学旅行发展体系。</w:t>
      </w:r>
    </w:p>
    <w:p w14:paraId="2FC87B05">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161" w:name="_Toc26691_WPSOffice_Level3"/>
      <w:r>
        <w:rPr>
          <w:rFonts w:hint="default" w:ascii="Times New Roman" w:hAnsi="Times New Roman" w:cs="Times New Roman"/>
          <w:highlight w:val="none"/>
          <w:lang w:val="en-US" w:eastAsia="zh-CN"/>
        </w:rPr>
        <w:t>4.文旅+康养度假</w:t>
      </w:r>
      <w:bookmarkEnd w:id="161"/>
    </w:p>
    <w:p w14:paraId="79CF25A2">
      <w:pPr>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积极践行“健康中国”战略，利用鲁中山区特有的环境、空气、森林、中医药、微量元素等资源，重点打响“深呼吸”“富锶”“养生福地”三大康养品牌，对标国家健康医疗旅游目的地和国际休闲度假旅游产品，积极引进培育康复、疗养、养老机构，推动本地医疗、养老机构探索设立运动员康复基地、慢性病中医康复中心，策划推出“少年养智”“中年养生”“晚年养老”全生命周期特色文旅康养产品，打造医疗服务、健康管理、康复养生等全产业链条。</w:t>
      </w:r>
    </w:p>
    <w:p w14:paraId="1B2343DE">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62" w:name="_Toc32529_WPSOffice_Level3"/>
      <w:r>
        <w:rPr>
          <w:rFonts w:hint="default" w:ascii="Times New Roman" w:hAnsi="Times New Roman" w:cs="Times New Roman"/>
          <w:highlight w:val="none"/>
          <w:lang w:val="en-US" w:eastAsia="zh-CN"/>
        </w:rPr>
        <w:t>5.文旅+摄影演艺</w:t>
      </w:r>
      <w:bookmarkEnd w:id="162"/>
    </w:p>
    <w:p w14:paraId="2FCC9915">
      <w:pPr>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打造一批以山、湖、云、洞、爱、果、鸟为主题的自然风光摄影写生“网红地”，提升摄影产业规模效益。依托牛郎织女传说，推出一批符合现代人审美需求的演艺作品，打造一批“引得剧来，留得剧在”的影视拍摄基地。积极引进大型演唱会、真人选秀、综艺节目，打造文化影视产业园，开发舌尖上的沂源等影视体验类项目，以影视文化提升旅游吸引力。</w:t>
      </w:r>
    </w:p>
    <w:p w14:paraId="371BCDF5">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63" w:name="_Toc20402_WPSOffice_Level3"/>
      <w:r>
        <w:rPr>
          <w:rFonts w:hint="default" w:ascii="Times New Roman" w:hAnsi="Times New Roman" w:cs="Times New Roman"/>
          <w:highlight w:val="none"/>
          <w:lang w:val="en-US" w:eastAsia="zh-CN"/>
        </w:rPr>
        <w:t>6.文旅+新型主题</w:t>
      </w:r>
      <w:bookmarkEnd w:id="163"/>
    </w:p>
    <w:p w14:paraId="3E80C318">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从游客的不同身份、切身需求、独特体验、消费心理出发，围绕不同主题，创新旅游产品，量身定制旅游线路，依托全县自然山水、古村古院、人文传说等文旅资源，创新策划工业体验、婚纱旅拍、蜜月度假、孝亲敬老、亲子研学、旅游礼品、情感教育、减压散心、特色美食等主题旅游套餐。</w:t>
      </w:r>
      <w:bookmarkStart w:id="164" w:name="_Toc5506"/>
    </w:p>
    <w:p w14:paraId="0632F298">
      <w:pPr>
        <w:pStyle w:val="3"/>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32"/>
          <w:szCs w:val="22"/>
          <w:highlight w:val="none"/>
          <w:lang w:val="en-US" w:eastAsia="zh-CN"/>
        </w:rPr>
      </w:pPr>
      <w:bookmarkStart w:id="165" w:name="_Toc19189_WPSOffice_Level2"/>
      <w:bookmarkStart w:id="166" w:name="_Toc18322"/>
      <w:r>
        <w:rPr>
          <w:rFonts w:hint="default" w:ascii="Times New Roman" w:hAnsi="Times New Roman" w:cs="Times New Roman"/>
          <w:sz w:val="32"/>
          <w:szCs w:val="22"/>
          <w:highlight w:val="none"/>
          <w:lang w:val="en-US" w:eastAsia="zh-CN"/>
        </w:rPr>
        <w:t xml:space="preserve">第四节  </w:t>
      </w:r>
      <w:r>
        <w:rPr>
          <w:rFonts w:hint="eastAsia" w:ascii="Times New Roman" w:hAnsi="Times New Roman" w:cs="Times New Roman"/>
          <w:sz w:val="32"/>
          <w:szCs w:val="22"/>
          <w:highlight w:val="none"/>
          <w:lang w:val="en-US" w:eastAsia="zh-CN"/>
        </w:rPr>
        <w:t>完善</w:t>
      </w:r>
      <w:r>
        <w:rPr>
          <w:rFonts w:hint="default" w:ascii="Times New Roman" w:hAnsi="Times New Roman" w:cs="Times New Roman"/>
          <w:sz w:val="32"/>
          <w:szCs w:val="22"/>
          <w:highlight w:val="none"/>
          <w:lang w:val="en-US" w:eastAsia="zh-CN"/>
        </w:rPr>
        <w:t>全域旅游发展服务体系</w:t>
      </w:r>
      <w:bookmarkEnd w:id="164"/>
      <w:bookmarkEnd w:id="165"/>
      <w:bookmarkEnd w:id="166"/>
    </w:p>
    <w:p w14:paraId="0C800359">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67" w:name="_Toc29471_WPSOffice_Level3"/>
      <w:r>
        <w:rPr>
          <w:rFonts w:hint="default" w:ascii="Times New Roman" w:hAnsi="Times New Roman" w:cs="Times New Roman"/>
          <w:highlight w:val="none"/>
          <w:lang w:val="en-US" w:eastAsia="zh-CN"/>
        </w:rPr>
        <w:t>1.打造“快旅慢游”的综合服务体系</w:t>
      </w:r>
      <w:bookmarkEnd w:id="167"/>
    </w:p>
    <w:p w14:paraId="401490AA">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进一步完善全域旅游交通网络，增开交通枢纽场所与各景区的旅游专车，推进全县通景旅游公共交通发展，有效打通旅游景区通行“最后一公里”。增设景区旅游停车点和专用停车场，拓展“便利停”“放心亭”“安心座”覆盖面，配建停车港、充电桩、观景台</w:t>
      </w:r>
      <w:r>
        <w:rPr>
          <w:rFonts w:hint="default" w:ascii="Times New Roman" w:hAnsi="Times New Roman" w:eastAsia="仿宋_GB2312" w:cs="Times New Roman"/>
          <w:b w:val="0"/>
          <w:bCs w:val="0"/>
          <w:spacing w:val="6"/>
          <w:sz w:val="32"/>
          <w:szCs w:val="44"/>
          <w:highlight w:val="none"/>
          <w:lang w:val="en-US" w:eastAsia="zh-CN"/>
        </w:rPr>
        <w:t>、休憩点以及餐饮服务等设施。重点加强城乡公交对乡村旅游点的串联，有效带动公路沿线田园休闲、农业采摘、滨水休闲、生态文化休闲、康养保健、研学观光等业态的发展。推动传统街区、城市公园进行宜游化改造，在城市公园、螳螂河沿岸、沂河沿</w:t>
      </w:r>
      <w:r>
        <w:rPr>
          <w:rFonts w:hint="default" w:ascii="Times New Roman" w:hAnsi="Times New Roman" w:eastAsia="仿宋_GB2312" w:cs="Times New Roman"/>
          <w:b w:val="0"/>
          <w:bCs w:val="0"/>
          <w:spacing w:val="6"/>
          <w:kern w:val="2"/>
          <w:sz w:val="32"/>
          <w:szCs w:val="24"/>
          <w:highlight w:val="none"/>
          <w:lang w:val="en-US" w:eastAsia="zh-CN" w:bidi="ar-SA"/>
        </w:rPr>
        <w:t>岸等公园绿地，合理划定开放共享区域，打造</w:t>
      </w:r>
      <w:r>
        <w:rPr>
          <w:rFonts w:hint="default" w:ascii="Times New Roman" w:hAnsi="Times New Roman" w:cs="Times New Roman"/>
          <w:b w:val="0"/>
          <w:bCs w:val="0"/>
          <w:spacing w:val="6"/>
          <w:kern w:val="2"/>
          <w:sz w:val="32"/>
          <w:szCs w:val="24"/>
          <w:highlight w:val="none"/>
          <w:lang w:val="en-US" w:eastAsia="zh-CN" w:bidi="ar-SA"/>
        </w:rPr>
        <w:t>一批</w:t>
      </w:r>
      <w:r>
        <w:rPr>
          <w:rFonts w:hint="default" w:ascii="Times New Roman" w:hAnsi="Times New Roman" w:eastAsia="仿宋_GB2312" w:cs="Times New Roman"/>
          <w:b w:val="0"/>
          <w:bCs w:val="0"/>
          <w:spacing w:val="6"/>
          <w:kern w:val="2"/>
          <w:sz w:val="32"/>
          <w:szCs w:val="24"/>
          <w:highlight w:val="none"/>
          <w:lang w:val="en-US" w:eastAsia="zh-CN" w:bidi="ar-SA"/>
        </w:rPr>
        <w:t>创意市集、露营休闲区。</w:t>
      </w:r>
      <w:r>
        <w:rPr>
          <w:rFonts w:hint="default" w:ascii="Times New Roman" w:hAnsi="Times New Roman" w:eastAsia="仿宋_GB2312" w:cs="Times New Roman"/>
          <w:b w:val="0"/>
          <w:bCs w:val="0"/>
          <w:spacing w:val="6"/>
          <w:sz w:val="32"/>
          <w:szCs w:val="44"/>
          <w:highlight w:val="none"/>
        </w:rPr>
        <w:t>加快</w:t>
      </w:r>
      <w:r>
        <w:rPr>
          <w:rFonts w:hint="default" w:ascii="Times New Roman" w:hAnsi="Times New Roman" w:cs="Times New Roman"/>
          <w:b w:val="0"/>
          <w:bCs w:val="0"/>
          <w:spacing w:val="6"/>
          <w:sz w:val="32"/>
          <w:szCs w:val="44"/>
          <w:highlight w:val="none"/>
          <w:lang w:val="en-US" w:eastAsia="zh-CN"/>
        </w:rPr>
        <w:t>旅游居住设施</w:t>
      </w:r>
      <w:r>
        <w:rPr>
          <w:rFonts w:hint="default" w:ascii="Times New Roman" w:hAnsi="Times New Roman" w:eastAsia="仿宋_GB2312" w:cs="Times New Roman"/>
          <w:b w:val="0"/>
          <w:bCs w:val="0"/>
          <w:spacing w:val="6"/>
          <w:sz w:val="32"/>
          <w:szCs w:val="44"/>
          <w:highlight w:val="none"/>
        </w:rPr>
        <w:t>提质扩容，积极推动高品质旅游饭店建设，培育一批星级酒店、</w:t>
      </w:r>
      <w:r>
        <w:rPr>
          <w:rFonts w:hint="default" w:ascii="Times New Roman" w:hAnsi="Times New Roman" w:eastAsia="仿宋_GB2312" w:cs="Times New Roman"/>
          <w:b w:val="0"/>
          <w:bCs w:val="0"/>
          <w:spacing w:val="6"/>
          <w:sz w:val="32"/>
          <w:szCs w:val="44"/>
          <w:highlight w:val="none"/>
          <w:lang w:eastAsia="zh-CN"/>
        </w:rPr>
        <w:t>星级民宿</w:t>
      </w:r>
      <w:r>
        <w:rPr>
          <w:rFonts w:hint="default" w:ascii="Times New Roman" w:hAnsi="Times New Roman" w:cs="Times New Roman"/>
          <w:b w:val="0"/>
          <w:bCs w:val="0"/>
          <w:spacing w:val="6"/>
          <w:sz w:val="32"/>
          <w:szCs w:val="44"/>
          <w:highlight w:val="none"/>
          <w:lang w:eastAsia="zh-CN"/>
        </w:rPr>
        <w:t>，</w:t>
      </w:r>
      <w:r>
        <w:rPr>
          <w:rFonts w:hint="default" w:ascii="Times New Roman" w:hAnsi="Times New Roman" w:eastAsia="仿宋_GB2312" w:cs="Times New Roman"/>
          <w:b w:val="0"/>
          <w:bCs w:val="0"/>
          <w:spacing w:val="6"/>
          <w:sz w:val="32"/>
          <w:szCs w:val="44"/>
          <w:highlight w:val="none"/>
        </w:rPr>
        <w:t>形成布局合理、功能齐全、服务一流的旅游住宿产业体</w:t>
      </w:r>
      <w:r>
        <w:rPr>
          <w:rFonts w:hint="default" w:ascii="Times New Roman" w:hAnsi="Times New Roman" w:eastAsia="仿宋_GB2312" w:cs="Times New Roman"/>
          <w:b w:val="0"/>
          <w:bCs w:val="0"/>
          <w:sz w:val="32"/>
          <w:szCs w:val="44"/>
          <w:highlight w:val="none"/>
        </w:rPr>
        <w:t>系</w:t>
      </w:r>
      <w:r>
        <w:rPr>
          <w:rFonts w:hint="default" w:ascii="Times New Roman" w:hAnsi="Times New Roman" w:eastAsia="仿宋_GB2312" w:cs="Times New Roman"/>
          <w:b w:val="0"/>
          <w:bCs w:val="0"/>
          <w:sz w:val="32"/>
          <w:szCs w:val="44"/>
          <w:highlight w:val="none"/>
          <w:lang w:eastAsia="zh-CN"/>
        </w:rPr>
        <w:t>。</w:t>
      </w:r>
    </w:p>
    <w:p w14:paraId="5309D7E6">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68" w:name="_Toc2966_WPSOffice_Level3"/>
      <w:r>
        <w:rPr>
          <w:rFonts w:hint="default" w:ascii="Times New Roman" w:hAnsi="Times New Roman" w:cs="Times New Roman"/>
          <w:highlight w:val="none"/>
          <w:lang w:val="en-US" w:eastAsia="zh-CN"/>
        </w:rPr>
        <w:t>2.丰富“主客共享”的旅游消费体验</w:t>
      </w:r>
      <w:bookmarkEnd w:id="168"/>
    </w:p>
    <w:p w14:paraId="5702C3FE">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default" w:ascii="Times New Roman" w:hAnsi="Times New Roman" w:cs="Times New Roman"/>
          <w:b w:val="0"/>
          <w:bCs w:val="0"/>
          <w:highlight w:val="none"/>
          <w:lang w:val="en-US" w:eastAsia="zh-CN"/>
        </w:rPr>
      </w:pPr>
      <w:r>
        <w:rPr>
          <w:rFonts w:hint="default" w:ascii="Times New Roman" w:hAnsi="Times New Roman" w:cs="Times New Roman"/>
          <w:b w:val="0"/>
          <w:bCs w:val="0"/>
          <w:highlight w:val="none"/>
          <w:lang w:val="en-US" w:eastAsia="zh-CN"/>
        </w:rPr>
        <w:t>高标准建设旅游集散服务体系，增加休闲娱乐设施，升级休憩餐饮环境，提高服务咨询水平。推进旅游交通标识系统建设，构建风格统一的全域旅游指引系统，在各类电子地图上加强全县优质文旅资源的标注介绍，在周边交通枢纽区域、游客集散中心等重要交通节点入口设置旅游引导标识牌。提升自驾旅游服务水平，从自驾车风景道、自驾车营地、自驾车租赁服务三方面，打造独具特色的自驾服务系统。推广“一站式”汽车租赁体系，加快建设自驾车房车露营基地，打造交通便捷、设施齐全、功能多样的自驾车房车营地旅游体系</w:t>
      </w:r>
      <w:r>
        <w:rPr>
          <w:rFonts w:hint="default" w:ascii="Times New Roman" w:hAnsi="Times New Roman" w:eastAsia="仿宋_GB2312" w:cs="Times New Roman"/>
          <w:b w:val="0"/>
          <w:bCs w:val="0"/>
          <w:kern w:val="2"/>
          <w:sz w:val="32"/>
          <w:szCs w:val="24"/>
          <w:highlight w:val="none"/>
          <w:lang w:val="en-US" w:eastAsia="zh-CN" w:bidi="ar-SA"/>
        </w:rPr>
        <w:t>。持续推进旅游厕所革命</w:t>
      </w:r>
      <w:r>
        <w:rPr>
          <w:rFonts w:hint="default" w:ascii="Times New Roman" w:hAnsi="Times New Roman" w:cs="Times New Roman"/>
          <w:b w:val="0"/>
          <w:bCs w:val="0"/>
          <w:kern w:val="2"/>
          <w:sz w:val="32"/>
          <w:szCs w:val="24"/>
          <w:highlight w:val="none"/>
          <w:lang w:val="en-US" w:eastAsia="zh-CN" w:bidi="ar-SA"/>
        </w:rPr>
        <w:t>，确保</w:t>
      </w:r>
      <w:r>
        <w:rPr>
          <w:rFonts w:hint="default" w:ascii="Times New Roman" w:hAnsi="Times New Roman" w:eastAsia="仿宋_GB2312" w:cs="Times New Roman"/>
          <w:b w:val="0"/>
          <w:bCs w:val="0"/>
          <w:sz w:val="32"/>
          <w:szCs w:val="44"/>
          <w:highlight w:val="none"/>
        </w:rPr>
        <w:t>全县景区旅游厕所数量充足、布局合理、管理规范</w:t>
      </w:r>
      <w:r>
        <w:rPr>
          <w:rFonts w:hint="default" w:ascii="Times New Roman" w:hAnsi="Times New Roman" w:cs="Times New Roman"/>
          <w:b w:val="0"/>
          <w:bCs w:val="0"/>
          <w:sz w:val="32"/>
          <w:szCs w:val="44"/>
          <w:highlight w:val="none"/>
          <w:lang w:eastAsia="zh-CN"/>
        </w:rPr>
        <w:t>，</w:t>
      </w:r>
      <w:r>
        <w:rPr>
          <w:rFonts w:hint="default" w:ascii="Times New Roman" w:hAnsi="Times New Roman" w:eastAsia="仿宋_GB2312" w:cs="Times New Roman"/>
          <w:b w:val="0"/>
          <w:bCs w:val="0"/>
          <w:kern w:val="2"/>
          <w:sz w:val="32"/>
          <w:szCs w:val="24"/>
          <w:highlight w:val="none"/>
          <w:lang w:val="en-US" w:eastAsia="zh-CN" w:bidi="ar-SA"/>
        </w:rPr>
        <w:t>在城区公共厕所增加旅游元素。</w:t>
      </w:r>
    </w:p>
    <w:p w14:paraId="720165D9">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highlight w:val="none"/>
          <w:lang w:val="en-US" w:eastAsia="zh-CN"/>
        </w:rPr>
      </w:pPr>
      <w:bookmarkStart w:id="169" w:name="_Toc12777_WPSOffice_Level3"/>
      <w:r>
        <w:rPr>
          <w:rFonts w:hint="default" w:ascii="Times New Roman" w:hAnsi="Times New Roman" w:cs="Times New Roman"/>
          <w:highlight w:val="none"/>
          <w:lang w:val="en-US" w:eastAsia="zh-CN"/>
        </w:rPr>
        <w:t>3.</w:t>
      </w:r>
      <w:r>
        <w:rPr>
          <w:rFonts w:hint="eastAsia" w:ascii="Times New Roman" w:hAnsi="Times New Roman" w:cs="Times New Roman"/>
          <w:highlight w:val="none"/>
          <w:lang w:val="en-US" w:eastAsia="zh-CN"/>
        </w:rPr>
        <w:t>营造</w:t>
      </w:r>
      <w:r>
        <w:rPr>
          <w:rFonts w:hint="default" w:ascii="Times New Roman" w:hAnsi="Times New Roman" w:cs="Times New Roman"/>
          <w:highlight w:val="none"/>
          <w:lang w:val="en-US" w:eastAsia="zh-CN"/>
        </w:rPr>
        <w:t>“放心高效”的行业管理环境</w:t>
      </w:r>
      <w:bookmarkEnd w:id="169"/>
    </w:p>
    <w:p w14:paraId="0927E8C1">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default" w:ascii="Times New Roman" w:hAnsi="Times New Roman" w:cs="Times New Roman"/>
          <w:b w:val="0"/>
          <w:bCs w:val="0"/>
          <w:spacing w:val="0"/>
          <w:highlight w:val="none"/>
          <w:lang w:val="en-US" w:eastAsia="zh-CN"/>
        </w:rPr>
      </w:pPr>
      <w:r>
        <w:rPr>
          <w:rFonts w:hint="default" w:ascii="Times New Roman" w:hAnsi="Times New Roman" w:cs="Times New Roman"/>
          <w:b w:val="0"/>
          <w:bCs w:val="0"/>
          <w:spacing w:val="0"/>
          <w:highlight w:val="none"/>
          <w:lang w:val="en-US" w:eastAsia="zh-CN"/>
        </w:rPr>
        <w:t>完善权责明确、监督有效、保障有力的旅游市场综合执法管理体制，综合运用法律、行政、科技等手段提高执法效能，有效落实旅游执法联动机制。加强旅游酒店星级管理、旅行社质量等级管理和旅游从业人员资格认证管理，依法严厉打击“黑导游”和诱导、欺骗、强迫游客消费等违法违规行为。实施信用分级分类监管制度，对严重扰乱旅游秩序的游客、导游和企业，依法依规实行严管和惩戒。提高监管智慧化水平，构建多部门协同的精准化风险预警机制，营造放心、安心、舒心的旅游消费环境。</w:t>
      </w:r>
    </w:p>
    <w:p w14:paraId="2ADDED8D">
      <w:pPr>
        <w:pStyle w:val="4"/>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170" w:name="_Toc18423_WPSOffice_Level3"/>
      <w:r>
        <w:rPr>
          <w:rFonts w:hint="default" w:ascii="Times New Roman" w:hAnsi="Times New Roman" w:cs="Times New Roman"/>
          <w:highlight w:val="none"/>
          <w:lang w:val="en-US" w:eastAsia="zh-CN"/>
        </w:rPr>
        <w:t>4.构建“立体多元”的宣传推介体系</w:t>
      </w:r>
      <w:bookmarkEnd w:id="170"/>
    </w:p>
    <w:p w14:paraId="632946FA">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outlineLvl w:val="9"/>
        <w:rPr>
          <w:rFonts w:hint="default" w:ascii="Times New Roman" w:hAnsi="Times New Roman" w:cs="Times New Roman"/>
          <w:b w:val="0"/>
          <w:bCs w:val="0"/>
          <w:spacing w:val="0"/>
          <w:sz w:val="32"/>
          <w:highlight w:val="none"/>
          <w:lang w:val="en-US" w:eastAsia="zh-CN"/>
        </w:rPr>
      </w:pPr>
      <w:r>
        <w:rPr>
          <w:rFonts w:hint="default" w:ascii="Times New Roman" w:hAnsi="Times New Roman" w:cs="Times New Roman"/>
          <w:b w:val="0"/>
          <w:bCs w:val="0"/>
          <w:spacing w:val="6"/>
          <w:sz w:val="32"/>
          <w:highlight w:val="none"/>
          <w:lang w:val="en-US" w:eastAsia="zh-CN"/>
        </w:rPr>
        <w:t>用好直播营销、头部代言、网红打卡等新兴宣传方式，深化与专业营销团队合作，推进主流媒体、新媒体、自媒体有效衔接的旅游营销推介行动，为沂源文旅引流赋能。推出全域全季文旅产品、线路和攻略，制作高质量宣传片、推介词、旅游地图和宣传手册，在重点区域、窗口单位进行投放宣传。倡导人人都是沂源文旅讲解员、沂源形象代言人理念，以“万名职工游沂源”活动为契机，引导教师、学生、机关干部、企业职工等各层面，讲好沂源文旅故事，形成“人人都是推荐官”的良好局面</w:t>
      </w:r>
      <w:r>
        <w:rPr>
          <w:rFonts w:hint="default" w:ascii="Times New Roman" w:hAnsi="Times New Roman" w:cs="Times New Roman"/>
          <w:b w:val="0"/>
          <w:bCs w:val="0"/>
          <w:spacing w:val="0"/>
          <w:sz w:val="32"/>
          <w:highlight w:val="none"/>
          <w:lang w:val="en-US" w:eastAsia="zh-CN"/>
        </w:rPr>
        <w:t>。</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F64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A4089CA">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专栏21：旅游服务能力升级工程</w:t>
            </w:r>
          </w:p>
        </w:tc>
      </w:tr>
      <w:tr w14:paraId="7B05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8522" w:type="dxa"/>
          </w:tcPr>
          <w:p w14:paraId="5273F531">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吃”有特色。挖掘地方食材，创新研发菜品，培育开发“美味沂源”品牌并包装推广，深挖沂蒙黑山羊、沂蒙全蝎、沂源煎饼、东里大饼等特色美食文化，策划美食节、名菜名店名厨评比等活动，打造“餐饮老字号”“特色名吃”等品牌，培育壮大一批承载沂源饮食文化、品牌信誉高、市场竞争力强的本土餐饮品牌。</w:t>
            </w:r>
          </w:p>
          <w:p w14:paraId="723EA1F4">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住”有品质。实施住宿业基础设施改造，做好酒店品质提升、民宿集聚区创建、星级饭店和星级民宿培育；提升住宿业服务质量，成立住宿行业协会，开展从业人员培训，强化检查指导，提升服务品质；丰富住宿业态，发展民宿、特色店、连锁品牌，推出“美宿+露营”“美宿+节庆”等新业态，提升住宿体验。</w:t>
            </w:r>
          </w:p>
          <w:p w14:paraId="7C79BDC4">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“行”有畅快。加快推进旅游廊道</w:t>
            </w:r>
            <w:r>
              <w:rPr>
                <w:rFonts w:hint="default" w:ascii="Times New Roman" w:hAnsi="Times New Roman" w:eastAsia="仿宋_GB2312" w:cs="Times New Roman"/>
                <w:b w:val="0"/>
                <w:bCs w:val="0"/>
                <w:sz w:val="24"/>
                <w:szCs w:val="24"/>
                <w:highlight w:val="none"/>
                <w:lang w:val="en-US" w:eastAsia="zh-CN"/>
              </w:rPr>
              <w:t>服务功能</w:t>
            </w:r>
            <w:r>
              <w:rPr>
                <w:rFonts w:hint="default" w:ascii="Times New Roman" w:hAnsi="Times New Roman" w:eastAsia="仿宋_GB2312" w:cs="Times New Roman"/>
                <w:b w:val="0"/>
                <w:bCs w:val="0"/>
                <w:sz w:val="24"/>
                <w:szCs w:val="24"/>
                <w:highlight w:val="none"/>
                <w:lang w:eastAsia="zh-CN"/>
              </w:rPr>
              <w:t>提升、国省道修复养护工程项目，推进三九路、“长城寻迹”旅游公路等项目建设，畅通城市绿道、骑行道、沿河观光道等“微循环”，保障出租车、网约车等运力投放，完善停车场、充电桩等基础配套，引入观光车、游览车。</w:t>
            </w:r>
          </w:p>
          <w:p w14:paraId="2CC771A6">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“游”有体验。</w:t>
            </w:r>
            <w:r>
              <w:rPr>
                <w:rFonts w:hint="default" w:ascii="Times New Roman" w:hAnsi="Times New Roman" w:eastAsia="仿宋_GB2312" w:cs="Times New Roman"/>
                <w:b w:val="0"/>
                <w:bCs w:val="0"/>
                <w:sz w:val="24"/>
                <w:szCs w:val="24"/>
                <w:highlight w:val="none"/>
                <w:lang w:val="en-US" w:eastAsia="zh-CN"/>
              </w:rPr>
              <w:t>制作</w:t>
            </w:r>
            <w:r>
              <w:rPr>
                <w:rFonts w:hint="default" w:ascii="Times New Roman" w:hAnsi="Times New Roman" w:eastAsia="仿宋_GB2312" w:cs="Times New Roman"/>
                <w:b w:val="0"/>
                <w:bCs w:val="0"/>
                <w:sz w:val="24"/>
                <w:szCs w:val="24"/>
                <w:highlight w:val="none"/>
                <w:lang w:eastAsia="zh-CN"/>
              </w:rPr>
              <w:t>沂源旅游攻略，策划“青春遇见沂源”“跟着赛事去旅游”等特色活动IP，探索重点景区“一票通联”等惠民政策，立足景区、片区、线路，通过数字赋能和沉浸式活动策划，让游客在游玩中得到不同体验、感受不同风景、实现不同收获，让“一次游”变成“多次游、多日游”。</w:t>
            </w:r>
          </w:p>
          <w:p w14:paraId="46FAAEB4">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eastAsia="zh-CN"/>
              </w:rPr>
            </w:pPr>
            <w:r>
              <w:rPr>
                <w:rFonts w:hint="default" w:ascii="Times New Roman" w:hAnsi="Times New Roman" w:eastAsia="仿宋_GB2312" w:cs="Times New Roman"/>
                <w:b w:val="0"/>
                <w:bCs w:val="0"/>
                <w:sz w:val="24"/>
                <w:szCs w:val="24"/>
                <w:highlight w:val="none"/>
                <w:lang w:eastAsia="zh-CN"/>
              </w:rPr>
              <w:t>“购”有好物。用好牛郎织女、沂源猿人等特色文化和面塑、木雕等非遗资源，加大文创产品开发力度，做优</w:t>
            </w:r>
            <w:r>
              <w:rPr>
                <w:rFonts w:hint="default" w:ascii="Times New Roman" w:hAnsi="Times New Roman" w:eastAsia="仿宋_GB2312" w:cs="Times New Roman"/>
                <w:b w:val="0"/>
                <w:bCs w:val="0"/>
                <w:sz w:val="24"/>
                <w:szCs w:val="24"/>
                <w:highlight w:val="none"/>
                <w:lang w:val="en-US" w:eastAsia="zh-CN"/>
              </w:rPr>
              <w:t>苹果、大樱桃、桃、葡萄</w:t>
            </w:r>
            <w:r>
              <w:rPr>
                <w:rFonts w:hint="default" w:ascii="Times New Roman" w:hAnsi="Times New Roman" w:eastAsia="仿宋_GB2312" w:cs="Times New Roman"/>
                <w:b w:val="0"/>
                <w:bCs w:val="0"/>
                <w:sz w:val="24"/>
                <w:szCs w:val="24"/>
                <w:highlight w:val="none"/>
                <w:lang w:eastAsia="zh-CN"/>
              </w:rPr>
              <w:t>等深加工产品，</w:t>
            </w:r>
            <w:r>
              <w:rPr>
                <w:rFonts w:hint="default" w:ascii="Times New Roman" w:hAnsi="Times New Roman" w:eastAsia="仿宋_GB2312" w:cs="Times New Roman"/>
                <w:b w:val="0"/>
                <w:bCs w:val="0"/>
                <w:sz w:val="24"/>
                <w:szCs w:val="24"/>
                <w:highlight w:val="none"/>
                <w:lang w:val="en-US" w:eastAsia="zh-CN"/>
              </w:rPr>
              <w:t>打造新型</w:t>
            </w:r>
            <w:r>
              <w:rPr>
                <w:rFonts w:hint="default" w:ascii="Times New Roman" w:hAnsi="Times New Roman" w:eastAsia="仿宋_GB2312" w:cs="Times New Roman"/>
                <w:b w:val="0"/>
                <w:bCs w:val="0"/>
                <w:sz w:val="24"/>
                <w:szCs w:val="24"/>
                <w:highlight w:val="none"/>
                <w:lang w:eastAsia="zh-CN"/>
              </w:rPr>
              <w:t>工业</w:t>
            </w:r>
            <w:r>
              <w:rPr>
                <w:rFonts w:hint="default" w:ascii="Times New Roman" w:hAnsi="Times New Roman" w:eastAsia="仿宋_GB2312" w:cs="Times New Roman"/>
                <w:b w:val="0"/>
                <w:bCs w:val="0"/>
                <w:sz w:val="24"/>
                <w:szCs w:val="24"/>
                <w:highlight w:val="none"/>
                <w:lang w:val="en-US" w:eastAsia="zh-CN"/>
              </w:rPr>
              <w:t>文创产品</w:t>
            </w:r>
            <w:r>
              <w:rPr>
                <w:rFonts w:hint="default" w:ascii="Times New Roman" w:hAnsi="Times New Roman" w:eastAsia="仿宋_GB2312" w:cs="Times New Roman"/>
                <w:b w:val="0"/>
                <w:bCs w:val="0"/>
                <w:sz w:val="24"/>
                <w:szCs w:val="24"/>
                <w:highlight w:val="none"/>
                <w:lang w:eastAsia="zh-CN"/>
              </w:rPr>
              <w:t>，丰富纪念品、伴手礼品类，组织文旅商品进重点景区、进餐厅宾馆、进高速服务区，让“沂源好品”成为游客带得走的“时尚潮品”。</w:t>
            </w:r>
          </w:p>
          <w:p w14:paraId="35024564">
            <w:pPr>
              <w:pStyle w:val="2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eastAsia="zh-CN"/>
              </w:rPr>
              <w:t>“娱”有互动。支持景区举办音乐节、脱口秀等演艺活动，开发剧本杀等互动游戏，持续办好各类节事活动，多维度、多元化满足游客娱乐需求，把更多消费留在沂源。</w:t>
            </w:r>
          </w:p>
        </w:tc>
      </w:tr>
    </w:tbl>
    <w:p w14:paraId="1CA6D03A">
      <w:pPr>
        <w:pageBreakBefore w:val="0"/>
        <w:widowControl w:val="0"/>
        <w:kinsoku/>
        <w:wordWrap/>
        <w:overflowPunct/>
        <w:topLinePunct w:val="0"/>
        <w:autoSpaceDE/>
        <w:autoSpaceDN/>
        <w:bidi w:val="0"/>
        <w:adjustRightInd/>
        <w:snapToGrid/>
        <w:spacing w:line="560" w:lineRule="exact"/>
        <w:ind w:left="0" w:leftChars="0" w:firstLine="0" w:firstLineChars="0"/>
        <w:jc w:val="both"/>
        <w:rPr>
          <w:rFonts w:hint="default" w:ascii="Times New Roman" w:hAnsi="Times New Roman" w:eastAsia="仿宋_GB2312" w:cs="Times New Roman"/>
          <w:b w:val="0"/>
          <w:bCs w:val="0"/>
          <w:kern w:val="2"/>
          <w:sz w:val="32"/>
          <w:szCs w:val="24"/>
          <w:highlight w:val="none"/>
          <w:lang w:val="en-US" w:eastAsia="zh-CN" w:bidi="ar-SA"/>
        </w:rPr>
      </w:pPr>
    </w:p>
    <w:p w14:paraId="1FEC8C6F">
      <w:pPr>
        <w:pStyle w:val="2"/>
        <w:bidi w:val="0"/>
        <w:rPr>
          <w:rFonts w:hint="default" w:ascii="Times New Roman" w:hAnsi="Times New Roman" w:eastAsia="仿宋_GB2312" w:cs="Times New Roman"/>
          <w:b w:val="0"/>
          <w:bCs w:val="0"/>
          <w:spacing w:val="6"/>
          <w:kern w:val="2"/>
          <w:sz w:val="32"/>
          <w:szCs w:val="32"/>
          <w:highlight w:val="none"/>
          <w:lang w:val="en-US" w:eastAsia="zh-CN" w:bidi="ar-SA"/>
        </w:rPr>
      </w:pPr>
      <w:bookmarkStart w:id="171" w:name="_Toc8877"/>
      <w:bookmarkStart w:id="172" w:name="_Toc18530_WPSOffice_Level1"/>
      <w:r>
        <w:rPr>
          <w:rFonts w:hint="default" w:ascii="Times New Roman" w:hAnsi="Times New Roman" w:eastAsia="方正小标宋简体" w:cs="Times New Roman"/>
          <w:b w:val="0"/>
          <w:bCs w:val="0"/>
          <w:spacing w:val="6"/>
          <w:kern w:val="2"/>
          <w:sz w:val="32"/>
          <w:szCs w:val="32"/>
          <w:highlight w:val="none"/>
          <w:lang w:val="en-US" w:eastAsia="zh-CN" w:bidi="ar-SA"/>
        </w:rPr>
        <w:t>第</w:t>
      </w:r>
      <w:r>
        <w:rPr>
          <w:rFonts w:hint="default" w:ascii="Times New Roman" w:hAnsi="Times New Roman" w:cs="Times New Roman"/>
          <w:b w:val="0"/>
          <w:bCs w:val="0"/>
          <w:spacing w:val="6"/>
          <w:kern w:val="2"/>
          <w:sz w:val="32"/>
          <w:szCs w:val="32"/>
          <w:highlight w:val="none"/>
          <w:lang w:val="en-US" w:eastAsia="zh-CN" w:bidi="ar-SA"/>
        </w:rPr>
        <w:t>九</w:t>
      </w:r>
      <w:r>
        <w:rPr>
          <w:rFonts w:hint="default" w:ascii="Times New Roman" w:hAnsi="Times New Roman" w:eastAsia="方正小标宋简体" w:cs="Times New Roman"/>
          <w:b w:val="0"/>
          <w:bCs w:val="0"/>
          <w:spacing w:val="6"/>
          <w:kern w:val="2"/>
          <w:sz w:val="32"/>
          <w:szCs w:val="32"/>
          <w:highlight w:val="none"/>
          <w:lang w:val="en-US" w:eastAsia="zh-CN" w:bidi="ar-SA"/>
        </w:rPr>
        <w:t xml:space="preserve">章  </w:t>
      </w:r>
      <w:r>
        <w:rPr>
          <w:rFonts w:hint="default" w:ascii="Times New Roman" w:hAnsi="Times New Roman" w:cs="Times New Roman"/>
          <w:b w:val="0"/>
          <w:bCs w:val="0"/>
          <w:spacing w:val="6"/>
          <w:kern w:val="2"/>
          <w:sz w:val="32"/>
          <w:szCs w:val="32"/>
          <w:highlight w:val="none"/>
          <w:lang w:val="en-US" w:eastAsia="zh-CN" w:bidi="ar-SA"/>
        </w:rPr>
        <w:t>聚焦</w:t>
      </w:r>
      <w:r>
        <w:rPr>
          <w:rFonts w:hint="default" w:ascii="Times New Roman" w:hAnsi="Times New Roman" w:eastAsia="方正小标宋简体" w:cs="Times New Roman"/>
          <w:b w:val="0"/>
          <w:bCs w:val="0"/>
          <w:spacing w:val="6"/>
          <w:kern w:val="2"/>
          <w:sz w:val="32"/>
          <w:szCs w:val="32"/>
          <w:highlight w:val="none"/>
          <w:lang w:val="en-US" w:eastAsia="zh-CN" w:bidi="ar-SA"/>
        </w:rPr>
        <w:t>增进民生福祉</w:t>
      </w:r>
      <w:r>
        <w:rPr>
          <w:rFonts w:hint="default" w:ascii="Times New Roman" w:hAnsi="Times New Roman" w:cs="Times New Roman"/>
          <w:b w:val="0"/>
          <w:bCs w:val="0"/>
          <w:spacing w:val="6"/>
          <w:kern w:val="2"/>
          <w:sz w:val="32"/>
          <w:szCs w:val="32"/>
          <w:highlight w:val="none"/>
          <w:lang w:val="en-US" w:eastAsia="zh-CN" w:bidi="ar-SA"/>
        </w:rPr>
        <w:t>，建设</w:t>
      </w:r>
      <w:r>
        <w:rPr>
          <w:rFonts w:hint="default" w:ascii="Times New Roman" w:hAnsi="Times New Roman" w:eastAsia="方正小标宋简体" w:cs="Times New Roman"/>
          <w:b w:val="0"/>
          <w:bCs w:val="0"/>
          <w:spacing w:val="6"/>
          <w:kern w:val="2"/>
          <w:sz w:val="32"/>
          <w:szCs w:val="32"/>
          <w:highlight w:val="none"/>
          <w:lang w:val="en-US" w:eastAsia="zh-CN" w:bidi="ar-SA"/>
        </w:rPr>
        <w:t>更有温度的幸福沂源</w:t>
      </w:r>
      <w:bookmarkEnd w:id="171"/>
      <w:bookmarkEnd w:id="172"/>
    </w:p>
    <w:p w14:paraId="14C7BF59">
      <w:pPr>
        <w:spacing w:line="560" w:lineRule="exact"/>
        <w:ind w:left="0" w:leftChars="0" w:firstLine="664" w:firstLineChars="200"/>
        <w:rPr>
          <w:rFonts w:hint="default" w:ascii="Times New Roman" w:hAnsi="Times New Roman" w:cs="Times New Roman"/>
          <w:spacing w:val="6"/>
          <w:sz w:val="32"/>
          <w:highlight w:val="none"/>
        </w:rPr>
      </w:pPr>
      <w:bookmarkStart w:id="173" w:name="_Toc20819"/>
      <w:r>
        <w:rPr>
          <w:rFonts w:hint="default" w:ascii="Times New Roman" w:hAnsi="Times New Roman" w:cs="Times New Roman"/>
          <w:spacing w:val="6"/>
          <w:sz w:val="32"/>
          <w:highlight w:val="none"/>
          <w:lang w:val="en-US" w:eastAsia="zh-CN"/>
        </w:rPr>
        <w:t>把</w:t>
      </w:r>
      <w:r>
        <w:rPr>
          <w:rFonts w:hint="default" w:ascii="Times New Roman" w:hAnsi="Times New Roman" w:cs="Times New Roman"/>
          <w:spacing w:val="6"/>
          <w:sz w:val="32"/>
          <w:highlight w:val="none"/>
        </w:rPr>
        <w:t>人民群众</w:t>
      </w:r>
      <w:r>
        <w:rPr>
          <w:rFonts w:hint="eastAsia" w:ascii="Times New Roman" w:hAnsi="Times New Roman" w:cs="Times New Roman"/>
          <w:spacing w:val="6"/>
          <w:sz w:val="32"/>
          <w:highlight w:val="none"/>
          <w:lang w:eastAsia="zh-CN"/>
        </w:rPr>
        <w:t>对</w:t>
      </w:r>
      <w:r>
        <w:rPr>
          <w:rFonts w:hint="default" w:ascii="Times New Roman" w:hAnsi="Times New Roman" w:cs="Times New Roman"/>
          <w:spacing w:val="6"/>
          <w:sz w:val="32"/>
          <w:highlight w:val="none"/>
        </w:rPr>
        <w:t>美好生活</w:t>
      </w:r>
      <w:r>
        <w:rPr>
          <w:rFonts w:hint="default" w:ascii="Times New Roman" w:hAnsi="Times New Roman" w:cs="Times New Roman"/>
          <w:spacing w:val="6"/>
          <w:sz w:val="32"/>
          <w:highlight w:val="none"/>
          <w:lang w:val="en-US" w:eastAsia="zh-CN"/>
        </w:rPr>
        <w:t>的</w:t>
      </w:r>
      <w:r>
        <w:rPr>
          <w:rFonts w:hint="default" w:ascii="Times New Roman" w:hAnsi="Times New Roman" w:cs="Times New Roman"/>
          <w:spacing w:val="6"/>
          <w:sz w:val="32"/>
          <w:highlight w:val="none"/>
        </w:rPr>
        <w:t>向往</w:t>
      </w:r>
      <w:r>
        <w:rPr>
          <w:rFonts w:hint="default" w:ascii="Times New Roman" w:hAnsi="Times New Roman" w:cs="Times New Roman"/>
          <w:spacing w:val="6"/>
          <w:sz w:val="32"/>
          <w:highlight w:val="none"/>
          <w:lang w:val="en-US" w:eastAsia="zh-CN"/>
        </w:rPr>
        <w:t>作为奋斗目标</w:t>
      </w:r>
      <w:r>
        <w:rPr>
          <w:rFonts w:hint="default" w:ascii="Times New Roman" w:hAnsi="Times New Roman" w:cs="Times New Roman"/>
          <w:spacing w:val="6"/>
          <w:sz w:val="32"/>
          <w:highlight w:val="none"/>
        </w:rPr>
        <w:t>，坚持在发展中保障和改善民生，努力推进共同富裕，着力办好民生实事，</w:t>
      </w:r>
      <w:r>
        <w:rPr>
          <w:rFonts w:hint="eastAsia" w:ascii="Times New Roman" w:hAnsi="Times New Roman" w:cs="Times New Roman"/>
          <w:spacing w:val="6"/>
          <w:sz w:val="32"/>
          <w:highlight w:val="none"/>
          <w:lang w:eastAsia="zh-CN"/>
        </w:rPr>
        <w:t>不断</w:t>
      </w:r>
      <w:r>
        <w:rPr>
          <w:rFonts w:hint="default" w:ascii="Times New Roman" w:hAnsi="Times New Roman" w:cs="Times New Roman"/>
          <w:spacing w:val="6"/>
          <w:sz w:val="32"/>
          <w:highlight w:val="none"/>
        </w:rPr>
        <w:t>提升基本公共服务均衡性和可及性，加快推动基本民生向品质民生转变。</w:t>
      </w:r>
      <w:bookmarkStart w:id="174" w:name="_Toc24302"/>
    </w:p>
    <w:p w14:paraId="173DA97D">
      <w:pPr>
        <w:pStyle w:val="3"/>
        <w:spacing w:before="156" w:after="156"/>
        <w:rPr>
          <w:rFonts w:hint="default" w:ascii="Times New Roman" w:hAnsi="Times New Roman" w:cs="Times New Roman"/>
          <w:spacing w:val="6"/>
          <w:sz w:val="32"/>
          <w:szCs w:val="22"/>
          <w:highlight w:val="none"/>
        </w:rPr>
      </w:pPr>
      <w:bookmarkStart w:id="175" w:name="_Toc31091_WPSOffice_Level2"/>
      <w:bookmarkStart w:id="176" w:name="_Toc1050"/>
      <w:r>
        <w:rPr>
          <w:rFonts w:hint="default" w:ascii="Times New Roman" w:hAnsi="Times New Roman" w:cs="Times New Roman"/>
          <w:spacing w:val="6"/>
          <w:sz w:val="32"/>
          <w:szCs w:val="22"/>
          <w:highlight w:val="none"/>
        </w:rPr>
        <w:t>第一节  大力推进稳就业增收入</w:t>
      </w:r>
      <w:bookmarkEnd w:id="174"/>
      <w:bookmarkEnd w:id="175"/>
      <w:bookmarkEnd w:id="176"/>
    </w:p>
    <w:p w14:paraId="73A3BB1D">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积极稳定和扩大就业，持续优化就业结构，</w:t>
      </w:r>
      <w:r>
        <w:rPr>
          <w:rFonts w:hint="default" w:ascii="Times New Roman" w:hAnsi="Times New Roman" w:cs="Times New Roman"/>
          <w:spacing w:val="6"/>
          <w:sz w:val="32"/>
          <w:highlight w:val="none"/>
          <w:lang w:val="en-US" w:eastAsia="zh-CN"/>
        </w:rPr>
        <w:t>到2030年，</w:t>
      </w:r>
      <w:r>
        <w:rPr>
          <w:rFonts w:hint="default" w:ascii="Times New Roman" w:hAnsi="Times New Roman" w:cs="Times New Roman"/>
          <w:spacing w:val="6"/>
          <w:sz w:val="32"/>
          <w:highlight w:val="none"/>
        </w:rPr>
        <w:t>累计新增城镇就业1.8万人</w:t>
      </w:r>
      <w:r>
        <w:rPr>
          <w:rFonts w:hint="default" w:ascii="Times New Roman" w:hAnsi="Times New Roman" w:cs="Times New Roman"/>
          <w:spacing w:val="6"/>
          <w:sz w:val="32"/>
          <w:highlight w:val="none"/>
          <w:lang w:val="en-US" w:eastAsia="zh-CN"/>
        </w:rPr>
        <w:t>以上</w:t>
      </w:r>
      <w:r>
        <w:rPr>
          <w:rFonts w:hint="default" w:ascii="Times New Roman" w:hAnsi="Times New Roman" w:cs="Times New Roman"/>
          <w:spacing w:val="6"/>
          <w:sz w:val="32"/>
          <w:highlight w:val="none"/>
        </w:rPr>
        <w:t>，</w:t>
      </w:r>
      <w:r>
        <w:rPr>
          <w:rFonts w:hint="default" w:ascii="Times New Roman" w:hAnsi="Times New Roman" w:cs="Times New Roman"/>
          <w:spacing w:val="6"/>
          <w:sz w:val="32"/>
          <w:highlight w:val="none"/>
          <w:lang w:val="en-US" w:eastAsia="zh-CN"/>
        </w:rPr>
        <w:t>城镇调查失业率控制在5.5%以内</w:t>
      </w:r>
      <w:r>
        <w:rPr>
          <w:rFonts w:hint="default" w:ascii="Times New Roman" w:hAnsi="Times New Roman" w:cs="Times New Roman"/>
          <w:spacing w:val="6"/>
          <w:sz w:val="32"/>
          <w:highlight w:val="none"/>
        </w:rPr>
        <w:t>。</w:t>
      </w:r>
    </w:p>
    <w:p w14:paraId="4E0256A7">
      <w:pPr>
        <w:pStyle w:val="4"/>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6"/>
          <w:highlight w:val="none"/>
        </w:rPr>
      </w:pPr>
      <w:bookmarkStart w:id="177" w:name="_Toc31110"/>
      <w:bookmarkStart w:id="178" w:name="_Toc8744_WPSOffice_Level3"/>
      <w:r>
        <w:rPr>
          <w:rFonts w:hint="default" w:ascii="Times New Roman" w:hAnsi="Times New Roman" w:cs="Times New Roman"/>
          <w:spacing w:val="6"/>
          <w:highlight w:val="none"/>
        </w:rPr>
        <w:t>1.</w:t>
      </w:r>
      <w:bookmarkEnd w:id="177"/>
      <w:bookmarkEnd w:id="178"/>
      <w:r>
        <w:rPr>
          <w:rFonts w:hint="default" w:ascii="Times New Roman" w:hAnsi="Times New Roman" w:cs="Times New Roman"/>
          <w:spacing w:val="6"/>
          <w:highlight w:val="none"/>
        </w:rPr>
        <w:t>深入实施就业优先战略</w:t>
      </w:r>
    </w:p>
    <w:p w14:paraId="02A4E732">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6"/>
          <w:highlight w:val="none"/>
        </w:rPr>
      </w:pPr>
      <w:r>
        <w:rPr>
          <w:rFonts w:hint="default" w:ascii="Times New Roman" w:hAnsi="Times New Roman" w:cs="Times New Roman"/>
          <w:spacing w:val="6"/>
          <w:highlight w:val="none"/>
        </w:rPr>
        <w:t>强化基层就业服务体系建设，推进“三公里”就业圈向农村延伸。实施数字赋能“智慧人社”深化行动，推广完善“沂乐业人社</w:t>
      </w:r>
      <w:r>
        <w:rPr>
          <w:rFonts w:hint="default" w:ascii="Times New Roman" w:hAnsi="Times New Roman" w:cs="Times New Roman"/>
          <w:spacing w:val="6"/>
          <w:highlight w:val="none"/>
          <w:lang w:val="en-US" w:eastAsia="zh-CN"/>
        </w:rPr>
        <w:t>服务平台</w:t>
      </w:r>
      <w:r>
        <w:rPr>
          <w:rFonts w:hint="default" w:ascii="Times New Roman" w:hAnsi="Times New Roman" w:cs="Times New Roman"/>
          <w:spacing w:val="6"/>
          <w:highlight w:val="none"/>
        </w:rPr>
        <w:t>”，建立就业失业风险智能预警模型，构建动态映射劳动力资源与产业需求关系的数字孪生模型，对重点行业、重点群体失业风险进行预测预警，打造“沂源就业大脑”2.0版。组建“沂源特色产业人才联盟”，以林果业、建筑业、家政服务业等为重点，统一培训标准、统一服务规范、统一市场推介，</w:t>
      </w:r>
      <w:r>
        <w:rPr>
          <w:rFonts w:hint="default" w:ascii="Times New Roman" w:hAnsi="Times New Roman" w:cs="Times New Roman"/>
          <w:spacing w:val="6"/>
          <w:highlight w:val="none"/>
          <w:lang w:val="en-US" w:eastAsia="zh-CN"/>
        </w:rPr>
        <w:t>扩大</w:t>
      </w:r>
      <w:r>
        <w:rPr>
          <w:rFonts w:hint="default" w:ascii="Times New Roman" w:hAnsi="Times New Roman" w:cs="Times New Roman"/>
          <w:spacing w:val="6"/>
          <w:highlight w:val="none"/>
        </w:rPr>
        <w:t>“沂源果农”“沂源焊工”“沂源大嫂”劳务品牌</w:t>
      </w:r>
      <w:r>
        <w:rPr>
          <w:rFonts w:hint="default" w:ascii="Times New Roman" w:hAnsi="Times New Roman" w:cs="Times New Roman"/>
          <w:spacing w:val="6"/>
          <w:highlight w:val="none"/>
          <w:lang w:val="en-US" w:eastAsia="zh-CN"/>
        </w:rPr>
        <w:t>在</w:t>
      </w:r>
      <w:r>
        <w:rPr>
          <w:rFonts w:hint="default" w:ascii="Times New Roman" w:hAnsi="Times New Roman" w:cs="Times New Roman"/>
          <w:spacing w:val="6"/>
          <w:highlight w:val="none"/>
        </w:rPr>
        <w:t>全国</w:t>
      </w:r>
      <w:r>
        <w:rPr>
          <w:rFonts w:hint="default" w:ascii="Times New Roman" w:hAnsi="Times New Roman" w:cs="Times New Roman"/>
          <w:spacing w:val="6"/>
          <w:highlight w:val="none"/>
          <w:lang w:val="en-US" w:eastAsia="zh-CN"/>
        </w:rPr>
        <w:t>的</w:t>
      </w:r>
      <w:r>
        <w:rPr>
          <w:rFonts w:hint="default" w:ascii="Times New Roman" w:hAnsi="Times New Roman" w:cs="Times New Roman"/>
          <w:spacing w:val="6"/>
          <w:highlight w:val="none"/>
        </w:rPr>
        <w:t>知名度，打造“沂源劳务</w:t>
      </w:r>
      <w:r>
        <w:rPr>
          <w:rFonts w:hint="default" w:ascii="Times New Roman" w:hAnsi="Times New Roman" w:eastAsia="微软雅黑" w:cs="Times New Roman"/>
          <w:spacing w:val="6"/>
          <w:sz w:val="36"/>
          <w:szCs w:val="28"/>
          <w:highlight w:val="none"/>
        </w:rPr>
        <w:t>·</w:t>
      </w:r>
      <w:r>
        <w:rPr>
          <w:rFonts w:hint="default" w:ascii="Times New Roman" w:hAnsi="Times New Roman" w:cs="Times New Roman"/>
          <w:spacing w:val="6"/>
          <w:highlight w:val="none"/>
        </w:rPr>
        <w:t>放心用工”品牌，提升沂源技工的整体形象和市场竞争力。高标准建设县人力资源服务产业园，引进培育5家以上骨干人力资源服务机构，</w:t>
      </w:r>
      <w:r>
        <w:rPr>
          <w:rFonts w:hint="default" w:ascii="Times New Roman" w:hAnsi="Times New Roman" w:cs="Times New Roman"/>
          <w:spacing w:val="6"/>
          <w:szCs w:val="32"/>
          <w:highlight w:val="none"/>
        </w:rPr>
        <w:t>为县内重点企业提供“共享用工”“岗位外包”“国际劳务”等服务。</w:t>
      </w:r>
      <w:r>
        <w:rPr>
          <w:rFonts w:hint="default" w:ascii="Times New Roman" w:hAnsi="Times New Roman" w:cs="Times New Roman"/>
          <w:spacing w:val="6"/>
          <w:highlight w:val="none"/>
        </w:rPr>
        <w:t>健全</w:t>
      </w:r>
      <w:r>
        <w:rPr>
          <w:rFonts w:hint="default" w:ascii="Times New Roman" w:hAnsi="Times New Roman" w:cs="Times New Roman"/>
          <w:spacing w:val="6"/>
          <w:highlight w:val="none"/>
          <w:lang w:val="en-US" w:eastAsia="zh-CN"/>
        </w:rPr>
        <w:t>完善</w:t>
      </w:r>
      <w:r>
        <w:rPr>
          <w:rFonts w:hint="default" w:ascii="Times New Roman" w:hAnsi="Times New Roman" w:cs="Times New Roman"/>
          <w:spacing w:val="6"/>
          <w:highlight w:val="none"/>
        </w:rPr>
        <w:t>劳动关系协调机制</w:t>
      </w:r>
      <w:r>
        <w:rPr>
          <w:rFonts w:hint="default" w:ascii="Times New Roman" w:hAnsi="Times New Roman" w:cs="Times New Roman"/>
          <w:spacing w:val="6"/>
          <w:highlight w:val="none"/>
          <w:lang w:eastAsia="zh-CN"/>
        </w:rPr>
        <w:t>、</w:t>
      </w:r>
      <w:r>
        <w:rPr>
          <w:rFonts w:hint="default" w:ascii="Times New Roman" w:hAnsi="Times New Roman" w:cs="Times New Roman"/>
          <w:spacing w:val="6"/>
          <w:highlight w:val="none"/>
        </w:rPr>
        <w:t>劳动人事争议多元处理一体化机制，优化劳动保障监察执法方式，提升劳动人事争议调解仲裁处理效能，深化欠薪源头治理，保障劳动者合法权益，</w:t>
      </w:r>
      <w:r>
        <w:rPr>
          <w:rFonts w:hint="default" w:ascii="Times New Roman" w:hAnsi="Times New Roman" w:cs="Times New Roman"/>
          <w:spacing w:val="6"/>
          <w:highlight w:val="none"/>
          <w:lang w:val="en-US" w:eastAsia="zh-CN"/>
        </w:rPr>
        <w:t>维护</w:t>
      </w:r>
      <w:r>
        <w:rPr>
          <w:rFonts w:hint="default" w:ascii="Times New Roman" w:hAnsi="Times New Roman" w:cs="Times New Roman"/>
          <w:spacing w:val="6"/>
          <w:highlight w:val="none"/>
        </w:rPr>
        <w:t>就业公平，营造和谐用工环境。</w:t>
      </w:r>
    </w:p>
    <w:p w14:paraId="71BB6006">
      <w:pPr>
        <w:pStyle w:val="4"/>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2.</w:t>
      </w:r>
      <w:r>
        <w:rPr>
          <w:rFonts w:hint="default" w:ascii="Times New Roman" w:hAnsi="Times New Roman" w:cs="Times New Roman"/>
          <w:highlight w:val="none"/>
        </w:rPr>
        <w:t>加强重点群体就业支持</w:t>
      </w:r>
    </w:p>
    <w:p w14:paraId="1999537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实施就业创业促进“启航计划”和“青鸟归巢 源梦有我”行动，促进广大青年学子和人才返乡就业创业，每年组织“沂源—高校人才直通车”活动不少于20场，募集就业见习岗位不少于200个。健全农民工就业服务“绿色通道”，每年转移农村劳动力就业5000人次以上。以“沂源巧娘”品牌为引领，实施“巾帼共富”工程，结合“一村一业”“妈妈岗”开发，培育一批巾帼就业共富站点。持续做好退役军人、残疾人、零就业家庭等重点群体就业帮扶，加强就业困难人员动态管理和“一人一策”精准帮扶，确保零就业家庭动态清零。打造“沂源数字零工市场”，鼓励广大劳动者通过临时性、季节性、弹性工作等形式实现自主就业，通过微商电商、网络直播、兼职就业、副业创业等方式实现灵活就业。利用社区闲置空间，推广“沂起富工坊”社区微工厂模式，打造“十五分钟”家门口就业岗。落实返乡创业系列优惠政策</w:t>
      </w:r>
      <w:r>
        <w:rPr>
          <w:rFonts w:hint="default" w:ascii="Times New Roman" w:hAnsi="Times New Roman" w:cs="Times New Roman"/>
          <w:strike w:val="0"/>
          <w:color w:val="auto"/>
          <w:highlight w:val="none"/>
          <w:lang w:eastAsia="zh-CN"/>
        </w:rPr>
        <w:t>，</w:t>
      </w:r>
      <w:r>
        <w:rPr>
          <w:rFonts w:hint="default" w:ascii="Times New Roman" w:hAnsi="Times New Roman" w:cs="Times New Roman"/>
          <w:highlight w:val="none"/>
        </w:rPr>
        <w:t>依托产业园区平台、创业孵化基地开展返乡创业孵化。</w:t>
      </w:r>
    </w:p>
    <w:p w14:paraId="61E7F62E">
      <w:pPr>
        <w:pStyle w:val="4"/>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6"/>
          <w:sz w:val="32"/>
          <w:highlight w:val="none"/>
        </w:rPr>
      </w:pPr>
      <w:bookmarkStart w:id="179" w:name="_Toc19787"/>
      <w:bookmarkStart w:id="180" w:name="_Toc22583_WPSOffice_Level3"/>
      <w:r>
        <w:rPr>
          <w:rFonts w:hint="default" w:ascii="Times New Roman" w:hAnsi="Times New Roman" w:cs="Times New Roman"/>
          <w:spacing w:val="6"/>
          <w:sz w:val="32"/>
          <w:highlight w:val="none"/>
          <w:lang w:val="en-US" w:eastAsia="zh-CN"/>
        </w:rPr>
        <w:t>3</w:t>
      </w:r>
      <w:r>
        <w:rPr>
          <w:rFonts w:hint="default" w:ascii="Times New Roman" w:hAnsi="Times New Roman" w:cs="Times New Roman"/>
          <w:spacing w:val="6"/>
          <w:sz w:val="32"/>
          <w:highlight w:val="none"/>
        </w:rPr>
        <w:t>.保持居民收入稳定增长</w:t>
      </w:r>
      <w:bookmarkEnd w:id="179"/>
      <w:bookmarkEnd w:id="180"/>
    </w:p>
    <w:p w14:paraId="48C448FA">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按照经济增长与收入增长基本同步、劳动报酬与劳动生产率基本同步原则，通过就业扶持、创业激励和精准帮扶三大路径扩大中等收入群体规模。重点提升初次分配中劳动报酬占比，建立工资合理增长机制，同时拓展居民经营性收入、财产性收入和转移性收入渠道。深化收入分配制度改革，探索“调高、扩中、提低”实现路径，实施促就业助增收行动，健全“四位一体”就业体系，以更高质量就业促进共同富裕，确保居民收入持续稳定增长。建立与劳动力市场相适应的工资决定机制，将薪酬水平与企业效益、劳动生产率挂钩。创新要素分配机制，探索土地、资本等要素收益权分配模式，增加中低收入群体要素收入。</w:t>
      </w:r>
      <w:r>
        <w:rPr>
          <w:rFonts w:hint="default" w:ascii="Times New Roman" w:hAnsi="Times New Roman" w:cs="Times New Roman"/>
          <w:spacing w:val="6"/>
          <w:sz w:val="32"/>
          <w:highlight w:val="none"/>
          <w:lang w:val="en-US" w:eastAsia="zh-CN"/>
        </w:rPr>
        <w:t>健全以</w:t>
      </w:r>
      <w:r>
        <w:rPr>
          <w:rFonts w:hint="default" w:ascii="Times New Roman" w:hAnsi="Times New Roman" w:cs="Times New Roman"/>
          <w:spacing w:val="6"/>
          <w:sz w:val="32"/>
          <w:highlight w:val="none"/>
        </w:rPr>
        <w:t>市场</w:t>
      </w:r>
      <w:r>
        <w:rPr>
          <w:rFonts w:hint="default" w:ascii="Times New Roman" w:hAnsi="Times New Roman" w:cs="Times New Roman"/>
          <w:spacing w:val="6"/>
          <w:sz w:val="32"/>
          <w:highlight w:val="none"/>
          <w:lang w:val="en-US" w:eastAsia="zh-CN"/>
        </w:rPr>
        <w:t>为</w:t>
      </w:r>
      <w:r>
        <w:rPr>
          <w:rFonts w:hint="default" w:ascii="Times New Roman" w:hAnsi="Times New Roman" w:cs="Times New Roman"/>
          <w:spacing w:val="6"/>
          <w:sz w:val="32"/>
          <w:highlight w:val="none"/>
        </w:rPr>
        <w:t>导向的报酬评价体系，完善企业工资指导机制，重点保障一线劳动者权益。实施居民增收工程，通过员工持股、资产收益等渠道拓宽收入来源。激活农村土地承包权、集体资产股权等财产权益，支持特色创业和集群发展，畅通农村资源资本化渠道，加快农村居民收入增长，持续缩小城乡</w:t>
      </w:r>
      <w:r>
        <w:rPr>
          <w:rFonts w:hint="default" w:ascii="Times New Roman" w:hAnsi="Times New Roman" w:cs="Times New Roman"/>
          <w:spacing w:val="6"/>
          <w:sz w:val="32"/>
          <w:highlight w:val="none"/>
          <w:lang w:val="en-US" w:eastAsia="zh-CN"/>
        </w:rPr>
        <w:t>居民收入</w:t>
      </w:r>
      <w:r>
        <w:rPr>
          <w:rFonts w:hint="default" w:ascii="Times New Roman" w:hAnsi="Times New Roman" w:cs="Times New Roman"/>
          <w:spacing w:val="6"/>
          <w:sz w:val="32"/>
          <w:highlight w:val="none"/>
        </w:rPr>
        <w:t>差距。完善收入再分配机制和监测体系，实施差异化激励政策，对困难群体强化劳动增收支持，对高端人才实行以提高薪酬待遇体现知识价值为导向的分配政策。大力发展慈善事业。</w:t>
      </w:r>
      <w:bookmarkStart w:id="181" w:name="_Toc21369"/>
    </w:p>
    <w:p w14:paraId="1B7EFD73">
      <w:pPr>
        <w:pStyle w:val="3"/>
        <w:spacing w:before="156" w:after="156"/>
        <w:rPr>
          <w:rFonts w:hint="default" w:ascii="Times New Roman" w:hAnsi="Times New Roman" w:cs="Times New Roman"/>
          <w:spacing w:val="6"/>
          <w:sz w:val="32"/>
          <w:szCs w:val="22"/>
          <w:highlight w:val="none"/>
        </w:rPr>
      </w:pPr>
      <w:bookmarkStart w:id="182" w:name="_Toc32140_WPSOffice_Level2"/>
      <w:bookmarkStart w:id="183" w:name="_Toc3270"/>
      <w:r>
        <w:rPr>
          <w:rFonts w:hint="default" w:ascii="Times New Roman" w:hAnsi="Times New Roman" w:cs="Times New Roman"/>
          <w:spacing w:val="6"/>
          <w:sz w:val="32"/>
          <w:szCs w:val="22"/>
          <w:highlight w:val="none"/>
        </w:rPr>
        <w:t>第二节  构建高质量教育体系</w:t>
      </w:r>
      <w:bookmarkEnd w:id="181"/>
      <w:bookmarkEnd w:id="182"/>
      <w:bookmarkEnd w:id="183"/>
    </w:p>
    <w:p w14:paraId="18172F23">
      <w:pPr>
        <w:spacing w:line="560" w:lineRule="exact"/>
        <w:ind w:firstLine="640"/>
        <w:rPr>
          <w:rFonts w:hint="default" w:ascii="Times New Roman" w:hAnsi="Times New Roman" w:cs="Times New Roman"/>
          <w:spacing w:val="6"/>
          <w:sz w:val="32"/>
          <w:szCs w:val="32"/>
          <w:highlight w:val="none"/>
        </w:rPr>
      </w:pPr>
      <w:bookmarkStart w:id="184" w:name="_Toc7900_WPSOffice_Level3"/>
      <w:r>
        <w:rPr>
          <w:rFonts w:hint="default" w:ascii="Times New Roman" w:hAnsi="Times New Roman" w:cs="Times New Roman"/>
          <w:spacing w:val="6"/>
          <w:sz w:val="32"/>
          <w:szCs w:val="32"/>
          <w:highlight w:val="none"/>
        </w:rPr>
        <w:t>加快教育强县建设，实施教育三年提级跃升行动，深化</w:t>
      </w:r>
      <w:r>
        <w:rPr>
          <w:rFonts w:hint="default" w:ascii="Times New Roman" w:hAnsi="Times New Roman" w:cs="Times New Roman"/>
          <w:spacing w:val="6"/>
          <w:sz w:val="32"/>
          <w:szCs w:val="32"/>
          <w:highlight w:val="none"/>
          <w:lang w:val="en-US" w:eastAsia="zh-CN"/>
        </w:rPr>
        <w:t>全国</w:t>
      </w:r>
      <w:r>
        <w:rPr>
          <w:rFonts w:hint="default" w:ascii="Times New Roman" w:hAnsi="Times New Roman" w:cs="Times New Roman"/>
          <w:spacing w:val="6"/>
          <w:sz w:val="32"/>
          <w:szCs w:val="32"/>
          <w:highlight w:val="none"/>
        </w:rPr>
        <w:t>义务教育优质均衡发展县</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rPr>
        <w:t>国家学前教育普及普惠县创建成果，确保生均</w:t>
      </w:r>
      <w:r>
        <w:rPr>
          <w:rFonts w:hint="default" w:ascii="Times New Roman" w:hAnsi="Times New Roman" w:cs="Times New Roman"/>
          <w:spacing w:val="6"/>
          <w:sz w:val="32"/>
          <w:szCs w:val="32"/>
          <w:highlight w:val="none"/>
          <w:lang w:val="en-US" w:eastAsia="zh-CN"/>
        </w:rPr>
        <w:t>财政</w:t>
      </w:r>
      <w:r>
        <w:rPr>
          <w:rFonts w:hint="default" w:ascii="Times New Roman" w:hAnsi="Times New Roman" w:cs="Times New Roman"/>
          <w:spacing w:val="6"/>
          <w:sz w:val="32"/>
          <w:szCs w:val="32"/>
          <w:highlight w:val="none"/>
        </w:rPr>
        <w:t>教育</w:t>
      </w:r>
      <w:r>
        <w:rPr>
          <w:rFonts w:hint="default" w:ascii="Times New Roman" w:hAnsi="Times New Roman" w:cs="Times New Roman"/>
          <w:spacing w:val="6"/>
          <w:sz w:val="32"/>
          <w:szCs w:val="32"/>
          <w:highlight w:val="none"/>
          <w:lang w:val="en-US" w:eastAsia="zh-CN"/>
        </w:rPr>
        <w:t>投入</w:t>
      </w:r>
      <w:r>
        <w:rPr>
          <w:rFonts w:hint="default" w:ascii="Times New Roman" w:hAnsi="Times New Roman" w:cs="Times New Roman"/>
          <w:spacing w:val="6"/>
          <w:sz w:val="32"/>
          <w:szCs w:val="32"/>
          <w:highlight w:val="none"/>
        </w:rPr>
        <w:t>“只增不减”，促进各级各类教育协调发展。</w:t>
      </w:r>
    </w:p>
    <w:p w14:paraId="0CB3EDB2">
      <w:pPr>
        <w:pStyle w:val="4"/>
        <w:ind w:firstLine="640"/>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1.塑造立德树人新格局</w:t>
      </w:r>
    </w:p>
    <w:p w14:paraId="41938CE0">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sz w:val="32"/>
          <w:szCs w:val="32"/>
          <w:highlight w:val="none"/>
        </w:rPr>
      </w:pPr>
      <w:r>
        <w:rPr>
          <w:rFonts w:hint="default" w:ascii="Times New Roman" w:hAnsi="Times New Roman" w:cs="Times New Roman"/>
          <w:spacing w:val="6"/>
          <w:sz w:val="32"/>
          <w:szCs w:val="32"/>
          <w:highlight w:val="none"/>
        </w:rPr>
        <w:t>促进学生健康成长全面发展。严格落实国家义务教育课程方案，</w:t>
      </w:r>
      <w:r>
        <w:rPr>
          <w:rFonts w:hint="default" w:ascii="Times New Roman" w:hAnsi="Times New Roman" w:cs="Times New Roman"/>
          <w:color w:val="auto"/>
          <w:spacing w:val="6"/>
          <w:sz w:val="32"/>
          <w:szCs w:val="32"/>
          <w:highlight w:val="none"/>
        </w:rPr>
        <w:t>强化德育、体育、美育、劳动教育课程体系建设，</w:t>
      </w:r>
      <w:r>
        <w:rPr>
          <w:rFonts w:hint="default" w:ascii="Times New Roman" w:hAnsi="Times New Roman" w:cs="Times New Roman"/>
          <w:spacing w:val="6"/>
          <w:sz w:val="32"/>
          <w:szCs w:val="32"/>
          <w:highlight w:val="none"/>
        </w:rPr>
        <w:t>扎实开展综合实践活动</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lang w:val="en-US" w:eastAsia="zh-CN"/>
        </w:rPr>
        <w:t>建设</w:t>
      </w:r>
      <w:r>
        <w:rPr>
          <w:rFonts w:hint="default" w:ascii="Times New Roman" w:hAnsi="Times New Roman" w:cs="Times New Roman"/>
          <w:spacing w:val="6"/>
          <w:sz w:val="32"/>
          <w:szCs w:val="32"/>
          <w:highlight w:val="none"/>
        </w:rPr>
        <w:t>沂源青少年社会实践基地。加强和改进新时代学校思想政治教育，健全德智体美劳全面培养体系，抓好阅读、“人工智能+”教育，全面提升学生综合素养。实施学生体质强健计划，全面保障学生每天综合体育活动时间不少于2小时，学生体质健康优良率达到57.5%以上。强化儿童青少年近视防控，显著降低新发近视率。健全学校家庭社会协同育人机制，加强家校协同育人“教联体”建设</w:t>
      </w:r>
      <w:r>
        <w:rPr>
          <w:rFonts w:hint="default"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lang w:val="en-US" w:eastAsia="zh-CN"/>
        </w:rPr>
        <w:t>开展“幸福沂家</w:t>
      </w:r>
      <w:r>
        <w:rPr>
          <w:rFonts w:hint="default" w:ascii="Times New Roman" w:hAnsi="Times New Roman" w:cs="Times New Roman"/>
          <w:spacing w:val="6"/>
          <w:sz w:val="32"/>
          <w:highlight w:val="none"/>
        </w:rPr>
        <w:t xml:space="preserve"> </w:t>
      </w:r>
      <w:r>
        <w:rPr>
          <w:rFonts w:hint="default" w:ascii="Times New Roman" w:hAnsi="Times New Roman" w:cs="Times New Roman"/>
          <w:spacing w:val="6"/>
          <w:sz w:val="32"/>
          <w:highlight w:val="none"/>
          <w:lang w:val="en-US" w:eastAsia="zh-CN"/>
        </w:rPr>
        <w:t>家庭教育赋能</w:t>
      </w:r>
      <w:r>
        <w:rPr>
          <w:rFonts w:hint="default" w:ascii="Times New Roman" w:hAnsi="Times New Roman" w:cs="Times New Roman"/>
          <w:spacing w:val="6"/>
          <w:sz w:val="32"/>
          <w:szCs w:val="32"/>
          <w:highlight w:val="none"/>
          <w:lang w:val="en-US" w:eastAsia="zh-CN"/>
        </w:rPr>
        <w:t>”</w:t>
      </w:r>
      <w:r>
        <w:rPr>
          <w:rFonts w:hint="default" w:ascii="Times New Roman" w:hAnsi="Times New Roman" w:cs="Times New Roman"/>
          <w:spacing w:val="6"/>
          <w:sz w:val="32"/>
          <w:highlight w:val="none"/>
          <w:lang w:val="en-US" w:eastAsia="zh-CN"/>
        </w:rPr>
        <w:t>提升</w:t>
      </w:r>
      <w:r>
        <w:rPr>
          <w:rFonts w:hint="default" w:ascii="Times New Roman" w:hAnsi="Times New Roman" w:cs="Times New Roman"/>
          <w:spacing w:val="6"/>
          <w:sz w:val="32"/>
          <w:szCs w:val="32"/>
          <w:highlight w:val="none"/>
          <w:lang w:val="en-US" w:eastAsia="zh-CN"/>
        </w:rPr>
        <w:t>行动。</w:t>
      </w:r>
      <w:r>
        <w:rPr>
          <w:rFonts w:hint="default" w:ascii="Times New Roman" w:hAnsi="Times New Roman" w:cs="Times New Roman"/>
          <w:spacing w:val="6"/>
          <w:sz w:val="32"/>
          <w:szCs w:val="32"/>
          <w:highlight w:val="none"/>
        </w:rPr>
        <w:t>构建“四位一体”学生心理健康工作体系，保障学生身心健康发展。</w:t>
      </w:r>
    </w:p>
    <w:p w14:paraId="46CDAF4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sz w:val="32"/>
          <w:szCs w:val="32"/>
          <w:highlight w:val="none"/>
        </w:rPr>
      </w:pPr>
      <w:r>
        <w:rPr>
          <w:rFonts w:hint="default" w:ascii="Times New Roman" w:hAnsi="Times New Roman" w:cs="Times New Roman"/>
          <w:spacing w:val="6"/>
          <w:sz w:val="32"/>
          <w:szCs w:val="32"/>
          <w:highlight w:val="none"/>
        </w:rPr>
        <w:t>打造高素质专业化教师队伍。坚持以教育家精神铸魂强师，持续完善师德师风建设长效机制，做好李振华全国道德模范事迹及教育理念的推广学习。深化中小学教师“县管校聘”改革，统筹分配各校教职工编制和岗位数量，探索跨学段调整教师机制，推进城乡、校际教师交流轮岗。搭建支撑教师职业发展全周期成长阶梯，完善教干教师培养培训体系，</w:t>
      </w:r>
      <w:r>
        <w:rPr>
          <w:rFonts w:hint="default" w:ascii="Times New Roman" w:hAnsi="Times New Roman" w:cs="Times New Roman"/>
          <w:spacing w:val="6"/>
          <w:sz w:val="32"/>
          <w:szCs w:val="40"/>
          <w:highlight w:val="none"/>
        </w:rPr>
        <w:t>积极发展“人工智能+”教育，抓好教研员、班主任、校长、教师“四支”队伍建设</w:t>
      </w:r>
      <w:r>
        <w:rPr>
          <w:rFonts w:hint="default" w:ascii="Times New Roman" w:hAnsi="Times New Roman" w:cs="Times New Roman"/>
          <w:spacing w:val="6"/>
          <w:sz w:val="32"/>
          <w:szCs w:val="32"/>
          <w:highlight w:val="none"/>
        </w:rPr>
        <w:t>。实施教师学历资格“双提升”行动，引导</w:t>
      </w:r>
      <w:r>
        <w:rPr>
          <w:rFonts w:hint="default" w:ascii="Times New Roman" w:hAnsi="Times New Roman" w:cs="Times New Roman"/>
          <w:spacing w:val="6"/>
          <w:sz w:val="32"/>
          <w:szCs w:val="40"/>
          <w:highlight w:val="none"/>
        </w:rPr>
        <w:t>持有低学段教师资格</w:t>
      </w:r>
      <w:r>
        <w:rPr>
          <w:rFonts w:hint="default" w:ascii="Times New Roman" w:hAnsi="Times New Roman" w:cs="Times New Roman"/>
          <w:spacing w:val="6"/>
          <w:sz w:val="32"/>
          <w:szCs w:val="40"/>
          <w:highlight w:val="none"/>
          <w:lang w:val="en-US" w:eastAsia="zh-CN"/>
        </w:rPr>
        <w:t>证</w:t>
      </w:r>
      <w:r>
        <w:rPr>
          <w:rFonts w:hint="default" w:ascii="Times New Roman" w:hAnsi="Times New Roman" w:cs="Times New Roman"/>
          <w:spacing w:val="6"/>
          <w:sz w:val="32"/>
          <w:szCs w:val="40"/>
          <w:highlight w:val="none"/>
        </w:rPr>
        <w:t>的教师考取高学段教师资格证、跨学科教师考取相应学科教师资格证，化解专业教师结构性缺员难题。</w:t>
      </w:r>
    </w:p>
    <w:p w14:paraId="27EFC5B5">
      <w:pPr>
        <w:pStyle w:val="4"/>
        <w:ind w:firstLine="640"/>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2.推动基础教育优质均衡发展</w:t>
      </w:r>
    </w:p>
    <w:p w14:paraId="56410198">
      <w:pPr>
        <w:keepNext w:val="0"/>
        <w:keepLines w:val="0"/>
        <w:pageBreakBefore w:val="0"/>
        <w:widowControl w:val="0"/>
        <w:tabs>
          <w:tab w:val="left" w:pos="624"/>
        </w:tabs>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sz w:val="32"/>
          <w:szCs w:val="32"/>
          <w:highlight w:val="none"/>
        </w:rPr>
      </w:pPr>
      <w:r>
        <w:rPr>
          <w:rFonts w:hint="default" w:ascii="Times New Roman" w:hAnsi="Times New Roman" w:cs="Times New Roman"/>
          <w:spacing w:val="6"/>
          <w:sz w:val="32"/>
          <w:szCs w:val="32"/>
          <w:highlight w:val="none"/>
        </w:rPr>
        <w:t>提高学前教育普及普惠水平。推进学前教育普及普惠安全优质发展</w:t>
      </w:r>
      <w:r>
        <w:rPr>
          <w:rFonts w:hint="eastAsia" w:ascii="Times New Roman" w:hAnsi="Times New Roman" w:cs="Times New Roman"/>
          <w:spacing w:val="6"/>
          <w:sz w:val="32"/>
          <w:szCs w:val="32"/>
          <w:highlight w:val="none"/>
          <w:lang w:eastAsia="zh-CN"/>
        </w:rPr>
        <w:t>，</w:t>
      </w:r>
      <w:r>
        <w:rPr>
          <w:rFonts w:hint="default" w:ascii="Times New Roman" w:hAnsi="Times New Roman" w:cs="Times New Roman"/>
          <w:spacing w:val="6"/>
          <w:sz w:val="32"/>
          <w:szCs w:val="32"/>
          <w:highlight w:val="none"/>
        </w:rPr>
        <w:t>扩充普惠性幼儿教育资源，落实学前教育免保育教育费政策，加大公办幼儿园学位供给，合理引导民办幼儿园有序退出、转型升级，确保全县公办幼儿园在园</w:t>
      </w:r>
      <w:r>
        <w:rPr>
          <w:rFonts w:hint="default" w:ascii="Times New Roman" w:hAnsi="Times New Roman" w:cs="Times New Roman"/>
          <w:spacing w:val="6"/>
          <w:sz w:val="32"/>
          <w:szCs w:val="32"/>
          <w:highlight w:val="none"/>
          <w:lang w:val="en-US" w:eastAsia="zh-CN"/>
        </w:rPr>
        <w:t>幼儿</w:t>
      </w:r>
      <w:r>
        <w:rPr>
          <w:rFonts w:hint="default" w:ascii="Times New Roman" w:hAnsi="Times New Roman" w:cs="Times New Roman"/>
          <w:spacing w:val="6"/>
          <w:sz w:val="32"/>
          <w:szCs w:val="32"/>
          <w:highlight w:val="none"/>
        </w:rPr>
        <w:t>占比不低于70%。推动学前教育托幼一体化发展，支持公办幼儿园开设托班招收2—3岁幼儿。构建城乡幼儿园协同发展体系，加强幼儿园城乡教育共同体、镇村一体化建设。严格遵循儿童身心发展规律，落实科学保教，深入挖掘县域内文化、自然资源育人价值，打造县域幼儿园乡野课程品牌。</w:t>
      </w:r>
    </w:p>
    <w:p w14:paraId="035FBDF8">
      <w:pPr>
        <w:keepNext w:val="0"/>
        <w:keepLines w:val="0"/>
        <w:pageBreakBefore w:val="0"/>
        <w:widowControl w:val="0"/>
        <w:tabs>
          <w:tab w:val="left" w:pos="624"/>
        </w:tabs>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sz w:val="32"/>
          <w:szCs w:val="32"/>
          <w:highlight w:val="none"/>
        </w:rPr>
      </w:pPr>
      <w:r>
        <w:rPr>
          <w:rFonts w:hint="default" w:ascii="Times New Roman" w:hAnsi="Times New Roman" w:cs="Times New Roman"/>
          <w:spacing w:val="6"/>
          <w:sz w:val="32"/>
          <w:szCs w:val="32"/>
          <w:highlight w:val="none"/>
        </w:rPr>
        <w:t>推进义务教育优质均衡发展。</w:t>
      </w:r>
      <w:r>
        <w:rPr>
          <w:rFonts w:hint="default" w:ascii="Times New Roman" w:hAnsi="Times New Roman" w:cs="Times New Roman"/>
          <w:spacing w:val="6"/>
          <w:sz w:val="32"/>
          <w:szCs w:val="32"/>
          <w:highlight w:val="none"/>
          <w:lang w:val="en-US" w:eastAsia="zh-CN"/>
        </w:rPr>
        <w:t>启动省级乡村教育改革试点，</w:t>
      </w:r>
      <w:r>
        <w:rPr>
          <w:rFonts w:hint="default" w:ascii="Times New Roman" w:hAnsi="Times New Roman" w:cs="Times New Roman"/>
          <w:spacing w:val="6"/>
          <w:sz w:val="32"/>
          <w:szCs w:val="32"/>
          <w:highlight w:val="none"/>
        </w:rPr>
        <w:t>统筹县域教育资源均衡调配，</w:t>
      </w:r>
      <w:r>
        <w:rPr>
          <w:rFonts w:hint="default" w:ascii="Times New Roman" w:hAnsi="Times New Roman" w:cs="Times New Roman"/>
          <w:spacing w:val="6"/>
          <w:sz w:val="32"/>
          <w:szCs w:val="32"/>
          <w:highlight w:val="none"/>
          <w:lang w:val="en-US" w:eastAsia="zh-CN"/>
        </w:rPr>
        <w:t>深化全国</w:t>
      </w:r>
      <w:r>
        <w:rPr>
          <w:rFonts w:hint="default" w:ascii="Times New Roman" w:hAnsi="Times New Roman" w:cs="Times New Roman"/>
          <w:spacing w:val="6"/>
          <w:sz w:val="32"/>
          <w:szCs w:val="32"/>
          <w:highlight w:val="none"/>
        </w:rPr>
        <w:t>义务教育优质均衡发展县</w:t>
      </w:r>
      <w:r>
        <w:rPr>
          <w:rFonts w:hint="default" w:ascii="Times New Roman" w:hAnsi="Times New Roman" w:cs="Times New Roman"/>
          <w:spacing w:val="6"/>
          <w:sz w:val="32"/>
          <w:szCs w:val="32"/>
          <w:highlight w:val="none"/>
          <w:lang w:val="en-US" w:eastAsia="zh-CN"/>
        </w:rPr>
        <w:t>创建成果</w:t>
      </w:r>
      <w:r>
        <w:rPr>
          <w:rFonts w:hint="default" w:ascii="Times New Roman" w:hAnsi="Times New Roman" w:cs="Times New Roman"/>
          <w:spacing w:val="6"/>
          <w:sz w:val="32"/>
          <w:szCs w:val="32"/>
          <w:highlight w:val="none"/>
        </w:rPr>
        <w:t>。建立与人口变化相协调的基本公共教育服务供给机制，以南麻、历山、悦庄、东里、鲁村、燕崖六大学区为核心辐射枢纽优化整合学校，稳步推进邻近镇初中段学生相对集中</w:t>
      </w:r>
      <w:r>
        <w:rPr>
          <w:rFonts w:hint="default" w:ascii="Times New Roman" w:hAnsi="Times New Roman" w:cs="Times New Roman"/>
          <w:spacing w:val="6"/>
          <w:sz w:val="32"/>
          <w:szCs w:val="32"/>
          <w:highlight w:val="none"/>
          <w:lang w:val="en-US" w:eastAsia="zh-CN"/>
        </w:rPr>
        <w:t>入学</w:t>
      </w:r>
      <w:r>
        <w:rPr>
          <w:rFonts w:hint="default" w:ascii="Times New Roman" w:hAnsi="Times New Roman" w:cs="Times New Roman"/>
          <w:spacing w:val="6"/>
          <w:sz w:val="32"/>
          <w:szCs w:val="32"/>
          <w:highlight w:val="none"/>
        </w:rPr>
        <w:t>，探索建设“宜住则住、宜餐则餐”</w:t>
      </w:r>
      <w:r>
        <w:rPr>
          <w:rFonts w:hint="default" w:ascii="Times New Roman" w:hAnsi="Times New Roman" w:cs="Times New Roman"/>
          <w:spacing w:val="6"/>
          <w:sz w:val="32"/>
          <w:szCs w:val="32"/>
          <w:highlight w:val="none"/>
          <w:lang w:val="en-US" w:eastAsia="zh-CN"/>
        </w:rPr>
        <w:t>的</w:t>
      </w:r>
      <w:r>
        <w:rPr>
          <w:rFonts w:hint="default" w:ascii="Times New Roman" w:hAnsi="Times New Roman" w:cs="Times New Roman"/>
          <w:spacing w:val="6"/>
          <w:sz w:val="32"/>
          <w:szCs w:val="32"/>
          <w:highlight w:val="none"/>
        </w:rPr>
        <w:t>农村公立寄宿制小学，兜底留守儿童和困境儿童。加强学位供给跨学段动态统筹调整，探索完全中学及初中学校异地办学模式，挖潜扩容城区初中学位8000个以上，确保初中入学平稳度峰。加强集团化办学，推动“优质校+薄弱校”“城区校+乡镇校”等多种模式办学，形成横向融合、纵向衔接的集团化办学格局，实现优质资源跨校流动。</w:t>
      </w:r>
    </w:p>
    <w:p w14:paraId="4B602DED">
      <w:pPr>
        <w:keepNext w:val="0"/>
        <w:keepLines w:val="0"/>
        <w:pageBreakBefore w:val="0"/>
        <w:widowControl w:val="0"/>
        <w:tabs>
          <w:tab w:val="left" w:pos="624"/>
        </w:tabs>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楷体_GB2312" w:cs="Times New Roman"/>
          <w:spacing w:val="6"/>
          <w:sz w:val="32"/>
          <w:szCs w:val="32"/>
          <w:highlight w:val="none"/>
        </w:rPr>
      </w:pPr>
      <w:r>
        <w:rPr>
          <w:rFonts w:hint="default" w:ascii="Times New Roman" w:hAnsi="Times New Roman" w:cs="Times New Roman"/>
          <w:spacing w:val="6"/>
          <w:sz w:val="32"/>
          <w:szCs w:val="32"/>
          <w:highlight w:val="none"/>
        </w:rPr>
        <w:t>推动高中教育特色多样发展。推进县域普通高中振兴行动计划，在政策允许情况下，启动沂源一中校内资源挖潜工程，在校内闲置土地上插建一座标准化教学楼，主动应对未来高中阶段入学高峰。推动普通高中“特色学科+特色高中”建设，</w:t>
      </w:r>
      <w:r>
        <w:rPr>
          <w:rFonts w:hint="default" w:ascii="Times New Roman" w:hAnsi="Times New Roman" w:cs="Times New Roman"/>
          <w:spacing w:val="6"/>
          <w:sz w:val="32"/>
          <w:szCs w:val="32"/>
          <w:highlight w:val="none"/>
          <w:lang w:val="en-US" w:eastAsia="zh-CN"/>
        </w:rPr>
        <w:t>促进</w:t>
      </w:r>
      <w:r>
        <w:rPr>
          <w:rFonts w:hint="default" w:ascii="Times New Roman" w:hAnsi="Times New Roman" w:cs="Times New Roman"/>
          <w:spacing w:val="6"/>
          <w:sz w:val="32"/>
          <w:szCs w:val="32"/>
          <w:highlight w:val="none"/>
        </w:rPr>
        <w:t>普通高中优质特色多样化发展。组建以高中为核心的“1+N”（1所高中+多所初中、小学）贯通培养教育集团，构建幼儿注重启蒙、小学夯实素养基础、初中强化能力支撑、高中突出特色引领的全学段一体贯通协同育人体系，推动全县不同层级教育高效衔接、贯通发展。加大拔尖创新人才培养力度，探索有突出潜质学生早期发现与培养途径，推动“脱颖计划”向初中延伸，用好“农村专项”招生政策，力争“双一流”高校录取人数</w:t>
      </w:r>
      <w:r>
        <w:rPr>
          <w:rFonts w:hint="default" w:ascii="Times New Roman" w:hAnsi="Times New Roman" w:cs="Times New Roman"/>
          <w:spacing w:val="6"/>
          <w:sz w:val="32"/>
          <w:szCs w:val="32"/>
          <w:highlight w:val="none"/>
          <w:lang w:val="en-US" w:eastAsia="zh-CN"/>
        </w:rPr>
        <w:t>实现新</w:t>
      </w:r>
      <w:r>
        <w:rPr>
          <w:rFonts w:hint="default" w:ascii="Times New Roman" w:hAnsi="Times New Roman" w:cs="Times New Roman"/>
          <w:spacing w:val="6"/>
          <w:sz w:val="32"/>
          <w:szCs w:val="32"/>
          <w:highlight w:val="none"/>
        </w:rPr>
        <w:t>突破。</w:t>
      </w:r>
    </w:p>
    <w:p w14:paraId="558E3EDD">
      <w:pPr>
        <w:pStyle w:val="4"/>
        <w:ind w:firstLine="640"/>
        <w:rPr>
          <w:rFonts w:hint="default" w:ascii="Times New Roman" w:hAnsi="Times New Roman" w:cs="Times New Roman"/>
          <w:spacing w:val="6"/>
          <w:sz w:val="32"/>
          <w:highlight w:val="none"/>
        </w:rPr>
      </w:pPr>
      <w:r>
        <w:rPr>
          <w:rFonts w:hint="default" w:ascii="Times New Roman" w:hAnsi="Times New Roman" w:cs="Times New Roman"/>
          <w:spacing w:val="6"/>
          <w:sz w:val="32"/>
          <w:highlight w:val="none"/>
        </w:rPr>
        <w:t>3.推动特殊教育优质融合发展</w:t>
      </w:r>
    </w:p>
    <w:p w14:paraId="47DF7EF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spacing w:val="6"/>
          <w:sz w:val="32"/>
          <w:szCs w:val="32"/>
          <w:highlight w:val="none"/>
        </w:rPr>
      </w:pPr>
      <w:r>
        <w:rPr>
          <w:rFonts w:hint="default" w:ascii="Times New Roman" w:hAnsi="Times New Roman" w:cs="Times New Roman"/>
          <w:spacing w:val="6"/>
          <w:sz w:val="32"/>
          <w:szCs w:val="32"/>
          <w:highlight w:val="none"/>
        </w:rPr>
        <w:t>积极发展学前到高中（中职）十五年贯通特殊教育，推动特殊教育与普通教育、职业教育、医疗康复等相结合，稳步推进特殊教育学校标准化建设，推动“医教结合”发展。加强特殊教育课程建设，探索建立国家课程、校本课程相融合的学校课程体系，增加必要的职业教育内容，强化生活技能和社会适应能力培养。加强普通学校特殊教育资源教室、无障碍设施建设，为残疾学生提供必要的学习和生活便利条件，鼓励符合条件的残疾儿童就近入学随班就读，提升特殊教育的普惠性、可及性、便捷性。</w:t>
      </w:r>
    </w:p>
    <w:bookmarkEnd w:id="184"/>
    <w:p w14:paraId="611FA765">
      <w:pPr>
        <w:pStyle w:val="3"/>
        <w:spacing w:before="156" w:after="156"/>
        <w:rPr>
          <w:rFonts w:hint="default" w:ascii="Times New Roman" w:hAnsi="Times New Roman" w:eastAsia="黑体" w:cs="Times New Roman"/>
          <w:sz w:val="32"/>
          <w:szCs w:val="22"/>
          <w:highlight w:val="none"/>
          <w:lang w:val="en-US" w:eastAsia="zh-CN"/>
        </w:rPr>
      </w:pPr>
      <w:bookmarkStart w:id="185" w:name="_Toc1398_WPSOffice_Level2"/>
      <w:bookmarkStart w:id="186" w:name="_Toc15410"/>
      <w:bookmarkStart w:id="187" w:name="_Toc7262"/>
      <w:r>
        <w:rPr>
          <w:rFonts w:hint="default" w:ascii="Times New Roman" w:hAnsi="Times New Roman" w:cs="Times New Roman"/>
          <w:sz w:val="32"/>
          <w:szCs w:val="22"/>
          <w:highlight w:val="none"/>
        </w:rPr>
        <w:t>第三节  扎实推进</w:t>
      </w:r>
      <w:bookmarkEnd w:id="185"/>
      <w:bookmarkEnd w:id="186"/>
      <w:r>
        <w:rPr>
          <w:rFonts w:hint="default" w:ascii="Times New Roman" w:hAnsi="Times New Roman" w:cs="Times New Roman"/>
          <w:sz w:val="32"/>
          <w:szCs w:val="22"/>
          <w:highlight w:val="none"/>
          <w:lang w:val="en-US" w:eastAsia="zh-CN"/>
        </w:rPr>
        <w:t>健康沂源建设</w:t>
      </w:r>
      <w:bookmarkEnd w:id="187"/>
    </w:p>
    <w:p w14:paraId="43BC4C34">
      <w:pPr>
        <w:spacing w:line="560" w:lineRule="exact"/>
        <w:ind w:firstLine="640"/>
        <w:rPr>
          <w:rFonts w:hint="default" w:ascii="Times New Roman" w:hAnsi="Times New Roman" w:cs="Times New Roman"/>
          <w:szCs w:val="32"/>
          <w:highlight w:val="none"/>
        </w:rPr>
      </w:pPr>
      <w:bookmarkStart w:id="188" w:name="_Toc30632"/>
      <w:bookmarkStart w:id="189" w:name="_Toc10314_WPSOffice_Level2"/>
      <w:r>
        <w:rPr>
          <w:rFonts w:hint="default" w:ascii="Times New Roman" w:hAnsi="Times New Roman" w:cs="Times New Roman"/>
          <w:szCs w:val="32"/>
          <w:highlight w:val="none"/>
        </w:rPr>
        <w:t>始终把维护人民生命安全和身体健康摆在优先位置，推动卫生健康事业从以治病为中心转向以健康为中心，加快构建保障人民健康优先发展的制度体系，推动居民健康水平明显提升，人均寿命</w:t>
      </w:r>
      <w:r>
        <w:rPr>
          <w:rFonts w:hint="default" w:ascii="Times New Roman" w:hAnsi="Times New Roman" w:cs="Times New Roman"/>
          <w:szCs w:val="32"/>
          <w:highlight w:val="none"/>
          <w:lang w:val="en-US" w:eastAsia="zh-CN"/>
        </w:rPr>
        <w:t>力争</w:t>
      </w:r>
      <w:r>
        <w:rPr>
          <w:rFonts w:hint="default" w:ascii="Times New Roman" w:hAnsi="Times New Roman" w:cs="Times New Roman"/>
          <w:szCs w:val="32"/>
          <w:highlight w:val="none"/>
        </w:rPr>
        <w:t>达到83岁左右。</w:t>
      </w:r>
    </w:p>
    <w:p w14:paraId="5C51CB61">
      <w:pPr>
        <w:pStyle w:val="4"/>
        <w:ind w:firstLine="640"/>
        <w:rPr>
          <w:rFonts w:hint="default" w:ascii="Times New Roman" w:hAnsi="Times New Roman" w:cs="Times New Roman"/>
          <w:highlight w:val="none"/>
        </w:rPr>
      </w:pPr>
      <w:bookmarkStart w:id="190" w:name="_Toc3959"/>
      <w:r>
        <w:rPr>
          <w:rFonts w:hint="default" w:ascii="Times New Roman" w:hAnsi="Times New Roman" w:cs="Times New Roman"/>
          <w:highlight w:val="none"/>
        </w:rPr>
        <w:t>1.优化医疗卫生服务体系</w:t>
      </w:r>
      <w:bookmarkEnd w:id="190"/>
    </w:p>
    <w:p w14:paraId="77FA9168">
      <w:pPr>
        <w:spacing w:line="560" w:lineRule="exact"/>
        <w:ind w:firstLine="640"/>
        <w:rPr>
          <w:rFonts w:hint="default" w:ascii="Times New Roman" w:hAnsi="Times New Roman" w:cs="Times New Roman"/>
          <w:szCs w:val="32"/>
          <w:highlight w:val="none"/>
        </w:rPr>
      </w:pPr>
      <w:r>
        <w:rPr>
          <w:rFonts w:hint="default" w:ascii="Times New Roman" w:hAnsi="Times New Roman" w:cs="Times New Roman"/>
          <w:kern w:val="0"/>
          <w:szCs w:val="32"/>
          <w:highlight w:val="none"/>
        </w:rPr>
        <w:t>深化医药卫生体制改革，实现</w:t>
      </w:r>
      <w:r>
        <w:rPr>
          <w:rFonts w:hint="default" w:ascii="Times New Roman" w:hAnsi="Times New Roman" w:cs="Times New Roman"/>
          <w:kern w:val="0"/>
          <w:szCs w:val="32"/>
          <w:highlight w:val="none"/>
          <w:lang w:val="en-US" w:eastAsia="zh-CN"/>
        </w:rPr>
        <w:t>县</w:t>
      </w:r>
      <w:r>
        <w:rPr>
          <w:rFonts w:hint="default" w:ascii="Times New Roman" w:hAnsi="Times New Roman" w:cs="Times New Roman"/>
          <w:kern w:val="0"/>
          <w:szCs w:val="32"/>
          <w:highlight w:val="none"/>
        </w:rPr>
        <w:t>域医疗卫生提质扩容，全面建立县、镇、村一体化医疗服务体系和“医共体”服务架构。</w:t>
      </w:r>
      <w:r>
        <w:rPr>
          <w:rFonts w:hint="default" w:ascii="Times New Roman" w:hAnsi="Times New Roman" w:cs="Times New Roman"/>
          <w:szCs w:val="32"/>
          <w:highlight w:val="none"/>
        </w:rPr>
        <w:t>发挥县人民医院医共体总院牵头作用，</w:t>
      </w:r>
      <w:r>
        <w:rPr>
          <w:rFonts w:hint="default" w:ascii="Times New Roman" w:hAnsi="Times New Roman" w:cs="Times New Roman"/>
          <w:bCs/>
          <w:szCs w:val="32"/>
          <w:highlight w:val="none"/>
        </w:rPr>
        <w:t>强化“一体两翼”协同和医共体规范运行，持续推动分级诊疗制度落实。持续提高基层服务能力，</w:t>
      </w:r>
      <w:r>
        <w:rPr>
          <w:rFonts w:hint="default" w:ascii="Times New Roman" w:hAnsi="Times New Roman" w:cs="Times New Roman"/>
          <w:szCs w:val="32"/>
          <w:highlight w:val="none"/>
        </w:rPr>
        <w:t>建立层级分明、布局合理、符合实际的基层医疗服务体系，积极</w:t>
      </w:r>
      <w:r>
        <w:rPr>
          <w:rFonts w:hint="default" w:ascii="Times New Roman" w:hAnsi="Times New Roman" w:cs="Times New Roman"/>
          <w:bCs/>
          <w:szCs w:val="32"/>
          <w:highlight w:val="none"/>
        </w:rPr>
        <w:t>推动西部新城社区卫生服务中心建设。</w:t>
      </w:r>
      <w:r>
        <w:rPr>
          <w:rFonts w:hint="default" w:ascii="Times New Roman" w:hAnsi="Times New Roman" w:cs="Times New Roman"/>
          <w:kern w:val="0"/>
          <w:szCs w:val="32"/>
          <w:highlight w:val="none"/>
        </w:rPr>
        <w:t>完善中医药服务体系，</w:t>
      </w:r>
      <w:r>
        <w:rPr>
          <w:rFonts w:hint="default" w:ascii="Times New Roman" w:hAnsi="Times New Roman" w:cs="Times New Roman"/>
          <w:szCs w:val="32"/>
          <w:highlight w:val="none"/>
        </w:rPr>
        <w:t>巩固提升中医药临床重点学科、重点专科成果，全面推进中医</w:t>
      </w:r>
      <w:r>
        <w:rPr>
          <w:rFonts w:hint="default" w:ascii="Times New Roman" w:hAnsi="Times New Roman" w:cs="Times New Roman"/>
          <w:szCs w:val="32"/>
          <w:highlight w:val="none"/>
          <w:lang w:val="en-US" w:eastAsia="zh-CN"/>
        </w:rPr>
        <w:t>药</w:t>
      </w:r>
      <w:r>
        <w:rPr>
          <w:rFonts w:hint="default" w:ascii="Times New Roman" w:hAnsi="Times New Roman" w:cs="Times New Roman"/>
          <w:szCs w:val="32"/>
          <w:highlight w:val="none"/>
        </w:rPr>
        <w:t>专科</w:t>
      </w:r>
      <w:r>
        <w:rPr>
          <w:rFonts w:hint="default" w:ascii="Times New Roman" w:hAnsi="Times New Roman" w:cs="Times New Roman"/>
          <w:szCs w:val="32"/>
          <w:highlight w:val="none"/>
          <w:lang w:val="en-US" w:eastAsia="zh-CN"/>
        </w:rPr>
        <w:t>联盟</w:t>
      </w:r>
      <w:r>
        <w:rPr>
          <w:rFonts w:hint="default" w:ascii="Times New Roman" w:hAnsi="Times New Roman" w:cs="Times New Roman"/>
          <w:szCs w:val="32"/>
          <w:highlight w:val="none"/>
        </w:rPr>
        <w:t>建设。加大中医药人才培养力度，加强中医药适宜技术推广应用，提高基层中医药服务供给。全面实施养老机构与医疗机构签约服务，高标准运营县</w:t>
      </w:r>
      <w:r>
        <w:rPr>
          <w:rFonts w:hint="default" w:ascii="Times New Roman" w:hAnsi="Times New Roman" w:cs="Times New Roman"/>
          <w:szCs w:val="32"/>
          <w:highlight w:val="none"/>
          <w:lang w:val="en-US" w:eastAsia="zh-CN"/>
        </w:rPr>
        <w:t>人民</w:t>
      </w:r>
      <w:r>
        <w:rPr>
          <w:rFonts w:hint="default" w:ascii="Times New Roman" w:hAnsi="Times New Roman" w:cs="Times New Roman"/>
          <w:szCs w:val="32"/>
          <w:highlight w:val="none"/>
        </w:rPr>
        <w:t>医院医养中心，为全县养老事业发展提供样板支撑。</w:t>
      </w:r>
      <w:r>
        <w:rPr>
          <w:rFonts w:hint="default" w:ascii="Times New Roman" w:hAnsi="Times New Roman" w:cs="Times New Roman"/>
          <w:bCs/>
          <w:szCs w:val="32"/>
          <w:highlight w:val="none"/>
        </w:rPr>
        <w:t>“十五五”期间，</w:t>
      </w:r>
      <w:r>
        <w:rPr>
          <w:rFonts w:hint="default" w:ascii="Times New Roman" w:hAnsi="Times New Roman" w:cs="Times New Roman"/>
          <w:szCs w:val="32"/>
          <w:highlight w:val="none"/>
        </w:rPr>
        <w:t>新打造2家中医特色卫生院，达到“优质服务基层行”国家推荐标准的卫生院数量达到9家以上，全县乡村医生全面掌握4类6</w:t>
      </w:r>
      <w:r>
        <w:rPr>
          <w:rFonts w:hint="default" w:ascii="Times New Roman" w:hAnsi="Times New Roman" w:cs="Times New Roman"/>
          <w:szCs w:val="32"/>
          <w:highlight w:val="none"/>
          <w:lang w:val="en-US" w:eastAsia="zh-CN"/>
        </w:rPr>
        <w:t>项</w:t>
      </w:r>
      <w:r>
        <w:rPr>
          <w:rFonts w:hint="default" w:ascii="Times New Roman" w:hAnsi="Times New Roman" w:cs="Times New Roman"/>
          <w:szCs w:val="32"/>
          <w:highlight w:val="none"/>
        </w:rPr>
        <w:t>以上中医适宜技术，20%以上的村卫生室达到“扁鹊中医阁”标准，</w:t>
      </w:r>
      <w:r>
        <w:rPr>
          <w:rFonts w:hint="default" w:ascii="Times New Roman" w:hAnsi="Times New Roman" w:cs="Times New Roman"/>
          <w:bCs/>
          <w:szCs w:val="32"/>
          <w:highlight w:val="none"/>
        </w:rPr>
        <w:t>县域内首诊率、基层诊疗量占比分别稳定在90%和65%以上，</w:t>
      </w:r>
      <w:r>
        <w:rPr>
          <w:rFonts w:hint="default" w:ascii="Times New Roman" w:hAnsi="Times New Roman" w:cs="Times New Roman"/>
          <w:szCs w:val="32"/>
          <w:highlight w:val="none"/>
        </w:rPr>
        <w:t>县域住院率稳步提升。依托自然生态、农产品、中草药等资源优势，抢抓与国药集团合作机遇，推动国药大健康公司落地，策划一批新合作亮点，打造全链条医药健康产业。</w:t>
      </w:r>
    </w:p>
    <w:p w14:paraId="6045B74A">
      <w:pPr>
        <w:pStyle w:val="4"/>
        <w:ind w:firstLine="640"/>
        <w:rPr>
          <w:rFonts w:hint="default" w:ascii="Times New Roman" w:hAnsi="Times New Roman" w:cs="Times New Roman"/>
          <w:highlight w:val="none"/>
        </w:rPr>
      </w:pPr>
      <w:bookmarkStart w:id="191" w:name="_Toc23978"/>
      <w:r>
        <w:rPr>
          <w:rFonts w:hint="default" w:ascii="Times New Roman" w:hAnsi="Times New Roman" w:cs="Times New Roman"/>
          <w:highlight w:val="none"/>
        </w:rPr>
        <w:t>2.推动医疗服务高质量发展</w:t>
      </w:r>
      <w:bookmarkEnd w:id="191"/>
    </w:p>
    <w:p w14:paraId="2194542F">
      <w:pPr>
        <w:spacing w:line="560" w:lineRule="exact"/>
        <w:ind w:firstLine="640"/>
        <w:rPr>
          <w:rFonts w:hint="default" w:ascii="Times New Roman" w:hAnsi="Times New Roman" w:cs="Times New Roman"/>
          <w:szCs w:val="40"/>
          <w:highlight w:val="none"/>
        </w:rPr>
      </w:pPr>
      <w:r>
        <w:rPr>
          <w:rFonts w:hint="default" w:ascii="Times New Roman" w:hAnsi="Times New Roman" w:cs="Times New Roman"/>
          <w:kern w:val="0"/>
          <w:szCs w:val="32"/>
          <w:highlight w:val="none"/>
        </w:rPr>
        <w:t>强化县级医院龙头作用，</w:t>
      </w:r>
      <w:r>
        <w:rPr>
          <w:rFonts w:hint="default" w:ascii="Times New Roman" w:hAnsi="Times New Roman" w:cs="Times New Roman"/>
          <w:szCs w:val="32"/>
          <w:highlight w:val="none"/>
        </w:rPr>
        <w:t>持续完善县人民医院周边配套支撑，推动“五大中心”和县中医医院“两专科一中心”建设，全面加强临床专科能力，不断创新专病诊疗模式，</w:t>
      </w:r>
      <w:r>
        <w:rPr>
          <w:rFonts w:hint="default" w:ascii="Times New Roman" w:hAnsi="Times New Roman" w:cs="Times New Roman"/>
          <w:bCs/>
          <w:szCs w:val="32"/>
          <w:highlight w:val="none"/>
        </w:rPr>
        <w:t>培育1个省级临床重点专科</w:t>
      </w:r>
      <w:r>
        <w:rPr>
          <w:rFonts w:hint="default" w:ascii="Times New Roman" w:hAnsi="Times New Roman" w:cs="Times New Roman"/>
          <w:bCs/>
          <w:szCs w:val="32"/>
          <w:highlight w:val="none"/>
          <w:lang w:eastAsia="zh-CN"/>
        </w:rPr>
        <w:t>、</w:t>
      </w:r>
      <w:r>
        <w:rPr>
          <w:rFonts w:hint="default" w:ascii="Times New Roman" w:hAnsi="Times New Roman" w:cs="Times New Roman"/>
          <w:bCs/>
          <w:szCs w:val="32"/>
          <w:highlight w:val="none"/>
        </w:rPr>
        <w:t>3个市级临床重点专科，</w:t>
      </w:r>
      <w:r>
        <w:rPr>
          <w:rFonts w:hint="default" w:ascii="Times New Roman" w:hAnsi="Times New Roman" w:cs="Times New Roman"/>
          <w:bCs/>
          <w:szCs w:val="32"/>
          <w:highlight w:val="none"/>
          <w:lang w:val="en-US" w:eastAsia="zh-CN"/>
        </w:rPr>
        <w:t>市级</w:t>
      </w:r>
      <w:r>
        <w:rPr>
          <w:rFonts w:hint="default" w:ascii="Times New Roman" w:hAnsi="Times New Roman" w:cs="Times New Roman"/>
          <w:bCs/>
          <w:szCs w:val="32"/>
          <w:highlight w:val="none"/>
        </w:rPr>
        <w:t>区域医疗中心建设取得阶段性成效。</w:t>
      </w:r>
      <w:r>
        <w:rPr>
          <w:rFonts w:hint="default" w:ascii="Times New Roman" w:hAnsi="Times New Roman" w:cs="Times New Roman"/>
          <w:kern w:val="0"/>
          <w:szCs w:val="32"/>
          <w:highlight w:val="none"/>
        </w:rPr>
        <w:t>提升医疗安全和急救水平，加强用血保障，</w:t>
      </w:r>
      <w:r>
        <w:rPr>
          <w:rFonts w:hint="default" w:ascii="Times New Roman" w:hAnsi="Times New Roman" w:cs="Times New Roman"/>
          <w:szCs w:val="32"/>
          <w:highlight w:val="none"/>
        </w:rPr>
        <w:t>规范提升7处急救站点，推动社会化急救网格建设</w:t>
      </w:r>
      <w:r>
        <w:rPr>
          <w:rFonts w:hint="default" w:ascii="Times New Roman" w:hAnsi="Times New Roman" w:cs="Times New Roman"/>
          <w:bCs/>
          <w:szCs w:val="32"/>
          <w:highlight w:val="none"/>
        </w:rPr>
        <w:t>。加大人才建设力度，落实以需定招，统筹加强全科医生培养，麻醉、儿科、精神科等紧缺专业人才配备基本满足需求，</w:t>
      </w:r>
      <w:r>
        <w:rPr>
          <w:rFonts w:hint="default" w:ascii="Times New Roman" w:hAnsi="Times New Roman" w:cs="Times New Roman"/>
          <w:bCs/>
          <w:szCs w:val="32"/>
          <w:highlight w:val="none"/>
          <w:lang w:val="en-US" w:eastAsia="zh-CN"/>
        </w:rPr>
        <w:t>力争</w:t>
      </w:r>
      <w:r>
        <w:rPr>
          <w:rFonts w:hint="default" w:ascii="Times New Roman" w:hAnsi="Times New Roman" w:cs="Times New Roman"/>
          <w:bCs/>
          <w:szCs w:val="32"/>
          <w:highlight w:val="none"/>
        </w:rPr>
        <w:t>全县本科及以上卫生人才占比提升至80%以上。</w:t>
      </w:r>
      <w:r>
        <w:rPr>
          <w:rFonts w:hint="default" w:ascii="Times New Roman" w:hAnsi="Times New Roman" w:cs="Times New Roman"/>
          <w:szCs w:val="32"/>
          <w:highlight w:val="none"/>
        </w:rPr>
        <w:t>持续</w:t>
      </w:r>
      <w:r>
        <w:rPr>
          <w:rFonts w:hint="default" w:ascii="Times New Roman" w:hAnsi="Times New Roman" w:cs="Times New Roman"/>
          <w:szCs w:val="32"/>
          <w:highlight w:val="none"/>
          <w:lang w:val="en-US" w:eastAsia="zh-CN"/>
        </w:rPr>
        <w:t>推进</w:t>
      </w:r>
      <w:r>
        <w:rPr>
          <w:rFonts w:hint="default" w:ascii="Times New Roman" w:hAnsi="Times New Roman" w:cs="Times New Roman"/>
          <w:bCs/>
          <w:szCs w:val="32"/>
          <w:highlight w:val="none"/>
        </w:rPr>
        <w:t>医疗机构信息化建设</w:t>
      </w:r>
      <w:r>
        <w:rPr>
          <w:rFonts w:hint="default" w:ascii="Times New Roman" w:hAnsi="Times New Roman" w:cs="Times New Roman"/>
          <w:szCs w:val="32"/>
          <w:highlight w:val="none"/>
        </w:rPr>
        <w:t>，</w:t>
      </w:r>
      <w:r>
        <w:rPr>
          <w:rFonts w:hint="default" w:ascii="Times New Roman" w:hAnsi="Times New Roman" w:cs="Times New Roman"/>
          <w:szCs w:val="32"/>
          <w:highlight w:val="none"/>
          <w:lang w:val="en-US" w:eastAsia="zh-CN"/>
        </w:rPr>
        <w:t>力争</w:t>
      </w:r>
      <w:r>
        <w:rPr>
          <w:rFonts w:hint="default" w:ascii="Times New Roman" w:hAnsi="Times New Roman" w:cs="Times New Roman"/>
          <w:szCs w:val="40"/>
          <w:highlight w:val="none"/>
        </w:rPr>
        <w:t>二级</w:t>
      </w:r>
      <w:r>
        <w:rPr>
          <w:rFonts w:hint="default" w:ascii="Times New Roman" w:hAnsi="Times New Roman" w:cs="Times New Roman"/>
          <w:szCs w:val="40"/>
          <w:highlight w:val="none"/>
          <w:lang w:val="en-US" w:eastAsia="zh-CN"/>
        </w:rPr>
        <w:t>及以上医院</w:t>
      </w:r>
      <w:r>
        <w:rPr>
          <w:rFonts w:hint="default" w:ascii="Times New Roman" w:hAnsi="Times New Roman" w:cs="Times New Roman"/>
          <w:szCs w:val="40"/>
          <w:highlight w:val="none"/>
        </w:rPr>
        <w:t>电子病历评级全部达到4级。</w:t>
      </w:r>
    </w:p>
    <w:p w14:paraId="72269427">
      <w:pPr>
        <w:pStyle w:val="4"/>
        <w:ind w:firstLine="640"/>
        <w:rPr>
          <w:rFonts w:hint="default" w:ascii="Times New Roman" w:hAnsi="Times New Roman" w:cs="Times New Roman"/>
          <w:highlight w:val="none"/>
        </w:rPr>
      </w:pPr>
      <w:bookmarkStart w:id="192" w:name="_Toc30621"/>
      <w:r>
        <w:rPr>
          <w:rFonts w:hint="default" w:ascii="Times New Roman" w:hAnsi="Times New Roman" w:cs="Times New Roman"/>
          <w:highlight w:val="none"/>
        </w:rPr>
        <w:t>3.完善公共卫生服务体系</w:t>
      </w:r>
      <w:bookmarkEnd w:id="192"/>
    </w:p>
    <w:p w14:paraId="394C012F">
      <w:pPr>
        <w:spacing w:line="560" w:lineRule="exact"/>
        <w:ind w:firstLine="640"/>
        <w:rPr>
          <w:rFonts w:hint="default" w:ascii="Times New Roman" w:hAnsi="Times New Roman" w:cs="Times New Roman"/>
          <w:szCs w:val="32"/>
          <w:highlight w:val="none"/>
        </w:rPr>
      </w:pPr>
      <w:r>
        <w:rPr>
          <w:rFonts w:hint="default" w:ascii="Times New Roman" w:hAnsi="Times New Roman" w:cs="Times New Roman"/>
          <w:szCs w:val="32"/>
          <w:highlight w:val="none"/>
        </w:rPr>
        <w:t>提升镇卫生院、社区卫生服务中心卫生服务水平，筑牢从基层网底到重大疾病防控的全民健康屏障。</w:t>
      </w:r>
      <w:r>
        <w:rPr>
          <w:rFonts w:hint="default" w:ascii="Times New Roman" w:hAnsi="Times New Roman" w:cs="Times New Roman"/>
          <w:kern w:val="0"/>
          <w:szCs w:val="32"/>
          <w:highlight w:val="none"/>
        </w:rPr>
        <w:t>完善疾控体系，</w:t>
      </w:r>
      <w:r>
        <w:rPr>
          <w:rFonts w:hint="default" w:ascii="Times New Roman" w:hAnsi="Times New Roman" w:cs="Times New Roman"/>
          <w:szCs w:val="32"/>
          <w:highlight w:val="none"/>
        </w:rPr>
        <w:t>强化联防联控工作机制，压实属地、部门、单位、个人“四方责任”。加强传染病防控，坚持综合防控、多病共防，提升监测预警和应急处置能力，加强传染病的综合防治与源头治理，减少人群发病。</w:t>
      </w:r>
      <w:r>
        <w:rPr>
          <w:rFonts w:hint="default" w:ascii="Times New Roman" w:hAnsi="Times New Roman" w:cs="Times New Roman"/>
          <w:kern w:val="0"/>
          <w:szCs w:val="32"/>
          <w:highlight w:val="none"/>
        </w:rPr>
        <w:t>提升卫生监督执法水平，</w:t>
      </w:r>
      <w:r>
        <w:rPr>
          <w:rFonts w:hint="default" w:ascii="Times New Roman" w:hAnsi="Times New Roman" w:cs="Times New Roman"/>
          <w:szCs w:val="32"/>
          <w:highlight w:val="none"/>
        </w:rPr>
        <w:t>持续强化卫生监督执法能力，建立权责明确、程序规范、执行有力的卫生监督体系。强化职业健康保护，加强重点行业领域职业病危害源头治理，推动职业病危害项目申报率达到95%以上，职业卫生“三同时”落实率达到90%以上。</w:t>
      </w:r>
    </w:p>
    <w:p w14:paraId="3E4CAFD7">
      <w:pPr>
        <w:pStyle w:val="4"/>
        <w:ind w:firstLine="640"/>
        <w:rPr>
          <w:rFonts w:hint="default" w:ascii="Times New Roman" w:hAnsi="Times New Roman" w:eastAsia="楷体_GB2312" w:cs="Times New Roman"/>
          <w:spacing w:val="6"/>
          <w:highlight w:val="none"/>
          <w:lang w:val="en-US" w:eastAsia="zh-CN"/>
        </w:rPr>
      </w:pPr>
      <w:bookmarkStart w:id="193" w:name="_Toc12115"/>
      <w:r>
        <w:rPr>
          <w:rFonts w:hint="default" w:ascii="Times New Roman" w:hAnsi="Times New Roman" w:cs="Times New Roman"/>
          <w:spacing w:val="6"/>
          <w:highlight w:val="none"/>
        </w:rPr>
        <w:t>4.全方位</w:t>
      </w:r>
      <w:bookmarkEnd w:id="193"/>
      <w:r>
        <w:rPr>
          <w:rFonts w:hint="default" w:ascii="Times New Roman" w:hAnsi="Times New Roman" w:cs="Times New Roman"/>
          <w:spacing w:val="6"/>
          <w:highlight w:val="none"/>
          <w:lang w:val="en-US" w:eastAsia="zh-CN"/>
        </w:rPr>
        <w:t>提升居民健康水平</w:t>
      </w:r>
    </w:p>
    <w:p w14:paraId="6DB567CE">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default" w:ascii="Times New Roman" w:hAnsi="Times New Roman" w:cs="Times New Roman"/>
          <w:spacing w:val="6"/>
          <w:kern w:val="0"/>
          <w:szCs w:val="32"/>
          <w:highlight w:val="none"/>
        </w:rPr>
      </w:pPr>
      <w:r>
        <w:rPr>
          <w:rFonts w:hint="default" w:ascii="Times New Roman" w:hAnsi="Times New Roman" w:cs="Times New Roman"/>
          <w:spacing w:val="6"/>
          <w:szCs w:val="32"/>
          <w:highlight w:val="none"/>
        </w:rPr>
        <w:t>深入开展爱国卫生运动和全民健康行动，积极创建国家健康城镇。推动健康知识普及，充分调动媒体、社会参与健康知识普及的积极性，增加优质健康知识供给。强化慢性病预防管理，实施“一二三四”慢性病综合防控策略，持续提升居民慢性病</w:t>
      </w:r>
      <w:r>
        <w:rPr>
          <w:rFonts w:hint="default" w:ascii="Times New Roman" w:hAnsi="Times New Roman" w:cs="Times New Roman"/>
          <w:spacing w:val="6"/>
          <w:szCs w:val="32"/>
          <w:highlight w:val="none"/>
          <w:lang w:val="en-US" w:eastAsia="zh-CN"/>
        </w:rPr>
        <w:t>防治</w:t>
      </w:r>
      <w:r>
        <w:rPr>
          <w:rFonts w:hint="default" w:ascii="Times New Roman" w:hAnsi="Times New Roman" w:cs="Times New Roman"/>
          <w:spacing w:val="6"/>
          <w:szCs w:val="32"/>
          <w:highlight w:val="none"/>
        </w:rPr>
        <w:t>素养。</w:t>
      </w:r>
      <w:r>
        <w:rPr>
          <w:rFonts w:hint="default" w:ascii="Times New Roman" w:hAnsi="Times New Roman" w:cs="Times New Roman"/>
          <w:spacing w:val="6"/>
          <w:kern w:val="0"/>
          <w:szCs w:val="32"/>
          <w:highlight w:val="none"/>
        </w:rPr>
        <w:t>优化“三高共管 六病同防”医防融合服务，全力保障基本公共卫生服务公平可及，丰富家庭医生签约服务内涵。</w:t>
      </w:r>
      <w:r>
        <w:rPr>
          <w:rFonts w:hint="default" w:ascii="Times New Roman" w:hAnsi="Times New Roman" w:cs="Times New Roman"/>
          <w:spacing w:val="6"/>
          <w:szCs w:val="32"/>
          <w:highlight w:val="none"/>
        </w:rPr>
        <w:t>健全社会心理服务体系，</w:t>
      </w:r>
      <w:r>
        <w:rPr>
          <w:rFonts w:hint="default" w:ascii="Times New Roman" w:hAnsi="Times New Roman" w:cs="Times New Roman"/>
          <w:spacing w:val="6"/>
          <w:szCs w:val="32"/>
          <w:highlight w:val="none"/>
          <w:lang w:val="en-US" w:eastAsia="zh-CN"/>
        </w:rPr>
        <w:t>加强</w:t>
      </w:r>
      <w:r>
        <w:rPr>
          <w:rFonts w:hint="default" w:ascii="Times New Roman" w:hAnsi="Times New Roman" w:cs="Times New Roman"/>
          <w:spacing w:val="6"/>
          <w:szCs w:val="32"/>
          <w:highlight w:val="none"/>
        </w:rPr>
        <w:t>心理危机干预，推进严重精神障碍患者多渠道管理服务。</w:t>
      </w:r>
      <w:r>
        <w:rPr>
          <w:rFonts w:hint="default" w:ascii="Times New Roman" w:hAnsi="Times New Roman" w:cs="Times New Roman"/>
          <w:bCs/>
          <w:spacing w:val="6"/>
          <w:szCs w:val="32"/>
          <w:highlight w:val="none"/>
        </w:rPr>
        <w:t>“十五五”期间</w:t>
      </w:r>
      <w:r>
        <w:rPr>
          <w:rFonts w:hint="default" w:ascii="Times New Roman" w:hAnsi="Times New Roman" w:cs="Times New Roman"/>
          <w:spacing w:val="6"/>
          <w:szCs w:val="32"/>
          <w:highlight w:val="none"/>
        </w:rPr>
        <w:t>，居民健康素养水平每年提升2个百分点</w:t>
      </w:r>
      <w:r>
        <w:rPr>
          <w:rFonts w:hint="default" w:ascii="Times New Roman" w:hAnsi="Times New Roman" w:cs="Times New Roman"/>
          <w:bCs/>
          <w:spacing w:val="6"/>
          <w:szCs w:val="32"/>
          <w:highlight w:val="none"/>
        </w:rPr>
        <w:t>，</w:t>
      </w:r>
      <w:r>
        <w:rPr>
          <w:rFonts w:hint="default" w:ascii="Times New Roman" w:hAnsi="Times New Roman" w:cs="Times New Roman"/>
          <w:spacing w:val="6"/>
          <w:kern w:val="0"/>
          <w:szCs w:val="32"/>
          <w:highlight w:val="none"/>
        </w:rPr>
        <w:t>全人群和重点人群家庭医生总体签约率每年提升1—3个百分点。</w:t>
      </w:r>
    </w:p>
    <w:p w14:paraId="3AEE54F4">
      <w:pPr>
        <w:pStyle w:val="3"/>
        <w:keepNext/>
        <w:keepLines/>
        <w:pageBreakBefore w:val="0"/>
        <w:widowControl w:val="0"/>
        <w:kinsoku/>
        <w:wordWrap/>
        <w:overflowPunct/>
        <w:topLinePunct w:val="0"/>
        <w:autoSpaceDE/>
        <w:autoSpaceDN/>
        <w:bidi w:val="0"/>
        <w:adjustRightInd/>
        <w:snapToGrid/>
        <w:spacing w:before="156" w:after="156" w:line="660" w:lineRule="exact"/>
        <w:textAlignment w:val="auto"/>
        <w:rPr>
          <w:rFonts w:hint="default" w:ascii="Times New Roman" w:hAnsi="Times New Roman" w:cs="Times New Roman"/>
          <w:spacing w:val="6"/>
          <w:sz w:val="32"/>
          <w:szCs w:val="22"/>
          <w:highlight w:val="none"/>
        </w:rPr>
      </w:pPr>
      <w:bookmarkStart w:id="194" w:name="_Toc8050"/>
      <w:r>
        <w:rPr>
          <w:rFonts w:hint="default" w:ascii="Times New Roman" w:hAnsi="Times New Roman" w:cs="Times New Roman"/>
          <w:spacing w:val="6"/>
          <w:sz w:val="32"/>
          <w:szCs w:val="22"/>
          <w:highlight w:val="none"/>
        </w:rPr>
        <w:t>第四节  织密扎牢社会保障体系</w:t>
      </w:r>
      <w:bookmarkEnd w:id="188"/>
      <w:bookmarkEnd w:id="189"/>
      <w:bookmarkEnd w:id="194"/>
    </w:p>
    <w:p w14:paraId="377B4A69">
      <w:pPr>
        <w:pStyle w:val="4"/>
        <w:ind w:firstLine="640"/>
        <w:rPr>
          <w:rFonts w:hint="default" w:ascii="Times New Roman" w:hAnsi="Times New Roman" w:cs="Times New Roman"/>
          <w:spacing w:val="6"/>
          <w:highlight w:val="none"/>
        </w:rPr>
      </w:pPr>
      <w:bookmarkStart w:id="195" w:name="_Toc20854_WPSOffice_Level3"/>
      <w:bookmarkStart w:id="196" w:name="_Toc23925"/>
      <w:r>
        <w:rPr>
          <w:rFonts w:hint="default" w:ascii="Times New Roman" w:hAnsi="Times New Roman" w:cs="Times New Roman"/>
          <w:spacing w:val="6"/>
          <w:highlight w:val="none"/>
        </w:rPr>
        <w:t>1.健全基本社会保险制度</w:t>
      </w:r>
      <w:bookmarkEnd w:id="195"/>
      <w:bookmarkEnd w:id="196"/>
    </w:p>
    <w:p w14:paraId="345E0F30">
      <w:pPr>
        <w:spacing w:line="560" w:lineRule="exact"/>
        <w:ind w:firstLine="620"/>
        <w:rPr>
          <w:rFonts w:hint="default" w:ascii="Times New Roman" w:hAnsi="Times New Roman" w:cs="Times New Roman"/>
          <w:spacing w:val="6"/>
          <w:highlight w:val="none"/>
        </w:rPr>
      </w:pPr>
      <w:r>
        <w:rPr>
          <w:rFonts w:hint="default" w:ascii="Times New Roman" w:hAnsi="Times New Roman" w:cs="Times New Roman"/>
          <w:color w:val="000000"/>
          <w:spacing w:val="6"/>
          <w:kern w:val="0"/>
          <w:sz w:val="31"/>
          <w:szCs w:val="31"/>
          <w:highlight w:val="none"/>
        </w:rPr>
        <w:t>通过打造“社银合作一站式服务点”、试点新业态职业伤害保障、创新“社保服务银龄通”无感认证、建立“人社服务银行”企业账户、构建智慧服务平台等举措，构建线上线下融合的社保服务新生态。深入实施全民参保计划，扎实开展“社保政策进万家”专项行动，充分调动县镇村三级社保工作力量，引导各类从业人员和农村居民积极参加社会保险，努力实现“应保尽保”。</w:t>
      </w:r>
      <w:r>
        <w:rPr>
          <w:rFonts w:hint="default" w:ascii="Times New Roman" w:hAnsi="Times New Roman" w:cs="Times New Roman"/>
          <w:color w:val="000000"/>
          <w:spacing w:val="6"/>
          <w:szCs w:val="32"/>
          <w:highlight w:val="none"/>
        </w:rPr>
        <w:t>全面推进机关事业单位养老保险制度改革，落实养老保险关系转移接续政策，鼓励城乡居民养老保险参保人员选择较高缴费档次。逐步提高城乡居民基本养老保险基础养老金水平，落实职工养老保险个人账户制度，发挥多缴多得激励机制作用。</w:t>
      </w:r>
      <w:r>
        <w:rPr>
          <w:rFonts w:hint="default" w:ascii="Times New Roman" w:hAnsi="Times New Roman" w:cs="Times New Roman"/>
          <w:color w:val="000000"/>
          <w:spacing w:val="6"/>
          <w:szCs w:val="32"/>
          <w:highlight w:val="none"/>
          <w:lang w:val="en-US" w:eastAsia="zh-CN"/>
        </w:rPr>
        <w:t>落实医保支付方式改革，加强基层医疗机构运行保障。</w:t>
      </w:r>
      <w:r>
        <w:rPr>
          <w:rFonts w:hint="default" w:ascii="Times New Roman" w:hAnsi="Times New Roman" w:cs="Times New Roman"/>
          <w:color w:val="000000"/>
          <w:spacing w:val="6"/>
          <w:kern w:val="0"/>
          <w:sz w:val="31"/>
          <w:szCs w:val="31"/>
          <w:highlight w:val="none"/>
        </w:rPr>
        <w:t>全面实施“沂源红”乡村公益医疗互助制度。</w:t>
      </w:r>
      <w:r>
        <w:rPr>
          <w:rFonts w:hint="default" w:ascii="Times New Roman" w:hAnsi="Times New Roman" w:cs="Times New Roman"/>
          <w:color w:val="000000"/>
          <w:spacing w:val="6"/>
          <w:szCs w:val="32"/>
          <w:highlight w:val="none"/>
        </w:rPr>
        <w:t>健全灵活就业者、新业态从业者分类参保标准，建立高危行业强制参保与联合执法机制</w:t>
      </w:r>
      <w:r>
        <w:rPr>
          <w:rFonts w:hint="default" w:ascii="Times New Roman" w:hAnsi="Times New Roman" w:cs="Times New Roman"/>
          <w:spacing w:val="6"/>
          <w:highlight w:val="none"/>
        </w:rPr>
        <w:t>。做好日常征缴和精细服务工作，</w:t>
      </w:r>
      <w:r>
        <w:rPr>
          <w:rFonts w:hint="default" w:ascii="Times New Roman" w:hAnsi="Times New Roman" w:cs="Times New Roman"/>
          <w:color w:val="000000"/>
          <w:spacing w:val="6"/>
          <w:szCs w:val="32"/>
          <w:highlight w:val="none"/>
        </w:rPr>
        <w:t>拓展“15分钟社保服务圈”，</w:t>
      </w:r>
      <w:r>
        <w:rPr>
          <w:rFonts w:hint="default" w:ascii="Times New Roman" w:hAnsi="Times New Roman" w:cs="Times New Roman"/>
          <w:spacing w:val="6"/>
          <w:highlight w:val="none"/>
        </w:rPr>
        <w:t>建立健全社保费征缴争议调解处置中心，促进争议诉求“一站式”解决。</w:t>
      </w:r>
    </w:p>
    <w:p w14:paraId="11C790C1">
      <w:pPr>
        <w:pStyle w:val="4"/>
        <w:ind w:firstLine="640"/>
        <w:rPr>
          <w:rFonts w:hint="default" w:ascii="Times New Roman" w:hAnsi="Times New Roman" w:cs="Times New Roman"/>
          <w:spacing w:val="6"/>
          <w:highlight w:val="none"/>
        </w:rPr>
      </w:pPr>
      <w:bookmarkStart w:id="197" w:name="_Toc20098_WPSOffice_Level3"/>
      <w:r>
        <w:rPr>
          <w:rFonts w:hint="default" w:ascii="Times New Roman" w:hAnsi="Times New Roman" w:cs="Times New Roman"/>
          <w:spacing w:val="6"/>
          <w:highlight w:val="none"/>
        </w:rPr>
        <w:t>2.健全分层分类社会救助体系</w:t>
      </w:r>
      <w:bookmarkEnd w:id="197"/>
    </w:p>
    <w:p w14:paraId="2B8D8573">
      <w:pPr>
        <w:spacing w:line="560" w:lineRule="exact"/>
        <w:ind w:firstLine="640"/>
        <w:rPr>
          <w:rFonts w:hint="default" w:ascii="Times New Roman" w:hAnsi="Times New Roman" w:cs="Times New Roman"/>
          <w:spacing w:val="6"/>
          <w:highlight w:val="none"/>
        </w:rPr>
      </w:pPr>
      <w:r>
        <w:rPr>
          <w:rFonts w:hint="default" w:ascii="Times New Roman" w:hAnsi="Times New Roman" w:cs="Times New Roman"/>
          <w:spacing w:val="6"/>
          <w:highlight w:val="none"/>
        </w:rPr>
        <w:t>构建多层级社会救助网络，完善动态化、可持续帮扶制度，实施低保提标扩面。持续推进“沂源红”特色社会救助服务品牌</w:t>
      </w:r>
      <w:bookmarkStart w:id="198" w:name="OfficeAI_Add_5_54"/>
      <w:r>
        <w:rPr>
          <w:rFonts w:hint="default" w:ascii="Times New Roman" w:hAnsi="Times New Roman" w:cs="Times New Roman"/>
          <w:spacing w:val="6"/>
          <w:highlight w:val="none"/>
        </w:rPr>
        <w:t>建设</w:t>
      </w:r>
      <w:bookmarkEnd w:id="198"/>
      <w:r>
        <w:rPr>
          <w:rFonts w:hint="default" w:ascii="Times New Roman" w:hAnsi="Times New Roman" w:cs="Times New Roman"/>
          <w:spacing w:val="6"/>
          <w:highlight w:val="none"/>
        </w:rPr>
        <w:t>，</w:t>
      </w:r>
      <w:r>
        <w:rPr>
          <w:rFonts w:hint="default" w:ascii="Times New Roman" w:hAnsi="Times New Roman" w:cs="Times New Roman"/>
          <w:spacing w:val="6"/>
          <w:highlight w:val="none"/>
          <w:lang w:val="en-US" w:eastAsia="zh-CN"/>
        </w:rPr>
        <w:t>完善社会救助</w:t>
      </w:r>
      <w:r>
        <w:rPr>
          <w:rFonts w:hint="default" w:ascii="Times New Roman" w:hAnsi="Times New Roman" w:cs="Times New Roman"/>
          <w:spacing w:val="6"/>
          <w:highlight w:val="none"/>
        </w:rPr>
        <w:t>基础保障</w:t>
      </w:r>
      <w:r>
        <w:rPr>
          <w:rFonts w:hint="default" w:ascii="Times New Roman" w:hAnsi="Times New Roman" w:cs="Times New Roman"/>
          <w:spacing w:val="6"/>
          <w:highlight w:val="none"/>
          <w:lang w:val="en-US" w:eastAsia="zh-CN"/>
        </w:rPr>
        <w:t>网络</w:t>
      </w:r>
      <w:r>
        <w:rPr>
          <w:rFonts w:hint="default" w:ascii="Times New Roman" w:hAnsi="Times New Roman" w:cs="Times New Roman"/>
          <w:spacing w:val="6"/>
          <w:highlight w:val="none"/>
        </w:rPr>
        <w:t>。通过数据智能分析与实地核查，</w:t>
      </w:r>
      <w:r>
        <w:rPr>
          <w:rFonts w:hint="default" w:ascii="Times New Roman" w:hAnsi="Times New Roman" w:cs="Times New Roman"/>
          <w:color w:val="auto"/>
          <w:spacing w:val="6"/>
          <w:highlight w:val="none"/>
        </w:rPr>
        <w:t>建立救助对象主动识别</w:t>
      </w:r>
      <w:r>
        <w:rPr>
          <w:rFonts w:hint="eastAsia" w:ascii="Times New Roman" w:hAnsi="Times New Roman" w:cs="Times New Roman"/>
          <w:color w:val="auto"/>
          <w:spacing w:val="6"/>
          <w:highlight w:val="none"/>
          <w:lang w:eastAsia="zh-CN"/>
        </w:rPr>
        <w:t>和</w:t>
      </w:r>
      <w:r>
        <w:rPr>
          <w:rFonts w:hint="default" w:ascii="Times New Roman" w:hAnsi="Times New Roman" w:cs="Times New Roman"/>
          <w:color w:val="auto"/>
          <w:spacing w:val="6"/>
          <w:highlight w:val="none"/>
        </w:rPr>
        <w:t>救助需求快速响应工作机制</w:t>
      </w:r>
      <w:r>
        <w:rPr>
          <w:rFonts w:hint="eastAsia" w:ascii="Times New Roman" w:hAnsi="Times New Roman" w:cs="Times New Roman"/>
          <w:color w:val="auto"/>
          <w:spacing w:val="6"/>
          <w:highlight w:val="none"/>
          <w:lang w:eastAsia="zh-CN"/>
        </w:rPr>
        <w:t>，</w:t>
      </w:r>
      <w:r>
        <w:rPr>
          <w:rFonts w:hint="default" w:ascii="Times New Roman" w:hAnsi="Times New Roman" w:cs="Times New Roman"/>
          <w:spacing w:val="6"/>
          <w:highlight w:val="none"/>
        </w:rPr>
        <w:t>确保救助资金及时足额发放。深化街头救助服务，建立流浪救助县镇村三级联动机制，完善常态化巡查机制，加强源头干预和照料支持，助力流浪人员重返社会。完善困境儿童全链条保障体系，强化孤儿、困境儿童基本生活兜底保障和关爱帮扶。建立健全困境妇女关爱服务体系，持续改善困境妇女生活质量和心理状态。健全残疾人保障和服务体系，做好重度残疾人护理补贴、困难残疾人生活补贴发放工作，促进残疾人全面发展。完善精神障碍患者常态化走访、健康教育、慰问帮扶工作机制</w:t>
      </w:r>
      <w:r>
        <w:rPr>
          <w:rFonts w:hint="default" w:ascii="Times New Roman" w:hAnsi="Times New Roman" w:cs="Times New Roman"/>
          <w:spacing w:val="6"/>
          <w:highlight w:val="none"/>
          <w:lang w:eastAsia="zh-CN"/>
        </w:rPr>
        <w:t>，</w:t>
      </w:r>
      <w:r>
        <w:rPr>
          <w:rFonts w:hint="default" w:ascii="Times New Roman" w:hAnsi="Times New Roman" w:cs="Times New Roman"/>
          <w:spacing w:val="6"/>
          <w:highlight w:val="none"/>
        </w:rPr>
        <w:t>加强对</w:t>
      </w:r>
      <w:r>
        <w:rPr>
          <w:rFonts w:hint="default" w:ascii="Times New Roman" w:hAnsi="Times New Roman" w:cs="Times New Roman"/>
          <w:spacing w:val="6"/>
          <w:highlight w:val="none"/>
          <w:lang w:val="en-US" w:eastAsia="zh-CN"/>
        </w:rPr>
        <w:t>患者</w:t>
      </w:r>
      <w:r>
        <w:rPr>
          <w:rFonts w:hint="default" w:ascii="Times New Roman" w:hAnsi="Times New Roman" w:cs="Times New Roman"/>
          <w:spacing w:val="6"/>
          <w:highlight w:val="none"/>
        </w:rPr>
        <w:t>的关爱管护和救治救助。严格落实退役军人优抚安置政策，</w:t>
      </w:r>
      <w:r>
        <w:rPr>
          <w:rFonts w:hint="default" w:ascii="Times New Roman" w:hAnsi="Times New Roman" w:cs="Times New Roman"/>
          <w:spacing w:val="6"/>
          <w:highlight w:val="none"/>
          <w:lang w:val="en-US" w:eastAsia="zh-CN"/>
        </w:rPr>
        <w:t>加强</w:t>
      </w:r>
      <w:r>
        <w:rPr>
          <w:rFonts w:hint="default" w:ascii="Times New Roman" w:hAnsi="Times New Roman" w:cs="Times New Roman"/>
          <w:spacing w:val="6"/>
          <w:highlight w:val="none"/>
        </w:rPr>
        <w:t>退役军人全生命周期管理保障，完善优抚对象动态调整机制，力争蝉联全国双拥模范县。突破医保信息系统壁垒，实现救助对象跨参保类型、跨区域无障碍救助，在定点医疗机构推行“一站式”结算服务，精准落实困难群体医疗保障。通过制度创新和技术赋能，建立“年度复核+季度抽查+大数据监测+档案管理”四位一体监管机制，全面提升社会救助的时效性和精准度。</w:t>
      </w:r>
    </w:p>
    <w:p w14:paraId="1C35CF5D">
      <w:pPr>
        <w:pStyle w:val="4"/>
        <w:ind w:firstLine="640"/>
        <w:rPr>
          <w:rFonts w:hint="default" w:ascii="Times New Roman" w:hAnsi="Times New Roman" w:cs="Times New Roman"/>
          <w:spacing w:val="6"/>
          <w:highlight w:val="none"/>
        </w:rPr>
      </w:pPr>
      <w:bookmarkStart w:id="199" w:name="_Toc30189"/>
      <w:bookmarkStart w:id="200" w:name="_Toc30019_WPSOffice_Level3"/>
      <w:r>
        <w:rPr>
          <w:rFonts w:hint="default" w:ascii="Times New Roman" w:hAnsi="Times New Roman" w:cs="Times New Roman"/>
          <w:spacing w:val="6"/>
          <w:highlight w:val="none"/>
        </w:rPr>
        <w:t>3.构建新型住房保障体系</w:t>
      </w:r>
      <w:bookmarkEnd w:id="199"/>
      <w:bookmarkEnd w:id="200"/>
    </w:p>
    <w:p w14:paraId="005FA477">
      <w:pPr>
        <w:spacing w:line="560" w:lineRule="exact"/>
        <w:ind w:firstLine="640"/>
        <w:rPr>
          <w:rFonts w:hint="default" w:ascii="Times New Roman" w:hAnsi="Times New Roman" w:cs="Times New Roman"/>
          <w:spacing w:val="6"/>
          <w:highlight w:val="none"/>
        </w:rPr>
      </w:pPr>
      <w:r>
        <w:rPr>
          <w:rFonts w:hint="default" w:ascii="Times New Roman" w:hAnsi="Times New Roman" w:cs="Times New Roman"/>
          <w:spacing w:val="6"/>
          <w:highlight w:val="none"/>
        </w:rPr>
        <w:t>积极探索构建以公租房、保障性租赁住房和配售型保障性住房为主体的新型住房保障体系，重点面向城镇住房困难家庭和新市民、青年人等群体，通过盘活存量、适度新建等方式，</w:t>
      </w:r>
      <w:r>
        <w:rPr>
          <w:rFonts w:hint="default" w:ascii="Times New Roman" w:hAnsi="Times New Roman" w:cs="Times New Roman"/>
          <w:spacing w:val="0"/>
          <w:sz w:val="32"/>
          <w:highlight w:val="none"/>
        </w:rPr>
        <w:t>筹集建设一批保障性住房，解决</w:t>
      </w:r>
      <w:r>
        <w:rPr>
          <w:rFonts w:hint="default" w:ascii="Times New Roman" w:hAnsi="Times New Roman" w:cs="Times New Roman"/>
          <w:spacing w:val="0"/>
          <w:sz w:val="32"/>
          <w:highlight w:val="none"/>
          <w:lang w:val="en-US" w:eastAsia="zh-CN"/>
        </w:rPr>
        <w:t>群众</w:t>
      </w:r>
      <w:r>
        <w:rPr>
          <w:rFonts w:hint="default" w:ascii="Times New Roman" w:hAnsi="Times New Roman" w:cs="Times New Roman"/>
          <w:spacing w:val="0"/>
          <w:sz w:val="32"/>
          <w:highlight w:val="none"/>
        </w:rPr>
        <w:t>阶段性住房困难，助力人才引育和城市发展。</w:t>
      </w:r>
      <w:r>
        <w:rPr>
          <w:rFonts w:hint="default" w:ascii="Times New Roman" w:hAnsi="Times New Roman" w:cs="Times New Roman"/>
          <w:color w:val="000000"/>
          <w:spacing w:val="0"/>
          <w:sz w:val="32"/>
          <w:szCs w:val="32"/>
          <w:highlight w:val="none"/>
          <w:lang w:val="en-US" w:eastAsia="zh-CN"/>
        </w:rPr>
        <w:t>加快推进住房</w:t>
      </w:r>
      <w:r>
        <w:rPr>
          <w:rFonts w:hint="default" w:ascii="Times New Roman" w:hAnsi="Times New Roman" w:cs="Times New Roman"/>
          <w:color w:val="000000"/>
          <w:spacing w:val="0"/>
          <w:sz w:val="32"/>
          <w:szCs w:val="32"/>
          <w:highlight w:val="none"/>
        </w:rPr>
        <w:t>品质提升，引导</w:t>
      </w:r>
      <w:r>
        <w:rPr>
          <w:rFonts w:hint="default" w:ascii="Times New Roman" w:hAnsi="Times New Roman" w:cs="Times New Roman"/>
          <w:color w:val="000000"/>
          <w:spacing w:val="0"/>
          <w:sz w:val="32"/>
          <w:szCs w:val="32"/>
          <w:highlight w:val="none"/>
          <w:lang w:val="en-US" w:eastAsia="zh-CN"/>
        </w:rPr>
        <w:t>房地产</w:t>
      </w:r>
      <w:r>
        <w:rPr>
          <w:rFonts w:hint="default" w:ascii="Times New Roman" w:hAnsi="Times New Roman" w:cs="Times New Roman"/>
          <w:color w:val="000000"/>
          <w:spacing w:val="0"/>
          <w:sz w:val="32"/>
          <w:szCs w:val="32"/>
          <w:highlight w:val="none"/>
        </w:rPr>
        <w:t>企业积极开发建设高品质住宅</w:t>
      </w:r>
      <w:r>
        <w:rPr>
          <w:rFonts w:hint="default" w:ascii="Times New Roman" w:hAnsi="Times New Roman" w:cs="Times New Roman"/>
          <w:color w:val="000000"/>
          <w:spacing w:val="0"/>
          <w:sz w:val="32"/>
          <w:szCs w:val="32"/>
          <w:highlight w:val="none"/>
          <w:lang w:eastAsia="zh-CN"/>
        </w:rPr>
        <w:t>，</w:t>
      </w:r>
      <w:r>
        <w:rPr>
          <w:rFonts w:hint="default" w:ascii="Times New Roman" w:hAnsi="Times New Roman" w:cs="Times New Roman"/>
          <w:color w:val="000000"/>
          <w:spacing w:val="0"/>
          <w:sz w:val="32"/>
          <w:szCs w:val="32"/>
          <w:highlight w:val="none"/>
          <w:lang w:val="en-US" w:eastAsia="zh-CN"/>
        </w:rPr>
        <w:t>满足群众高品质居住需求</w:t>
      </w:r>
      <w:r>
        <w:rPr>
          <w:rFonts w:hint="default" w:ascii="Times New Roman" w:hAnsi="Times New Roman" w:cs="Times New Roman"/>
          <w:color w:val="000000"/>
          <w:spacing w:val="0"/>
          <w:sz w:val="32"/>
          <w:szCs w:val="32"/>
          <w:highlight w:val="none"/>
        </w:rPr>
        <w:t>。</w:t>
      </w:r>
      <w:bookmarkStart w:id="201" w:name="_Toc19029"/>
    </w:p>
    <w:p w14:paraId="7D6DD7CC">
      <w:pPr>
        <w:pStyle w:val="3"/>
        <w:spacing w:before="156" w:after="156"/>
        <w:rPr>
          <w:rFonts w:hint="default" w:ascii="Times New Roman" w:hAnsi="Times New Roman" w:cs="Times New Roman"/>
          <w:spacing w:val="6"/>
          <w:highlight w:val="none"/>
        </w:rPr>
      </w:pPr>
      <w:bookmarkStart w:id="202" w:name="_Toc27266_WPSOffice_Level2"/>
      <w:bookmarkStart w:id="203" w:name="_Toc13456"/>
      <w:r>
        <w:rPr>
          <w:rFonts w:hint="default" w:ascii="Times New Roman" w:hAnsi="Times New Roman" w:cs="Times New Roman"/>
          <w:spacing w:val="6"/>
          <w:sz w:val="32"/>
          <w:szCs w:val="22"/>
          <w:highlight w:val="none"/>
        </w:rPr>
        <w:t>第五节  全面推动人口</w:t>
      </w:r>
      <w:bookmarkEnd w:id="201"/>
      <w:bookmarkEnd w:id="202"/>
      <w:r>
        <w:rPr>
          <w:rFonts w:hint="default" w:ascii="Times New Roman" w:hAnsi="Times New Roman" w:cs="Times New Roman"/>
          <w:spacing w:val="6"/>
          <w:sz w:val="32"/>
          <w:szCs w:val="22"/>
          <w:highlight w:val="none"/>
        </w:rPr>
        <w:t>高质量发展</w:t>
      </w:r>
      <w:bookmarkEnd w:id="203"/>
    </w:p>
    <w:p w14:paraId="3AF054F9">
      <w:pPr>
        <w:pStyle w:val="4"/>
        <w:ind w:firstLine="640"/>
        <w:rPr>
          <w:rFonts w:hint="default" w:ascii="Times New Roman" w:hAnsi="Times New Roman" w:cs="Times New Roman"/>
          <w:spacing w:val="6"/>
          <w:highlight w:val="none"/>
        </w:rPr>
      </w:pPr>
      <w:bookmarkStart w:id="204" w:name="_Toc18965"/>
      <w:bookmarkStart w:id="205" w:name="_Toc10176_WPSOffice_Level3"/>
      <w:r>
        <w:rPr>
          <w:rFonts w:hint="default" w:ascii="Times New Roman" w:hAnsi="Times New Roman" w:cs="Times New Roman"/>
          <w:spacing w:val="6"/>
          <w:highlight w:val="none"/>
        </w:rPr>
        <w:t>1.积极应对人口老龄化</w:t>
      </w:r>
      <w:bookmarkEnd w:id="204"/>
      <w:bookmarkEnd w:id="205"/>
    </w:p>
    <w:p w14:paraId="1AE0B01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highlight w:val="none"/>
        </w:rPr>
      </w:pPr>
      <w:r>
        <w:rPr>
          <w:rFonts w:hint="default" w:ascii="Times New Roman" w:hAnsi="Times New Roman" w:cs="Times New Roman"/>
          <w:spacing w:val="6"/>
          <w:highlight w:val="none"/>
        </w:rPr>
        <w:t>构建养老服务优质供给体系，新增养老机构5处以上，总床位达1500张，推进嵌入式服务及智慧化场景</w:t>
      </w:r>
      <w:bookmarkStart w:id="206" w:name="OfficeAI_Add_3_47"/>
      <w:r>
        <w:rPr>
          <w:rFonts w:hint="default" w:ascii="Times New Roman" w:hAnsi="Times New Roman" w:cs="Times New Roman"/>
          <w:spacing w:val="6"/>
          <w:highlight w:val="none"/>
        </w:rPr>
        <w:t>应用</w:t>
      </w:r>
      <w:bookmarkEnd w:id="206"/>
      <w:r>
        <w:rPr>
          <w:rFonts w:hint="default" w:ascii="Times New Roman" w:hAnsi="Times New Roman" w:cs="Times New Roman"/>
          <w:spacing w:val="6"/>
          <w:highlight w:val="none"/>
        </w:rPr>
        <w:t>，建设适老化改造体验馆，实现社区养老设施</w:t>
      </w:r>
      <w:r>
        <w:rPr>
          <w:rFonts w:hint="default" w:ascii="Times New Roman" w:hAnsi="Times New Roman" w:cs="Times New Roman"/>
          <w:spacing w:val="6"/>
          <w:highlight w:val="none"/>
          <w:lang w:val="en-US" w:eastAsia="zh-CN"/>
        </w:rPr>
        <w:t>全覆盖</w:t>
      </w:r>
      <w:r>
        <w:rPr>
          <w:rFonts w:hint="default" w:ascii="Times New Roman" w:hAnsi="Times New Roman" w:cs="Times New Roman"/>
          <w:spacing w:val="6"/>
          <w:highlight w:val="none"/>
        </w:rPr>
        <w:t>。推进县、镇、村</w:t>
      </w:r>
      <w:r>
        <w:rPr>
          <w:rFonts w:hint="default" w:ascii="Times New Roman" w:hAnsi="Times New Roman" w:cs="Times New Roman"/>
          <w:spacing w:val="6"/>
          <w:highlight w:val="none"/>
          <w:lang w:val="en-US" w:eastAsia="zh-CN"/>
        </w:rPr>
        <w:t>三</w:t>
      </w:r>
      <w:r>
        <w:rPr>
          <w:rFonts w:hint="default" w:ascii="Times New Roman" w:hAnsi="Times New Roman" w:cs="Times New Roman"/>
          <w:spacing w:val="6"/>
          <w:highlight w:val="none"/>
        </w:rPr>
        <w:t>级养老服务</w:t>
      </w:r>
      <w:r>
        <w:rPr>
          <w:rFonts w:hint="default" w:ascii="Times New Roman" w:hAnsi="Times New Roman" w:cs="Times New Roman"/>
          <w:spacing w:val="6"/>
          <w:highlight w:val="none"/>
          <w:lang w:val="en-US" w:eastAsia="zh-CN"/>
        </w:rPr>
        <w:t>网络</w:t>
      </w:r>
      <w:r>
        <w:rPr>
          <w:rFonts w:hint="default" w:ascii="Times New Roman" w:hAnsi="Times New Roman" w:cs="Times New Roman"/>
          <w:spacing w:val="6"/>
          <w:highlight w:val="none"/>
        </w:rPr>
        <w:t>建设，建立居家社区机构相协调、医养康养相结合的养老</w:t>
      </w:r>
      <w:r>
        <w:rPr>
          <w:rFonts w:hint="default" w:ascii="Times New Roman" w:hAnsi="Times New Roman" w:cs="Times New Roman"/>
          <w:spacing w:val="6"/>
          <w:highlight w:val="none"/>
          <w:lang w:val="en-US" w:eastAsia="zh-CN"/>
        </w:rPr>
        <w:t>服务体系</w:t>
      </w:r>
      <w:r>
        <w:rPr>
          <w:rFonts w:hint="default" w:ascii="Times New Roman" w:hAnsi="Times New Roman" w:cs="Times New Roman"/>
          <w:spacing w:val="6"/>
          <w:highlight w:val="none"/>
        </w:rPr>
        <w:t>。提升区域养老设施标准化水平，强化街道综合养老服务功能，加快社区服务网络覆盖，构建多层次、可持续的养老服务</w:t>
      </w:r>
      <w:r>
        <w:rPr>
          <w:rFonts w:hint="default" w:ascii="Times New Roman" w:hAnsi="Times New Roman" w:cs="Times New Roman"/>
          <w:spacing w:val="6"/>
          <w:highlight w:val="none"/>
          <w:lang w:val="en-US" w:eastAsia="zh-CN"/>
        </w:rPr>
        <w:t>格局</w:t>
      </w:r>
      <w:r>
        <w:rPr>
          <w:rFonts w:hint="default" w:ascii="Times New Roman" w:hAnsi="Times New Roman" w:cs="Times New Roman"/>
          <w:spacing w:val="6"/>
          <w:highlight w:val="none"/>
        </w:rPr>
        <w:t>。发挥县人民医院</w:t>
      </w:r>
      <w:r>
        <w:rPr>
          <w:rFonts w:hint="default" w:ascii="Times New Roman" w:hAnsi="Times New Roman" w:cs="Times New Roman"/>
          <w:spacing w:val="6"/>
          <w:highlight w:val="none"/>
          <w:lang w:val="en-US" w:eastAsia="zh-CN"/>
        </w:rPr>
        <w:t>医养</w:t>
      </w:r>
      <w:r>
        <w:rPr>
          <w:rFonts w:hint="default" w:ascii="Times New Roman" w:hAnsi="Times New Roman" w:cs="Times New Roman"/>
          <w:spacing w:val="6"/>
          <w:highlight w:val="none"/>
        </w:rPr>
        <w:t>中心引领作用，推动基层医疗机构医养结合发展</w:t>
      </w:r>
      <w:r>
        <w:rPr>
          <w:rFonts w:hint="default" w:ascii="Times New Roman" w:hAnsi="Times New Roman" w:cs="Times New Roman"/>
          <w:spacing w:val="6"/>
          <w:highlight w:val="none"/>
          <w:lang w:eastAsia="zh-CN"/>
        </w:rPr>
        <w:t>。</w:t>
      </w:r>
      <w:r>
        <w:rPr>
          <w:rFonts w:hint="default" w:ascii="Times New Roman" w:hAnsi="Times New Roman" w:cs="Times New Roman"/>
          <w:spacing w:val="6"/>
          <w:highlight w:val="none"/>
        </w:rPr>
        <w:t>优化拓展“沂源</w:t>
      </w:r>
      <w:r>
        <w:rPr>
          <w:rFonts w:hint="default" w:ascii="Times New Roman" w:hAnsi="Times New Roman" w:cs="Times New Roman"/>
          <w:spacing w:val="0"/>
          <w:sz w:val="32"/>
          <w:highlight w:val="none"/>
        </w:rPr>
        <w:t>红”幸福家园民生综合体服务内容</w:t>
      </w:r>
      <w:r>
        <w:rPr>
          <w:rFonts w:hint="default" w:ascii="Times New Roman" w:hAnsi="Times New Roman" w:cs="Times New Roman"/>
          <w:spacing w:val="0"/>
          <w:sz w:val="32"/>
          <w:highlight w:val="none"/>
          <w:lang w:eastAsia="zh-CN"/>
        </w:rPr>
        <w:t>，</w:t>
      </w:r>
      <w:r>
        <w:rPr>
          <w:rFonts w:hint="default" w:ascii="Times New Roman" w:hAnsi="Times New Roman" w:cs="Times New Roman"/>
          <w:spacing w:val="0"/>
          <w:sz w:val="32"/>
          <w:highlight w:val="none"/>
        </w:rPr>
        <w:t>探索农村互助养老模式，持续提升农村养老服务能力。推进家庭养老床位建设，加强公共空间适老化改造，实现服务触达“最后一米”。通过政府购买服务等方式，确保养老服务精准覆盖有需求的老年群体。推动养老事业与产业协同</w:t>
      </w:r>
      <w:bookmarkStart w:id="207" w:name="OfficeAI_Add_3_363"/>
      <w:r>
        <w:rPr>
          <w:rFonts w:hint="default" w:ascii="Times New Roman" w:hAnsi="Times New Roman" w:cs="Times New Roman"/>
          <w:spacing w:val="0"/>
          <w:sz w:val="32"/>
          <w:highlight w:val="none"/>
        </w:rPr>
        <w:t>发展</w:t>
      </w:r>
      <w:bookmarkEnd w:id="207"/>
      <w:r>
        <w:rPr>
          <w:rFonts w:hint="default" w:ascii="Times New Roman" w:hAnsi="Times New Roman" w:cs="Times New Roman"/>
          <w:spacing w:val="0"/>
          <w:sz w:val="32"/>
          <w:highlight w:val="none"/>
        </w:rPr>
        <w:t>，打造“康养沂源”品牌。加强养老服务人员技能培训，建立常态化综合安全监管机制。推动银发经济产业化发展，聚焦科技赋能、产品集群与品牌培育，通过完善普惠养老</w:t>
      </w:r>
      <w:bookmarkStart w:id="208" w:name="OfficeAI_Add_3_441"/>
      <w:r>
        <w:rPr>
          <w:rFonts w:hint="default" w:ascii="Times New Roman" w:hAnsi="Times New Roman" w:cs="Times New Roman"/>
          <w:spacing w:val="0"/>
          <w:sz w:val="32"/>
          <w:highlight w:val="none"/>
        </w:rPr>
        <w:t>服务</w:t>
      </w:r>
      <w:bookmarkEnd w:id="208"/>
      <w:r>
        <w:rPr>
          <w:rFonts w:hint="default" w:ascii="Times New Roman" w:hAnsi="Times New Roman" w:cs="Times New Roman"/>
          <w:spacing w:val="0"/>
          <w:sz w:val="32"/>
          <w:highlight w:val="none"/>
        </w:rPr>
        <w:t>，深化医养结合，推动城市适老化改造，开发银龄人力资源库，系统构建老年友好型社会。强化老年人权益保障，打击涉老诈骗，完善法律服务与法律援助，保障老年群体在财产、赡养方面的合法权益。指导养老机构健全应急响应体系，强化安全生产检查，保障服务规范有序</w:t>
      </w:r>
      <w:r>
        <w:rPr>
          <w:rFonts w:hint="default" w:ascii="Times New Roman" w:hAnsi="Times New Roman" w:cs="Times New Roman"/>
          <w:spacing w:val="0"/>
          <w:sz w:val="32"/>
          <w:highlight w:val="none"/>
          <w:lang w:val="en-US" w:eastAsia="zh-CN"/>
        </w:rPr>
        <w:t>安全</w:t>
      </w:r>
      <w:r>
        <w:rPr>
          <w:rFonts w:hint="default" w:ascii="Times New Roman" w:hAnsi="Times New Roman" w:cs="Times New Roman"/>
          <w:spacing w:val="0"/>
          <w:sz w:val="32"/>
          <w:highlight w:val="none"/>
        </w:rPr>
        <w:t>开展。</w:t>
      </w:r>
    </w:p>
    <w:p w14:paraId="72B68940">
      <w:pPr>
        <w:pStyle w:val="4"/>
        <w:ind w:firstLine="640"/>
        <w:rPr>
          <w:rFonts w:hint="default" w:ascii="Times New Roman" w:hAnsi="Times New Roman" w:cs="Times New Roman"/>
          <w:spacing w:val="6"/>
          <w:highlight w:val="none"/>
        </w:rPr>
      </w:pPr>
      <w:bookmarkStart w:id="209" w:name="_Toc23225_WPSOffice_Level3"/>
      <w:r>
        <w:rPr>
          <w:rFonts w:hint="default" w:ascii="Times New Roman" w:hAnsi="Times New Roman" w:cs="Times New Roman"/>
          <w:spacing w:val="6"/>
          <w:highlight w:val="none"/>
        </w:rPr>
        <w:t>2.建设生育友好型社会</w:t>
      </w:r>
      <w:bookmarkEnd w:id="209"/>
    </w:p>
    <w:p w14:paraId="34AEB7FC">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cs="Times New Roman"/>
          <w:spacing w:val="6"/>
          <w:highlight w:val="none"/>
        </w:rPr>
      </w:pPr>
      <w:bookmarkStart w:id="210" w:name="_Toc26221_WPSOffice_Level3"/>
      <w:r>
        <w:rPr>
          <w:rFonts w:hint="default" w:ascii="Times New Roman" w:hAnsi="Times New Roman" w:cs="Times New Roman"/>
          <w:spacing w:val="6"/>
          <w:highlight w:val="none"/>
        </w:rPr>
        <w:t>加强生育全程服务，健全出生人口信息动态监测机制，</w:t>
      </w:r>
      <w:r>
        <w:rPr>
          <w:rFonts w:hint="default" w:ascii="Times New Roman" w:hAnsi="Times New Roman" w:cs="Times New Roman"/>
          <w:spacing w:val="6"/>
          <w:highlight w:val="none"/>
          <w:lang w:val="en-US" w:eastAsia="zh-CN"/>
        </w:rPr>
        <w:t>强化</w:t>
      </w:r>
      <w:r>
        <w:rPr>
          <w:rFonts w:hint="default" w:ascii="Times New Roman" w:hAnsi="Times New Roman" w:cs="Times New Roman"/>
          <w:spacing w:val="6"/>
          <w:highlight w:val="none"/>
        </w:rPr>
        <w:t>人口监测与形势研判。推进普惠托育和托幼一体化建设，有效降低家庭生育</w:t>
      </w:r>
      <w:bookmarkStart w:id="211" w:name="OfficeAI_Add_5_60"/>
      <w:r>
        <w:rPr>
          <w:rFonts w:hint="default" w:ascii="Times New Roman" w:hAnsi="Times New Roman" w:cs="Times New Roman"/>
          <w:spacing w:val="6"/>
          <w:highlight w:val="none"/>
        </w:rPr>
        <w:t>、</w:t>
      </w:r>
      <w:bookmarkEnd w:id="211"/>
      <w:r>
        <w:rPr>
          <w:rFonts w:hint="default" w:ascii="Times New Roman" w:hAnsi="Times New Roman" w:cs="Times New Roman"/>
          <w:spacing w:val="6"/>
          <w:highlight w:val="none"/>
        </w:rPr>
        <w:t>养育</w:t>
      </w:r>
      <w:bookmarkStart w:id="212" w:name="OfficeAI_Add_5_63"/>
      <w:r>
        <w:rPr>
          <w:rFonts w:hint="default" w:ascii="Times New Roman" w:hAnsi="Times New Roman" w:cs="Times New Roman"/>
          <w:spacing w:val="6"/>
          <w:highlight w:val="none"/>
        </w:rPr>
        <w:t>、</w:t>
      </w:r>
      <w:bookmarkEnd w:id="212"/>
      <w:r>
        <w:rPr>
          <w:rFonts w:hint="default" w:ascii="Times New Roman" w:hAnsi="Times New Roman" w:cs="Times New Roman"/>
          <w:spacing w:val="6"/>
          <w:highlight w:val="none"/>
        </w:rPr>
        <w:t>教育成本。严格落实各类计划生育利益导向资金和育儿补贴政策，完善生育全程医疗保健服务，提高生育服务管理水平。创新妇幼保健机构体制机制，提升妇幼健康专科联盟建设水平，加强临床与保健专科建设，推动妇幼保健从传统服务向智慧服务升级</w:t>
      </w:r>
      <w:r>
        <w:rPr>
          <w:rFonts w:hint="default" w:ascii="Times New Roman" w:hAnsi="Times New Roman" w:cs="Times New Roman"/>
          <w:spacing w:val="6"/>
          <w:highlight w:val="none"/>
          <w:lang w:eastAsia="zh-CN"/>
        </w:rPr>
        <w:t>。</w:t>
      </w:r>
      <w:r>
        <w:rPr>
          <w:rFonts w:hint="default" w:ascii="Times New Roman" w:hAnsi="Times New Roman" w:cs="Times New Roman"/>
          <w:spacing w:val="6"/>
          <w:highlight w:val="none"/>
        </w:rPr>
        <w:t>建设县儿童健康管理中心，强化出生缺陷综合防治，实施免费优生优育项目，全面提高出生人口素质。</w:t>
      </w:r>
    </w:p>
    <w:p w14:paraId="1D7A6E5C">
      <w:pPr>
        <w:pStyle w:val="4"/>
        <w:ind w:firstLine="640"/>
        <w:rPr>
          <w:rFonts w:hint="default" w:ascii="Times New Roman" w:hAnsi="Times New Roman" w:cs="Times New Roman"/>
          <w:highlight w:val="none"/>
        </w:rPr>
      </w:pPr>
      <w:r>
        <w:rPr>
          <w:rFonts w:hint="default" w:ascii="Times New Roman" w:hAnsi="Times New Roman" w:cs="Times New Roman"/>
          <w:highlight w:val="none"/>
        </w:rPr>
        <w:t>3.加强重点群体权益保障</w:t>
      </w:r>
      <w:bookmarkEnd w:id="210"/>
    </w:p>
    <w:p w14:paraId="7A06882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highlight w:val="none"/>
        </w:rPr>
      </w:pPr>
      <w:r>
        <w:rPr>
          <w:rFonts w:hint="default" w:ascii="Times New Roman" w:hAnsi="Times New Roman" w:cs="Times New Roman"/>
          <w:highlight w:val="none"/>
        </w:rPr>
        <w:t>落实男女平等政策，优化妇女发展环境，完善法律咨询评估机制</w:t>
      </w:r>
      <w:r>
        <w:rPr>
          <w:rFonts w:hint="default" w:ascii="Times New Roman" w:hAnsi="Times New Roman" w:cs="Times New Roman"/>
          <w:spacing w:val="6"/>
          <w:sz w:val="32"/>
          <w:highlight w:val="none"/>
        </w:rPr>
        <w:t>，确保妇女在医疗、教育、就业等领域的平等权利，消除系统性歧视。建立特殊困难妇女群体保障机制，严厉打击侵害妇女权益的违法行为。健全家庭纠纷调解体系，强化反家暴干预措施。通过法律救济与社会服务相结合，提升妇女权益保护实效。贯彻儿童优先原则，构建家庭、政府与社会协同的儿童服务网络。</w:t>
      </w:r>
      <w:r>
        <w:rPr>
          <w:rFonts w:hint="default" w:ascii="Times New Roman" w:hAnsi="Times New Roman" w:cs="Times New Roman"/>
          <w:highlight w:val="none"/>
        </w:rPr>
        <w:t>优先</w:t>
      </w:r>
      <w:r>
        <w:rPr>
          <w:rFonts w:hint="default" w:ascii="Times New Roman" w:hAnsi="Times New Roman" w:cs="Times New Roman"/>
          <w:spacing w:val="6"/>
          <w:sz w:val="32"/>
          <w:highlight w:val="none"/>
        </w:rPr>
        <w:t>配置儿童发展资源，加强食品安全监管与心理健康支持。建立未成年人网络保护综合治理体系</w:t>
      </w:r>
      <w:r>
        <w:rPr>
          <w:rFonts w:hint="default" w:ascii="Times New Roman" w:hAnsi="Times New Roman" w:cs="Times New Roman"/>
          <w:color w:val="auto"/>
          <w:spacing w:val="6"/>
          <w:sz w:val="32"/>
          <w:highlight w:val="none"/>
        </w:rPr>
        <w:t>，完善</w:t>
      </w:r>
      <w:r>
        <w:rPr>
          <w:rFonts w:hint="eastAsia" w:ascii="Times New Roman" w:hAnsi="Times New Roman" w:cs="Times New Roman"/>
          <w:color w:val="auto"/>
          <w:spacing w:val="6"/>
          <w:sz w:val="32"/>
          <w:highlight w:val="none"/>
          <w:lang w:val="en-US" w:eastAsia="zh-CN"/>
        </w:rPr>
        <w:t>未成年人</w:t>
      </w:r>
      <w:r>
        <w:rPr>
          <w:rFonts w:hint="default" w:ascii="Times New Roman" w:hAnsi="Times New Roman" w:cs="Times New Roman"/>
          <w:color w:val="auto"/>
          <w:spacing w:val="6"/>
          <w:sz w:val="32"/>
          <w:highlight w:val="none"/>
        </w:rPr>
        <w:t>监护制度与基层保护机制，</w:t>
      </w:r>
      <w:r>
        <w:rPr>
          <w:rFonts w:hint="default" w:ascii="Times New Roman" w:hAnsi="Times New Roman" w:cs="Times New Roman"/>
          <w:spacing w:val="6"/>
          <w:sz w:val="32"/>
          <w:highlight w:val="none"/>
        </w:rPr>
        <w:t>严惩侵害儿童权益的犯罪行为。完善残疾人服务体系建设，推进无障碍环境建设，提升残疾人基本公共服务水平。健全残疾人康复服务</w:t>
      </w:r>
      <w:r>
        <w:rPr>
          <w:rFonts w:hint="eastAsia" w:ascii="Times New Roman" w:hAnsi="Times New Roman" w:cs="Times New Roman"/>
          <w:spacing w:val="6"/>
          <w:sz w:val="32"/>
          <w:highlight w:val="none"/>
          <w:lang w:eastAsia="zh-CN"/>
        </w:rPr>
        <w:t>以及</w:t>
      </w:r>
      <w:r>
        <w:rPr>
          <w:rFonts w:hint="default" w:ascii="Times New Roman" w:hAnsi="Times New Roman" w:cs="Times New Roman"/>
          <w:spacing w:val="6"/>
          <w:sz w:val="32"/>
          <w:highlight w:val="none"/>
        </w:rPr>
        <w:t>社会救助、社会保险、社会福利相衔接的多层次社会保障体系，</w:t>
      </w:r>
      <w:r>
        <w:rPr>
          <w:rFonts w:hint="eastAsia" w:ascii="Times New Roman" w:hAnsi="Times New Roman" w:cs="Times New Roman"/>
          <w:spacing w:val="6"/>
          <w:sz w:val="32"/>
          <w:highlight w:val="none"/>
          <w:lang w:eastAsia="zh-CN"/>
        </w:rPr>
        <w:t>健全残疾人就业能力提升支持政策，</w:t>
      </w:r>
      <w:r>
        <w:rPr>
          <w:rFonts w:hint="default" w:ascii="Times New Roman" w:hAnsi="Times New Roman" w:cs="Times New Roman"/>
          <w:spacing w:val="6"/>
          <w:sz w:val="32"/>
          <w:highlight w:val="none"/>
        </w:rPr>
        <w:t>落实困难残疾人生活补贴、重度残疾人护理补贴及住房优先保障等政策，兜牢残疾人基本民生保障底线。深化红十字事业改革，积极开展慈善救助，促进人道慈善事业与社会救助功能互补。</w:t>
      </w:r>
    </w:p>
    <w:p w14:paraId="0AC0F863">
      <w:pPr>
        <w:keepNext w:val="0"/>
        <w:keepLines w:val="0"/>
        <w:pageBreakBefore w:val="0"/>
        <w:widowControl w:val="0"/>
        <w:kinsoku/>
        <w:wordWrap/>
        <w:overflowPunct/>
        <w:topLinePunct w:val="0"/>
        <w:autoSpaceDE/>
        <w:autoSpaceDN/>
        <w:bidi w:val="0"/>
        <w:adjustRightInd/>
        <w:snapToGrid/>
        <w:spacing w:line="400" w:lineRule="exact"/>
        <w:ind w:firstLine="640"/>
        <w:textAlignment w:val="auto"/>
        <w:rPr>
          <w:rFonts w:hint="default" w:ascii="Times New Roman" w:hAnsi="Times New Roman" w:cs="Times New Roman"/>
          <w:b w:val="0"/>
          <w:bCs w:val="0"/>
          <w:highlight w:val="none"/>
        </w:rPr>
      </w:pPr>
    </w:p>
    <w:p w14:paraId="53DCC55A">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0"/>
          <w:sz w:val="24"/>
          <w:szCs w:val="24"/>
          <w:highlight w:val="none"/>
        </w:rPr>
      </w:pPr>
      <w:bookmarkStart w:id="213" w:name="_Toc15956"/>
      <w:bookmarkStart w:id="214" w:name="_Toc12094_WPSOffice_Level1"/>
      <w:r>
        <w:rPr>
          <w:rFonts w:hint="default" w:ascii="Times New Roman" w:hAnsi="Times New Roman" w:eastAsia="方正小标宋简体" w:cs="Times New Roman"/>
          <w:b w:val="0"/>
          <w:bCs w:val="0"/>
          <w:sz w:val="32"/>
          <w:szCs w:val="24"/>
          <w:highlight w:val="none"/>
          <w:lang w:val="en-US" w:eastAsia="zh-CN"/>
        </w:rPr>
        <w:t>第</w:t>
      </w:r>
      <w:r>
        <w:rPr>
          <w:rFonts w:hint="default" w:ascii="Times New Roman" w:hAnsi="Times New Roman" w:cs="Times New Roman"/>
          <w:b w:val="0"/>
          <w:bCs w:val="0"/>
          <w:sz w:val="32"/>
          <w:szCs w:val="24"/>
          <w:highlight w:val="none"/>
          <w:lang w:val="en-US" w:eastAsia="zh-CN"/>
        </w:rPr>
        <w:t>十</w:t>
      </w:r>
      <w:r>
        <w:rPr>
          <w:rFonts w:hint="default" w:ascii="Times New Roman" w:hAnsi="Times New Roman" w:eastAsia="方正小标宋简体" w:cs="Times New Roman"/>
          <w:b w:val="0"/>
          <w:bCs w:val="0"/>
          <w:sz w:val="32"/>
          <w:szCs w:val="24"/>
          <w:highlight w:val="none"/>
          <w:lang w:val="en-US" w:eastAsia="zh-CN"/>
        </w:rPr>
        <w:t>章  聚焦</w:t>
      </w:r>
      <w:r>
        <w:rPr>
          <w:rFonts w:hint="default" w:ascii="Times New Roman" w:hAnsi="Times New Roman" w:cs="Times New Roman"/>
          <w:b w:val="0"/>
          <w:bCs w:val="0"/>
          <w:sz w:val="32"/>
          <w:szCs w:val="24"/>
          <w:highlight w:val="none"/>
          <w:lang w:val="en-US" w:eastAsia="zh-CN"/>
        </w:rPr>
        <w:t>加快</w:t>
      </w:r>
      <w:r>
        <w:rPr>
          <w:rFonts w:hint="default" w:ascii="Times New Roman" w:hAnsi="Times New Roman" w:eastAsia="方正小标宋简体" w:cs="Times New Roman"/>
          <w:b w:val="0"/>
          <w:bCs w:val="0"/>
          <w:sz w:val="32"/>
          <w:szCs w:val="24"/>
          <w:highlight w:val="none"/>
          <w:lang w:val="en-US" w:eastAsia="zh-CN"/>
        </w:rPr>
        <w:t>绿色发展</w:t>
      </w:r>
      <w:bookmarkStart w:id="215" w:name="_Toc12094_WPSOffice_Level2"/>
      <w:r>
        <w:rPr>
          <w:rFonts w:hint="default" w:ascii="Times New Roman" w:hAnsi="Times New Roman" w:cs="Times New Roman"/>
          <w:b w:val="0"/>
          <w:bCs w:val="0"/>
          <w:sz w:val="32"/>
          <w:szCs w:val="24"/>
          <w:highlight w:val="none"/>
          <w:lang w:val="en-US" w:eastAsia="zh-CN"/>
        </w:rPr>
        <w:t>，</w:t>
      </w:r>
      <w:r>
        <w:rPr>
          <w:rFonts w:hint="default" w:ascii="Times New Roman" w:hAnsi="Times New Roman" w:eastAsia="方正小标宋简体" w:cs="Times New Roman"/>
          <w:b w:val="0"/>
          <w:bCs w:val="0"/>
          <w:sz w:val="32"/>
          <w:szCs w:val="24"/>
          <w:highlight w:val="none"/>
          <w:lang w:val="en-US" w:eastAsia="zh-CN"/>
        </w:rPr>
        <w:t>着力打造齐鲁生态</w:t>
      </w:r>
      <w:bookmarkEnd w:id="215"/>
      <w:r>
        <w:rPr>
          <w:rFonts w:hint="default" w:ascii="Times New Roman" w:hAnsi="Times New Roman" w:cs="Times New Roman"/>
          <w:b w:val="0"/>
          <w:bCs w:val="0"/>
          <w:sz w:val="32"/>
          <w:szCs w:val="24"/>
          <w:highlight w:val="none"/>
          <w:lang w:val="en-US" w:eastAsia="zh-CN"/>
        </w:rPr>
        <w:t>高地</w:t>
      </w:r>
      <w:bookmarkEnd w:id="213"/>
    </w:p>
    <w:p w14:paraId="36D1A3E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0"/>
          <w:sz w:val="32"/>
          <w:szCs w:val="32"/>
          <w:highlight w:val="none"/>
        </w:rPr>
      </w:pPr>
      <w:r>
        <w:rPr>
          <w:rFonts w:hint="default" w:ascii="Times New Roman" w:hAnsi="Times New Roman" w:eastAsia="仿宋_GB2312" w:cs="Times New Roman"/>
          <w:b w:val="0"/>
          <w:bCs w:val="0"/>
          <w:color w:val="auto"/>
          <w:kern w:val="0"/>
          <w:sz w:val="32"/>
          <w:szCs w:val="32"/>
          <w:highlight w:val="none"/>
        </w:rPr>
        <w:t>深入践行“绿水青山就是金山银山”理念，坚定不移走生态优先、绿色发展之路，</w:t>
      </w:r>
      <w:bookmarkStart w:id="216" w:name="_Toc7016"/>
      <w:bookmarkStart w:id="217" w:name="_Toc25686"/>
      <w:r>
        <w:rPr>
          <w:rFonts w:hint="default" w:ascii="Times New Roman" w:hAnsi="Times New Roman" w:eastAsia="仿宋_GB2312" w:cs="Times New Roman"/>
          <w:b w:val="0"/>
          <w:bCs w:val="0"/>
          <w:color w:val="auto"/>
          <w:kern w:val="0"/>
          <w:sz w:val="32"/>
          <w:szCs w:val="32"/>
          <w:highlight w:val="none"/>
        </w:rPr>
        <w:t>持续加强生态保护、提升生态价值、打响生态品牌，着力打造齐鲁生态高地，探索绿色转型发展新路径，争创国家“两山”实践创新基地。</w:t>
      </w:r>
    </w:p>
    <w:p w14:paraId="794AD3A0">
      <w:pPr>
        <w:pStyle w:val="3"/>
        <w:bidi w:val="0"/>
        <w:rPr>
          <w:rFonts w:hint="default" w:ascii="Times New Roman" w:hAnsi="Times New Roman" w:cs="Times New Roman"/>
          <w:sz w:val="32"/>
          <w:szCs w:val="22"/>
          <w:highlight w:val="none"/>
          <w:lang w:val="en-US" w:eastAsia="zh-CN"/>
        </w:rPr>
      </w:pPr>
      <w:bookmarkStart w:id="218" w:name="_Toc14018_WPSOffice_Level2"/>
      <w:bookmarkStart w:id="219" w:name="_Toc6430"/>
      <w:r>
        <w:rPr>
          <w:rFonts w:hint="default" w:ascii="Times New Roman" w:hAnsi="Times New Roman" w:cs="Times New Roman"/>
          <w:sz w:val="32"/>
          <w:szCs w:val="22"/>
          <w:highlight w:val="none"/>
          <w:lang w:val="en-US" w:eastAsia="zh-CN"/>
        </w:rPr>
        <w:t>第一节  筑牢鲁中生态安全屏障</w:t>
      </w:r>
      <w:bookmarkEnd w:id="216"/>
      <w:bookmarkEnd w:id="218"/>
      <w:bookmarkEnd w:id="219"/>
    </w:p>
    <w:p w14:paraId="2C304547">
      <w:pPr>
        <w:pStyle w:val="4"/>
        <w:bidi w:val="0"/>
        <w:rPr>
          <w:rFonts w:hint="default" w:ascii="Times New Roman" w:hAnsi="Times New Roman" w:cs="Times New Roman"/>
          <w:highlight w:val="none"/>
          <w:lang w:val="en-US" w:eastAsia="zh-CN"/>
        </w:rPr>
      </w:pPr>
      <w:bookmarkStart w:id="220" w:name="_Toc6493_WPSOffice_Level3"/>
      <w:r>
        <w:rPr>
          <w:rFonts w:hint="default" w:ascii="Times New Roman" w:hAnsi="Times New Roman" w:cs="Times New Roman"/>
          <w:highlight w:val="none"/>
          <w:lang w:val="en-US" w:eastAsia="zh-CN"/>
        </w:rPr>
        <w:t>1.持续优化国土空间开发和保护格局</w:t>
      </w:r>
      <w:bookmarkEnd w:id="220"/>
    </w:p>
    <w:p w14:paraId="3301859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0"/>
          <w:sz w:val="32"/>
          <w:highlight w:val="none"/>
          <w:lang w:val="en-US" w:eastAsia="zh-CN"/>
        </w:rPr>
      </w:pPr>
      <w:bookmarkStart w:id="221" w:name="_Toc14144_WPSOffice_Level3"/>
      <w:r>
        <w:rPr>
          <w:rFonts w:hint="default" w:ascii="Times New Roman" w:hAnsi="Times New Roman" w:cs="Times New Roman"/>
          <w:spacing w:val="0"/>
          <w:sz w:val="32"/>
          <w:highlight w:val="none"/>
          <w:lang w:val="en-US" w:eastAsia="zh-CN"/>
        </w:rPr>
        <w:t>深入实施《沂源县国土空间总体规划（2021—2035年）》，统筹统领各类空间利用，确保各项建设活动有规可依、有序推进。</w:t>
      </w:r>
      <w:r>
        <w:rPr>
          <w:rFonts w:hint="default" w:ascii="Times New Roman" w:hAnsi="Times New Roman" w:cs="Times New Roman"/>
          <w:color w:val="auto"/>
          <w:spacing w:val="0"/>
          <w:sz w:val="32"/>
          <w:highlight w:val="none"/>
          <w:lang w:val="en-US" w:eastAsia="zh-CN"/>
        </w:rPr>
        <w:t>认真落实主体功能区战略，</w:t>
      </w:r>
      <w:r>
        <w:rPr>
          <w:rFonts w:hint="default" w:ascii="Times New Roman" w:hAnsi="Times New Roman" w:cs="Times New Roman"/>
          <w:spacing w:val="0"/>
          <w:sz w:val="32"/>
          <w:highlight w:val="none"/>
          <w:lang w:val="en-US" w:eastAsia="zh-CN"/>
        </w:rPr>
        <w:t>严守“三区三线”划定成果，建立健全生态破坏问题监督机制，强化执法监管和保护修复，确保红线区域生态功能不降低、面积不减少、性质不改变。</w:t>
      </w:r>
      <w:r>
        <w:rPr>
          <w:rFonts w:hint="eastAsia" w:ascii="Times New Roman" w:hAnsi="Times New Roman" w:cs="Times New Roman"/>
          <w:spacing w:val="0"/>
          <w:sz w:val="32"/>
          <w:highlight w:val="none"/>
          <w:lang w:val="en-US" w:eastAsia="zh-CN"/>
        </w:rPr>
        <w:t>深入实施</w:t>
      </w:r>
      <w:r>
        <w:rPr>
          <w:rFonts w:hint="default" w:ascii="Times New Roman" w:hAnsi="Times New Roman" w:cs="Times New Roman"/>
          <w:spacing w:val="0"/>
          <w:sz w:val="32"/>
          <w:highlight w:val="none"/>
          <w:lang w:val="en-US" w:eastAsia="zh-CN"/>
        </w:rPr>
        <w:t>“三线一单”生态环境分区管控，严格执行规划环境影响评价制度，将“三线一单”作为区域资源开发、产业布局与结构调整、城镇建设及重大项目选址审批的重要依据，切实发挥其在空间管控中的前置约束作用。严格落实最严格的耕地保护制度，强化节约集约用地，不断提升土地资源利用效率。</w:t>
      </w:r>
    </w:p>
    <w:p w14:paraId="7CD71FEA">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2.加大生态系统保护和修复力度</w:t>
      </w:r>
      <w:bookmarkEnd w:id="221"/>
    </w:p>
    <w:p w14:paraId="38842B18">
      <w:pPr>
        <w:pageBreakBefore w:val="0"/>
        <w:kinsoku/>
        <w:wordWrap/>
        <w:overflowPunct/>
        <w:topLinePunct w:val="0"/>
        <w:autoSpaceDE/>
        <w:autoSpaceDN/>
        <w:bidi w:val="0"/>
        <w:adjustRightInd/>
        <w:snapToGrid/>
        <w:spacing w:line="560" w:lineRule="exact"/>
        <w:rPr>
          <w:rFonts w:hint="default" w:ascii="Times New Roman" w:hAnsi="Times New Roman" w:cs="Times New Roman"/>
          <w:b w:val="0"/>
          <w:bCs w:val="0"/>
          <w:color w:val="auto"/>
          <w:highlight w:val="none"/>
        </w:rPr>
      </w:pPr>
      <w:bookmarkStart w:id="222" w:name="_Toc11356"/>
      <w:bookmarkStart w:id="223" w:name="_Toc8301"/>
      <w:bookmarkStart w:id="224" w:name="_Toc10054"/>
      <w:bookmarkStart w:id="225" w:name="_Toc9700"/>
      <w:bookmarkStart w:id="226" w:name="_Toc3482_WPSOffice_Level3"/>
      <w:r>
        <w:rPr>
          <w:rFonts w:hint="default" w:ascii="Times New Roman" w:hAnsi="Times New Roman" w:cs="Times New Roman"/>
          <w:b w:val="0"/>
          <w:bCs w:val="0"/>
          <w:color w:val="auto"/>
          <w:highlight w:val="none"/>
        </w:rPr>
        <w:t>在水生态保护方面，加大沂河、螳螂河等骨干河道生态治理力度，持续提升河道生态功能；严格控制地下水开采，科学合理开发利用矿泉水资源，维护矿泉水生态系统平衡。在湿地保护方面，加大河流湿地保护力度，实施湿地修复工程，恢复和增强湿地生态功能，确保湿地生态系统健康。在森林生态建设方面，全面加强公益林管护，通过封山育林、人工造林和土地综合整治等措施，</w:t>
      </w:r>
      <w:r>
        <w:rPr>
          <w:rFonts w:hint="eastAsia" w:ascii="Times New Roman" w:hAnsi="Times New Roman" w:cs="Times New Roman"/>
          <w:b w:val="0"/>
          <w:bCs w:val="0"/>
          <w:color w:val="auto"/>
          <w:highlight w:val="none"/>
          <w:lang w:eastAsia="zh-CN"/>
        </w:rPr>
        <w:t>培育</w:t>
      </w:r>
      <w:r>
        <w:rPr>
          <w:rFonts w:hint="default" w:ascii="Times New Roman" w:hAnsi="Times New Roman" w:cs="Times New Roman"/>
          <w:b w:val="0"/>
          <w:bCs w:val="0"/>
          <w:color w:val="auto"/>
          <w:highlight w:val="none"/>
        </w:rPr>
        <w:t>森林后备资源，稳步扩大森林面积。在水土保持方面，抓好全国一体化推进水土保持工程项目建设，以小流域为单元综合治理水土流失。在山体修复方面，按照“一山一策”原则推进山体生态修复，重点加强植被自然恢复，构建生态群落稳定、景观自然的生态环境。在矿山治理方面，积极推进绿色矿山建设，有序开展历史遗留废弃矿山生态修复。同时，开展“绿盾”重要生态空间强化监督行动，</w:t>
      </w:r>
      <w:r>
        <w:rPr>
          <w:rFonts w:hint="eastAsia" w:ascii="Times New Roman" w:hAnsi="Times New Roman" w:cs="Times New Roman"/>
          <w:b w:val="0"/>
          <w:bCs w:val="0"/>
          <w:color w:val="auto"/>
          <w:highlight w:val="none"/>
          <w:lang w:eastAsia="zh-CN"/>
        </w:rPr>
        <w:t>加强</w:t>
      </w:r>
      <w:r>
        <w:rPr>
          <w:rFonts w:hint="default" w:ascii="Times New Roman" w:hAnsi="Times New Roman" w:cs="Times New Roman"/>
          <w:b w:val="0"/>
          <w:bCs w:val="0"/>
          <w:color w:val="auto"/>
          <w:highlight w:val="none"/>
        </w:rPr>
        <w:t>生态保护修复成效评估和生态状况监测评估，确保生态环境质量持续提升。</w:t>
      </w:r>
    </w:p>
    <w:p w14:paraId="09585D62">
      <w:pPr>
        <w:pStyle w:val="4"/>
        <w:bidi w:val="0"/>
        <w:rPr>
          <w:rFonts w:hint="default" w:ascii="Times New Roman" w:hAnsi="Times New Roman" w:cs="Times New Roman"/>
          <w:color w:val="auto"/>
          <w:highlight w:val="none"/>
          <w:lang w:val="en-US" w:eastAsia="zh-CN"/>
        </w:rPr>
      </w:pPr>
      <w:bookmarkStart w:id="227" w:name="_Toc29511_WPSOffice_Level3"/>
      <w:r>
        <w:rPr>
          <w:rFonts w:hint="default" w:ascii="Times New Roman" w:hAnsi="Times New Roman" w:cs="Times New Roman"/>
          <w:color w:val="auto"/>
          <w:highlight w:val="none"/>
          <w:lang w:val="en-US" w:eastAsia="zh-CN"/>
        </w:rPr>
        <w:t>3.加强生物多样性保护</w:t>
      </w:r>
      <w:bookmarkEnd w:id="222"/>
      <w:bookmarkEnd w:id="223"/>
      <w:bookmarkEnd w:id="224"/>
      <w:bookmarkEnd w:id="225"/>
      <w:bookmarkEnd w:id="226"/>
      <w:bookmarkEnd w:id="227"/>
    </w:p>
    <w:p w14:paraId="3729DDC1">
      <w:pPr>
        <w:pStyle w:val="3"/>
        <w:keepNext w:val="0"/>
        <w:keepLines w:val="0"/>
        <w:pageBreakBefore w:val="0"/>
        <w:widowControl w:val="0"/>
        <w:kinsoku/>
        <w:wordWrap/>
        <w:overflowPunct/>
        <w:topLinePunct w:val="0"/>
        <w:autoSpaceDE/>
        <w:autoSpaceDN/>
        <w:bidi w:val="0"/>
        <w:adjustRightInd/>
        <w:snapToGrid/>
        <w:spacing w:before="0" w:beforeLines="0"/>
        <w:ind w:firstLine="640" w:firstLineChars="200"/>
        <w:jc w:val="both"/>
        <w:textAlignment w:val="auto"/>
        <w:rPr>
          <w:rFonts w:hint="default"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pPr>
      <w:bookmarkStart w:id="228" w:name="_Toc649"/>
      <w:bookmarkStart w:id="229" w:name="_Toc23453_WPSOffice_Level2"/>
      <w:bookmarkStart w:id="230" w:name="_Toc26159"/>
      <w:r>
        <w:rPr>
          <w:rFonts w:hint="eastAsia" w:ascii="Times New Roman" w:hAnsi="Times New Roman" w:eastAsia="仿宋_GB2312" w:cs="Times New Roman"/>
          <w:b w:val="0"/>
          <w:bCs w:val="0"/>
          <w:color w:val="auto"/>
          <w:spacing w:val="0"/>
          <w:kern w:val="2"/>
          <w:position w:val="0"/>
          <w:sz w:val="32"/>
          <w:szCs w:val="32"/>
          <w:highlight w:val="none"/>
          <w:lang w:val="en-US" w:eastAsia="zh-CN" w:bidi="ar-SA"/>
        </w:rPr>
        <w:t>严格执行</w:t>
      </w:r>
      <w:r>
        <w:rPr>
          <w:rFonts w:hint="default" w:ascii="Times New Roman" w:hAnsi="Times New Roman" w:eastAsia="仿宋_GB2312" w:cs="Times New Roman"/>
          <w:b w:val="0"/>
          <w:bCs w:val="0"/>
          <w:color w:val="auto"/>
          <w:spacing w:val="0"/>
          <w:kern w:val="2"/>
          <w:position w:val="0"/>
          <w:sz w:val="32"/>
          <w:szCs w:val="32"/>
          <w:highlight w:val="none"/>
          <w:lang w:val="en-US" w:eastAsia="zh-CN" w:bidi="ar-SA"/>
        </w:rPr>
        <w:t>野生动物保护法律法规，深入开</w:t>
      </w:r>
      <w:r>
        <w:rPr>
          <w:rFonts w:hint="default"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t>展打击破坏野生动物资源违法犯罪专项行动，严格落实包片责任制，加大重点区域巡查力度，及时救助受伤野生动物，拉网式排查清理非法收购经营野生动物的场所，形成高压严管态势。</w:t>
      </w:r>
      <w:r>
        <w:rPr>
          <w:rFonts w:hint="eastAsia"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t>加强鲁山省级自然保护区建设，抓好</w:t>
      </w:r>
      <w:r>
        <w:rPr>
          <w:rFonts w:hint="default"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t>鲁山生物多样性观测站建设，健全生物多样性观测网络，推进生物多样性保护优先区域本底调查，全面掌握资源家底；</w:t>
      </w:r>
      <w:r>
        <w:rPr>
          <w:rFonts w:hint="default" w:ascii="Times New Roman" w:hAnsi="Times New Roman" w:eastAsia="仿宋_GB2312" w:cs="Times New Roman"/>
          <w:b w:val="0"/>
          <w:bCs w:val="0"/>
          <w:color w:val="auto"/>
          <w:spacing w:val="0"/>
          <w:kern w:val="2"/>
          <w:position w:val="0"/>
          <w:sz w:val="32"/>
          <w:szCs w:val="32"/>
          <w:highlight w:val="none"/>
          <w:lang w:val="en-US" w:eastAsia="zh-CN" w:bidi="ar-SA"/>
        </w:rPr>
        <w:t>严厉打击非法猎捕行为</w:t>
      </w:r>
      <w:r>
        <w:rPr>
          <w:rFonts w:hint="eastAsia" w:ascii="Times New Roman" w:hAnsi="Times New Roman" w:eastAsia="仿宋_GB2312" w:cs="Times New Roman"/>
          <w:b w:val="0"/>
          <w:bCs w:val="0"/>
          <w:color w:val="auto"/>
          <w:spacing w:val="0"/>
          <w:kern w:val="2"/>
          <w:position w:val="0"/>
          <w:sz w:val="32"/>
          <w:szCs w:val="32"/>
          <w:highlight w:val="none"/>
          <w:lang w:val="en-US" w:eastAsia="zh-CN" w:bidi="ar-SA"/>
        </w:rPr>
        <w:t>，</w:t>
      </w:r>
      <w:r>
        <w:rPr>
          <w:rFonts w:hint="default"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t>实施重点保护和珍稀濒危野生动植物保护工程，推进栖息地保护修复，筑牢物种安全屏障。坚持预防为主、防控结合原则</w:t>
      </w:r>
      <w:r>
        <w:rPr>
          <w:rFonts w:hint="default" w:ascii="Times New Roman" w:hAnsi="Times New Roman" w:eastAsia="仿宋_GB2312" w:cs="Times New Roman"/>
          <w:b w:val="0"/>
          <w:bCs w:val="0"/>
          <w:color w:val="auto"/>
          <w:spacing w:val="0"/>
          <w:kern w:val="2"/>
          <w:position w:val="0"/>
          <w:sz w:val="32"/>
          <w:szCs w:val="32"/>
          <w:highlight w:val="none"/>
          <w:lang w:val="en-US" w:eastAsia="zh-CN" w:bidi="ar-SA"/>
        </w:rPr>
        <w:t>，加强林业有害生物防治</w:t>
      </w:r>
      <w:r>
        <w:rPr>
          <w:rFonts w:hint="eastAsia" w:ascii="Times New Roman" w:hAnsi="Times New Roman" w:eastAsia="仿宋_GB2312" w:cs="Times New Roman"/>
          <w:b w:val="0"/>
          <w:bCs w:val="0"/>
          <w:color w:val="auto"/>
          <w:spacing w:val="0"/>
          <w:kern w:val="2"/>
          <w:position w:val="0"/>
          <w:sz w:val="32"/>
          <w:szCs w:val="32"/>
          <w:highlight w:val="none"/>
          <w:lang w:val="en-US" w:eastAsia="zh-CN" w:bidi="ar-SA"/>
        </w:rPr>
        <w:t>和</w:t>
      </w:r>
      <w:r>
        <w:rPr>
          <w:rFonts w:hint="default" w:ascii="Times New Roman" w:hAnsi="Times New Roman" w:eastAsia="仿宋_GB2312" w:cs="Times New Roman"/>
          <w:b w:val="0"/>
          <w:bCs w:val="0"/>
          <w:color w:val="000000" w:themeColor="text1"/>
          <w:spacing w:val="0"/>
          <w:kern w:val="2"/>
          <w:position w:val="0"/>
          <w:sz w:val="32"/>
          <w:szCs w:val="32"/>
          <w:highlight w:val="none"/>
          <w:lang w:val="en-US" w:eastAsia="zh-CN" w:bidi="ar-SA"/>
          <w14:textFill>
            <w14:solidFill>
              <w14:schemeClr w14:val="tx1"/>
            </w14:solidFill>
          </w14:textFill>
        </w:rPr>
        <w:t>检疫监管，开展风险评估和监测预警，提升主动防范能力。在保护优先前提下，合理开发利用生物资源，建立健全生物遗传资源获取与惠益共享制度，推动生物资源可持续利用。深入发掘、整理和传承与生物多样性保护相关的传统文化，弘扬生态文化，营造全民参与生物多样性保护的良好氛围。</w:t>
      </w:r>
    </w:p>
    <w:p w14:paraId="62B62356">
      <w:pPr>
        <w:pStyle w:val="3"/>
        <w:bidi w:val="0"/>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第二节  坚决打好打赢污染防治攻坚战</w:t>
      </w:r>
      <w:bookmarkEnd w:id="228"/>
      <w:bookmarkEnd w:id="229"/>
      <w:bookmarkEnd w:id="230"/>
    </w:p>
    <w:p w14:paraId="7353FE57">
      <w:pPr>
        <w:pStyle w:val="4"/>
        <w:bidi w:val="0"/>
        <w:rPr>
          <w:rFonts w:hint="default" w:ascii="Times New Roman" w:hAnsi="Times New Roman" w:cs="Times New Roman"/>
          <w:highlight w:val="none"/>
          <w:lang w:val="en-US" w:eastAsia="zh-CN"/>
        </w:rPr>
      </w:pPr>
      <w:bookmarkStart w:id="231" w:name="_Toc22607_WPSOffice_Level3"/>
      <w:r>
        <w:rPr>
          <w:rFonts w:hint="default" w:ascii="Times New Roman" w:hAnsi="Times New Roman" w:cs="Times New Roman"/>
          <w:highlight w:val="none"/>
          <w:lang w:val="en-US" w:eastAsia="zh-CN"/>
        </w:rPr>
        <w:t>1.持续加强大气污染防治</w:t>
      </w:r>
      <w:bookmarkEnd w:id="231"/>
    </w:p>
    <w:p w14:paraId="0696885A">
      <w:pPr>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 w:val="0"/>
          <w:bCs w:val="0"/>
          <w:sz w:val="32"/>
          <w:szCs w:val="24"/>
          <w:highlight w:val="none"/>
          <w:lang w:val="en-US" w:eastAsia="zh-CN"/>
        </w:rPr>
      </w:pPr>
      <w:r>
        <w:rPr>
          <w:rFonts w:hint="default" w:ascii="Times New Roman" w:hAnsi="Times New Roman" w:cs="Times New Roman"/>
          <w:b w:val="0"/>
          <w:bCs w:val="0"/>
          <w:highlight w:val="none"/>
        </w:rPr>
        <w:t>健全</w:t>
      </w:r>
      <w:r>
        <w:rPr>
          <w:rFonts w:hint="eastAsia" w:ascii="Times New Roman" w:hAnsi="Times New Roman" w:cs="Times New Roman"/>
          <w:b w:val="0"/>
          <w:bCs w:val="0"/>
          <w:highlight w:val="none"/>
          <w:lang w:eastAsia="zh-CN"/>
        </w:rPr>
        <w:t>县</w:t>
      </w:r>
      <w:r>
        <w:rPr>
          <w:rFonts w:hint="default" w:ascii="Times New Roman" w:hAnsi="Times New Roman" w:cs="Times New Roman"/>
          <w:b w:val="0"/>
          <w:bCs w:val="0"/>
          <w:highlight w:val="none"/>
        </w:rPr>
        <w:t>域大气污染联防联控机制，构建以工程措施为主、管理为辅的大气污染防治体系，</w:t>
      </w:r>
      <w:r>
        <w:rPr>
          <w:rFonts w:hint="default" w:ascii="Times New Roman" w:hAnsi="Times New Roman" w:cs="Times New Roman"/>
          <w:b w:val="0"/>
          <w:bCs w:val="0"/>
          <w:color w:val="auto"/>
          <w:highlight w:val="none"/>
        </w:rPr>
        <w:t>以细颗粒物控制为主线，</w:t>
      </w:r>
      <w:r>
        <w:rPr>
          <w:rFonts w:hint="default" w:ascii="Times New Roman" w:hAnsi="Times New Roman" w:cs="Times New Roman"/>
          <w:b w:val="0"/>
          <w:bCs w:val="0"/>
          <w:highlight w:val="none"/>
        </w:rPr>
        <w:t>大力推进多污染物协同减排。加强工业大气污染防治，深化燃煤锅炉综合整治，实施重点行业、重点企业深度治理、超低排放改造和挥发性有机物综合整治，落实好“一企一策”方案，推广使用低挥发性有机物含量原辅材料，推进“源头替代”。</w:t>
      </w:r>
      <w:r>
        <w:rPr>
          <w:rFonts w:hint="eastAsia" w:ascii="Times New Roman" w:hAnsi="Times New Roman" w:cs="Times New Roman"/>
          <w:b w:val="0"/>
          <w:bCs w:val="0"/>
          <w:highlight w:val="none"/>
          <w:lang w:eastAsia="zh-CN"/>
        </w:rPr>
        <w:t>加强</w:t>
      </w:r>
      <w:r>
        <w:rPr>
          <w:rFonts w:hint="default" w:ascii="Times New Roman" w:hAnsi="Times New Roman" w:cs="Times New Roman"/>
          <w:b w:val="0"/>
          <w:bCs w:val="0"/>
          <w:highlight w:val="none"/>
        </w:rPr>
        <w:t>面源污染防治，加快柴油货车清洁化转型，开展建筑施工、道路扬尘、餐饮油烟、秸秆焚烧等重点空气污染源综合治理，协同推进细颗粒物和臭氧减排。到“十五五”末，全县细颗粒物年均浓度进一步下降，空气质量综合指数保持全省内陆区县前列。</w:t>
      </w:r>
    </w:p>
    <w:p w14:paraId="11AC0728">
      <w:pPr>
        <w:pStyle w:val="4"/>
        <w:bidi w:val="0"/>
        <w:rPr>
          <w:rFonts w:hint="default" w:ascii="Times New Roman" w:hAnsi="Times New Roman" w:cs="Times New Roman"/>
          <w:highlight w:val="none"/>
          <w:lang w:val="en-US" w:eastAsia="zh-CN"/>
        </w:rPr>
      </w:pPr>
      <w:bookmarkStart w:id="232" w:name="_Toc3917_WPSOffice_Level3"/>
      <w:r>
        <w:rPr>
          <w:rFonts w:hint="default" w:ascii="Times New Roman" w:hAnsi="Times New Roman" w:cs="Times New Roman"/>
          <w:highlight w:val="none"/>
          <w:lang w:val="en-US" w:eastAsia="zh-CN"/>
        </w:rPr>
        <w:t>2.持续加强水污染防治</w:t>
      </w:r>
      <w:bookmarkEnd w:id="232"/>
    </w:p>
    <w:p w14:paraId="5829C8A7">
      <w:pPr>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val="0"/>
          <w:bCs w:val="0"/>
          <w:sz w:val="32"/>
          <w:szCs w:val="24"/>
          <w:highlight w:val="none"/>
          <w:lang w:val="en-US" w:eastAsia="zh-CN"/>
        </w:rPr>
      </w:pPr>
      <w:r>
        <w:rPr>
          <w:rFonts w:hint="default" w:ascii="Times New Roman" w:hAnsi="Times New Roman" w:cs="Times New Roman"/>
          <w:b w:val="0"/>
          <w:bCs w:val="0"/>
          <w:highlight w:val="none"/>
          <w:lang w:val="en-US" w:eastAsia="zh-CN"/>
        </w:rPr>
        <w:t>统筹水资源、水环境、水生态治理，持续加强水污染防治，构建水生态保护体系，巩固沂河（沂源段）国家美丽河湖优秀案例创建成果，打造“齐鲁水塔·海绵沂源”。严守地下水管控红线，严格执行地下水开采量与水位“双控”制度，实施地下水动态预警管理。强化涉水企业监管，推行重点行业企业污水“大数据”核算监管和排放水平绩效分级，扎实做好污泥无害化处置与资源化利用，严控入河湖排污总量。科学推进沂河治理工程，全面实施城镇污水处理设施扩容提标改造和雨污管网分流改造，持续整治黑臭水体。深入开展地表水污染综合治理，完善水生态综合评估体系，实现全域污染源头精准溯源管控，全方位筑牢县域水生态安全屏障。</w:t>
      </w:r>
    </w:p>
    <w:p w14:paraId="5B2ECF96">
      <w:pPr>
        <w:pStyle w:val="4"/>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bookmarkStart w:id="233" w:name="_Toc25534_WPSOffice_Level3"/>
      <w:r>
        <w:rPr>
          <w:rFonts w:hint="default" w:ascii="Times New Roman" w:hAnsi="Times New Roman" w:cs="Times New Roman"/>
          <w:highlight w:val="none"/>
          <w:lang w:val="en-US" w:eastAsia="zh-CN"/>
        </w:rPr>
        <w:t>3.持续加强土壤污染防治</w:t>
      </w:r>
      <w:bookmarkEnd w:id="233"/>
    </w:p>
    <w:p w14:paraId="29A87B69">
      <w:pPr>
        <w:keepNext w:val="0"/>
        <w:keepLines w:val="0"/>
        <w:pageBreakBefore w:val="0"/>
        <w:widowControl/>
        <w:kinsoku/>
        <w:wordWrap/>
        <w:overflowPunct/>
        <w:topLinePunct w:val="0"/>
        <w:autoSpaceDE/>
        <w:autoSpaceDN/>
        <w:bidi w:val="0"/>
        <w:adjustRightInd/>
        <w:snapToGrid/>
        <w:spacing w:line="580" w:lineRule="exact"/>
        <w:ind w:firstLine="0"/>
        <w:textAlignment w:val="auto"/>
        <w:rPr>
          <w:rFonts w:hint="default" w:ascii="Times New Roman" w:hAnsi="Times New Roman" w:eastAsia="仿宋_GB2312" w:cs="Times New Roman"/>
          <w:b w:val="0"/>
          <w:bCs w:val="0"/>
          <w:sz w:val="32"/>
          <w:szCs w:val="24"/>
          <w:highlight w:val="none"/>
          <w:lang w:val="en-US" w:eastAsia="zh-CN"/>
        </w:rPr>
      </w:pPr>
      <w:r>
        <w:rPr>
          <w:rFonts w:hint="default" w:ascii="Times New Roman" w:hAnsi="Times New Roman" w:eastAsia="仿宋_GB2312" w:cs="Times New Roman"/>
          <w:b w:val="0"/>
          <w:bCs w:val="0"/>
          <w:sz w:val="32"/>
          <w:szCs w:val="24"/>
          <w:highlight w:val="none"/>
          <w:lang w:val="en-US" w:eastAsia="zh-CN"/>
        </w:rPr>
        <w:t>强化土壤源头管控，组织开展耕地污染溯源排查，常态化整治耕地周边涉镉等重金属排放企业；稳步实施受污染耕地安全利用，建立长效跟踪评价机制。严格落实建设用地准入制度，动态更新污染地块台账，持续做好污染地块风险管控与治理修复，全方位巩固提升全县土壤环境质量。深入开展农业面源污染防治，推进化肥农药减量增效，推广有机肥替代化肥、病虫害绿色防控技术，健全废弃农膜、农药包装废弃物回收处置体系。深入开展畜禽养殖污染专项防治，抓好农村生活污水处理设施管理维护。推进“无废城市”建设与城市建设管理有机融合，加强城乡生活垃圾、农业废弃物、建筑垃圾、大宗工业固体废物等源头减量和无害化处置，强化塑料污染全链条治理，争取省级大宗工业固体废物回填试点。</w:t>
      </w:r>
    </w:p>
    <w:p w14:paraId="2FB2E527">
      <w:pPr>
        <w:pStyle w:val="4"/>
        <w:bidi w:val="0"/>
        <w:rPr>
          <w:rFonts w:hint="default" w:ascii="Times New Roman" w:hAnsi="Times New Roman" w:cs="Times New Roman"/>
          <w:b w:val="0"/>
          <w:bCs w:val="0"/>
          <w:highlight w:val="none"/>
          <w:lang w:val="en-US" w:eastAsia="zh-CN"/>
        </w:rPr>
      </w:pPr>
      <w:bookmarkStart w:id="234" w:name="_Toc14109_WPSOffice_Level3"/>
      <w:r>
        <w:rPr>
          <w:rFonts w:hint="default" w:ascii="Times New Roman" w:hAnsi="Times New Roman" w:cs="Times New Roman"/>
          <w:highlight w:val="none"/>
          <w:lang w:val="en-US" w:eastAsia="zh-CN"/>
        </w:rPr>
        <w:t>4.持续加强噪声污染防治</w:t>
      </w:r>
      <w:bookmarkEnd w:id="234"/>
    </w:p>
    <w:p w14:paraId="49EA8F53">
      <w:pPr>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b w:val="0"/>
          <w:bCs w:val="0"/>
          <w:highlight w:val="none"/>
          <w:lang w:val="en-US" w:eastAsia="zh-CN"/>
        </w:rPr>
      </w:pPr>
      <w:bookmarkStart w:id="235" w:name="_Toc11207_WPSOffice_Level2"/>
      <w:bookmarkStart w:id="236" w:name="_Toc29126"/>
      <w:bookmarkStart w:id="237" w:name="_Toc21921"/>
      <w:r>
        <w:rPr>
          <w:rFonts w:hint="default" w:ascii="Times New Roman" w:hAnsi="Times New Roman" w:cs="Times New Roman"/>
          <w:b w:val="0"/>
          <w:bCs w:val="0"/>
          <w:highlight w:val="none"/>
          <w:lang w:val="en-US" w:eastAsia="zh-CN"/>
        </w:rPr>
        <w:t>加大工业企业环境噪声执法监管力度，严格声环境准入，依法查处噪声污染环境信访问题。</w:t>
      </w:r>
      <w:r>
        <w:rPr>
          <w:rFonts w:hint="eastAsia" w:ascii="Times New Roman" w:hAnsi="Times New Roman" w:cs="Times New Roman"/>
          <w:b w:val="0"/>
          <w:bCs w:val="0"/>
          <w:highlight w:val="none"/>
          <w:lang w:val="en-US" w:eastAsia="zh-CN"/>
        </w:rPr>
        <w:t>深化</w:t>
      </w:r>
      <w:r>
        <w:rPr>
          <w:rFonts w:hint="default" w:ascii="Times New Roman" w:hAnsi="Times New Roman" w:cs="Times New Roman"/>
          <w:b w:val="0"/>
          <w:bCs w:val="0"/>
          <w:highlight w:val="none"/>
          <w:lang w:val="en-US" w:eastAsia="zh-CN"/>
        </w:rPr>
        <w:t>施工工地噪声污染防治，严格项目环评审批，加强噪声源头控制，</w:t>
      </w:r>
      <w:r>
        <w:rPr>
          <w:rFonts w:hint="eastAsia" w:ascii="Times New Roman" w:hAnsi="Times New Roman" w:cs="Times New Roman"/>
          <w:b w:val="0"/>
          <w:bCs w:val="0"/>
          <w:highlight w:val="none"/>
          <w:lang w:val="en-US" w:eastAsia="zh-CN"/>
        </w:rPr>
        <w:t>推动</w:t>
      </w:r>
      <w:r>
        <w:rPr>
          <w:rFonts w:hint="default" w:ascii="Times New Roman" w:hAnsi="Times New Roman" w:cs="Times New Roman"/>
          <w:b w:val="0"/>
          <w:bCs w:val="0"/>
          <w:highlight w:val="none"/>
          <w:lang w:val="en-US" w:eastAsia="zh-CN"/>
        </w:rPr>
        <w:t>建设项目噪声污染防治设施与主体工程同时设计、同时施工、同时投入运行，对违规使用大型机械设备，未经审批擅自夜间施工等行为，坚决依法惩处。强化商业及社会生活噪声整治，建立综合执法、公安、生态环境等部门联合执法长效机制，形成工作合力。加大宣传</w:t>
      </w:r>
      <w:r>
        <w:rPr>
          <w:rFonts w:hint="eastAsia" w:ascii="Times New Roman" w:hAnsi="Times New Roman" w:cs="Times New Roman"/>
          <w:b w:val="0"/>
          <w:bCs w:val="0"/>
          <w:highlight w:val="none"/>
          <w:lang w:val="en-US" w:eastAsia="zh-CN"/>
        </w:rPr>
        <w:t>教育</w:t>
      </w:r>
      <w:r>
        <w:rPr>
          <w:rFonts w:hint="default" w:ascii="Times New Roman" w:hAnsi="Times New Roman" w:cs="Times New Roman"/>
          <w:b w:val="0"/>
          <w:bCs w:val="0"/>
          <w:highlight w:val="none"/>
          <w:lang w:val="en-US" w:eastAsia="zh-CN"/>
        </w:rPr>
        <w:t>力度，增强经营业户依法经营意识、文明从业意识和环境保护意识，从严查处不听劝阻、屡禁不止的违法经营业户，维护广大群众安静舒适的居住环境。</w:t>
      </w:r>
    </w:p>
    <w:p w14:paraId="5FC43687">
      <w:pPr>
        <w:pStyle w:val="3"/>
        <w:bidi w:val="0"/>
        <w:rPr>
          <w:rFonts w:hint="default" w:ascii="Times New Roman" w:hAnsi="Times New Roman" w:cs="Times New Roman"/>
          <w:sz w:val="32"/>
          <w:szCs w:val="22"/>
          <w:highlight w:val="none"/>
          <w:lang w:val="en-US" w:eastAsia="zh-CN"/>
        </w:rPr>
      </w:pPr>
      <w:r>
        <w:rPr>
          <w:rFonts w:hint="default" w:ascii="Times New Roman" w:hAnsi="Times New Roman" w:cs="Times New Roman"/>
          <w:sz w:val="32"/>
          <w:szCs w:val="22"/>
          <w:highlight w:val="none"/>
          <w:lang w:val="en-US" w:eastAsia="zh-CN"/>
        </w:rPr>
        <w:t>第三节  全力推进绿色低碳循环发展</w:t>
      </w:r>
      <w:bookmarkEnd w:id="235"/>
      <w:bookmarkEnd w:id="236"/>
      <w:bookmarkEnd w:id="237"/>
    </w:p>
    <w:bookmarkEnd w:id="217"/>
    <w:p w14:paraId="7F0CBC4E">
      <w:pPr>
        <w:pStyle w:val="4"/>
        <w:bidi w:val="0"/>
        <w:rPr>
          <w:rFonts w:hint="default" w:ascii="Times New Roman" w:hAnsi="Times New Roman" w:cs="Times New Roman"/>
          <w:highlight w:val="none"/>
          <w:lang w:val="en-US" w:eastAsia="zh-CN"/>
        </w:rPr>
      </w:pPr>
      <w:bookmarkStart w:id="238" w:name="_Toc21534_WPSOffice_Level3"/>
      <w:bookmarkStart w:id="239" w:name="_Toc21395"/>
      <w:bookmarkStart w:id="240" w:name="_Toc13913"/>
      <w:bookmarkStart w:id="241" w:name="_Toc24524"/>
      <w:r>
        <w:rPr>
          <w:rFonts w:hint="default" w:ascii="Times New Roman" w:hAnsi="Times New Roman" w:cs="Times New Roman"/>
          <w:highlight w:val="none"/>
          <w:lang w:val="en-US" w:eastAsia="zh-CN"/>
        </w:rPr>
        <w:t>1.积极稳妥推进碳达峰</w:t>
      </w:r>
      <w:bookmarkEnd w:id="238"/>
    </w:p>
    <w:p w14:paraId="3D3265AD">
      <w:pPr>
        <w:keepNext w:val="0"/>
        <w:keepLines w:val="0"/>
        <w:pageBreakBefore w:val="0"/>
        <w:widowControl w:val="0"/>
        <w:kinsoku/>
        <w:wordWrap/>
        <w:overflowPunct/>
        <w:topLinePunct w:val="0"/>
        <w:autoSpaceDE/>
        <w:autoSpaceDN/>
        <w:bidi w:val="0"/>
        <w:adjustRightInd/>
        <w:snapToGrid/>
        <w:spacing w:line="550" w:lineRule="exact"/>
        <w:ind w:firstLine="640"/>
        <w:jc w:val="both"/>
        <w:textAlignment w:val="auto"/>
        <w:rPr>
          <w:rFonts w:hint="default" w:ascii="Times New Roman" w:hAnsi="Times New Roman" w:cs="Times New Roman"/>
          <w:b w:val="0"/>
          <w:bCs w:val="0"/>
          <w:sz w:val="32"/>
          <w:szCs w:val="24"/>
          <w:highlight w:val="none"/>
        </w:rPr>
      </w:pPr>
      <w:r>
        <w:rPr>
          <w:rFonts w:hint="default" w:ascii="Times New Roman" w:hAnsi="Times New Roman" w:eastAsia="仿宋_GB2312" w:cs="Times New Roman"/>
          <w:b w:val="0"/>
          <w:bCs w:val="0"/>
          <w:sz w:val="32"/>
          <w:szCs w:val="24"/>
          <w:highlight w:val="none"/>
          <w:lang w:val="en-US" w:eastAsia="zh-CN"/>
        </w:rPr>
        <w:t>全面落实</w:t>
      </w:r>
      <w:r>
        <w:rPr>
          <w:rFonts w:hint="eastAsia" w:ascii="Times New Roman" w:hAnsi="Times New Roman" w:cs="Times New Roman"/>
          <w:b w:val="0"/>
          <w:bCs w:val="0"/>
          <w:sz w:val="32"/>
          <w:szCs w:val="24"/>
          <w:highlight w:val="none"/>
          <w:lang w:val="en-US" w:eastAsia="zh-CN"/>
        </w:rPr>
        <w:t>《</w:t>
      </w:r>
      <w:r>
        <w:rPr>
          <w:rFonts w:hint="default" w:ascii="Times New Roman" w:hAnsi="Times New Roman" w:eastAsia="仿宋_GB2312" w:cs="Times New Roman"/>
          <w:b w:val="0"/>
          <w:bCs w:val="0"/>
          <w:sz w:val="32"/>
          <w:szCs w:val="24"/>
          <w:highlight w:val="none"/>
          <w:lang w:val="en-US" w:eastAsia="zh-CN"/>
        </w:rPr>
        <w:t>沂源县碳达峰工作方案</w:t>
      </w:r>
      <w:r>
        <w:rPr>
          <w:rFonts w:hint="eastAsia" w:ascii="Times New Roman" w:hAnsi="Times New Roman" w:cs="Times New Roman"/>
          <w:b w:val="0"/>
          <w:bCs w:val="0"/>
          <w:sz w:val="32"/>
          <w:szCs w:val="24"/>
          <w:highlight w:val="none"/>
          <w:lang w:val="en-US" w:eastAsia="zh-CN"/>
        </w:rPr>
        <w:t>》</w:t>
      </w:r>
      <w:r>
        <w:rPr>
          <w:rFonts w:hint="default" w:ascii="Times New Roman" w:hAnsi="Times New Roman" w:eastAsia="仿宋_GB2312" w:cs="Times New Roman"/>
          <w:b w:val="0"/>
          <w:bCs w:val="0"/>
          <w:sz w:val="32"/>
          <w:szCs w:val="24"/>
          <w:highlight w:val="none"/>
          <w:lang w:val="en-US" w:eastAsia="zh-CN"/>
        </w:rPr>
        <w:t>，稳步推动能耗双控向碳排放总量和强度双控转变。扎实开展温室气体统计核算工作，编制温室气体排放清单，严格控制能源活动产生的二氧化碳排放，完成上级下达的温室气体排放控制目标。构建清洁低碳能源体系，科学布局抽水蓄能、新型储能和光热发电项目，大力推动煤炭清洁高效利用，有序推进散煤替代，因地制宜推广清洁取暖，严格控制煤炭等化石能源消费，完成煤炭消费总量控制目标。坚持控碳、减碳与碳交易协同推进，深入实施“减碳降碳十大行动”，严格落实“五个减量替代”，推进各类新能源项目建设，持续优化能源结构，</w:t>
      </w:r>
      <w:r>
        <w:rPr>
          <w:rFonts w:hint="eastAsia" w:ascii="Times New Roman" w:hAnsi="Times New Roman" w:cs="Times New Roman"/>
          <w:b w:val="0"/>
          <w:bCs w:val="0"/>
          <w:sz w:val="32"/>
          <w:szCs w:val="24"/>
          <w:highlight w:val="none"/>
          <w:lang w:val="en-US" w:eastAsia="zh-CN"/>
        </w:rPr>
        <w:t>推动</w:t>
      </w:r>
      <w:r>
        <w:rPr>
          <w:rFonts w:hint="default" w:ascii="Times New Roman" w:hAnsi="Times New Roman" w:eastAsia="仿宋_GB2312" w:cs="Times New Roman"/>
          <w:b w:val="0"/>
          <w:bCs w:val="0"/>
          <w:sz w:val="32"/>
          <w:szCs w:val="24"/>
          <w:highlight w:val="none"/>
          <w:lang w:val="en-US" w:eastAsia="zh-CN"/>
        </w:rPr>
        <w:t>绿色低碳循环发展。落实国家适应气候变化战略，在林业、水资源、基础设施等重点领域积极开展适应气候变化行动。</w:t>
      </w:r>
    </w:p>
    <w:p w14:paraId="7CEEB0C0">
      <w:pPr>
        <w:pStyle w:val="4"/>
        <w:bidi w:val="0"/>
        <w:rPr>
          <w:rFonts w:hint="default" w:ascii="Times New Roman" w:hAnsi="Times New Roman" w:cs="Times New Roman"/>
          <w:highlight w:val="none"/>
          <w:lang w:val="en-US" w:eastAsia="zh-CN"/>
        </w:rPr>
      </w:pPr>
      <w:bookmarkStart w:id="242" w:name="_Toc23600_WPSOffice_Level3"/>
      <w:r>
        <w:rPr>
          <w:rFonts w:hint="default" w:ascii="Times New Roman" w:hAnsi="Times New Roman" w:cs="Times New Roman"/>
          <w:highlight w:val="none"/>
          <w:lang w:val="en-US" w:eastAsia="zh-CN"/>
        </w:rPr>
        <w:t>2.大力发展绿色生态经济</w:t>
      </w:r>
      <w:bookmarkEnd w:id="242"/>
    </w:p>
    <w:p w14:paraId="62D25F8E">
      <w:pPr>
        <w:pageBreakBefore w:val="0"/>
        <w:widowControl/>
        <w:kinsoku/>
        <w:wordWrap/>
        <w:overflowPunct/>
        <w:topLinePunct w:val="0"/>
        <w:autoSpaceDE/>
        <w:autoSpaceDN/>
        <w:bidi w:val="0"/>
        <w:adjustRightInd/>
        <w:snapToGrid/>
        <w:spacing w:line="560" w:lineRule="exact"/>
        <w:ind w:firstLine="640"/>
        <w:jc w:val="both"/>
        <w:rPr>
          <w:rFonts w:hint="default" w:ascii="Times New Roman" w:hAnsi="Times New Roman" w:cs="Times New Roman"/>
          <w:b w:val="0"/>
          <w:bCs w:val="0"/>
          <w:highlight w:val="none"/>
        </w:rPr>
      </w:pPr>
      <w:r>
        <w:rPr>
          <w:rFonts w:hint="default" w:ascii="Times New Roman" w:hAnsi="Times New Roman" w:cs="Times New Roman"/>
          <w:b w:val="0"/>
          <w:bCs w:val="0"/>
          <w:highlight w:val="none"/>
        </w:rPr>
        <w:t>坚持“经营生态”理念，深挖“好山好水好生态”资源价值，将生态资源整合包装为生态产品，打通绿水青山向金山银山的转化通道。依托“中国矿泉水之乡”品牌优势，做大做强水产业</w:t>
      </w:r>
      <w:r>
        <w:rPr>
          <w:rFonts w:hint="eastAsia" w:ascii="Times New Roman" w:hAnsi="Times New Roman" w:cs="Times New Roman"/>
          <w:b w:val="0"/>
          <w:bCs w:val="0"/>
          <w:highlight w:val="none"/>
          <w:lang w:eastAsia="zh-CN"/>
        </w:rPr>
        <w:t>。</w:t>
      </w:r>
      <w:r>
        <w:rPr>
          <w:rFonts w:hint="default" w:ascii="Times New Roman" w:hAnsi="Times New Roman" w:cs="Times New Roman"/>
          <w:b w:val="0"/>
          <w:bCs w:val="0"/>
          <w:color w:val="auto"/>
          <w:highlight w:val="none"/>
        </w:rPr>
        <w:t>通过数字化改造、技术工艺优化、产品质量提升等路径，</w:t>
      </w:r>
      <w:r>
        <w:rPr>
          <w:rFonts w:hint="eastAsia" w:ascii="Times New Roman" w:hAnsi="Times New Roman" w:cs="Times New Roman"/>
          <w:b w:val="0"/>
          <w:bCs w:val="0"/>
          <w:color w:val="auto"/>
          <w:highlight w:val="none"/>
          <w:lang w:eastAsia="zh-CN"/>
        </w:rPr>
        <w:t>推动</w:t>
      </w:r>
      <w:r>
        <w:rPr>
          <w:rFonts w:hint="default" w:ascii="Times New Roman" w:hAnsi="Times New Roman" w:cs="Times New Roman"/>
          <w:b w:val="0"/>
          <w:bCs w:val="0"/>
          <w:color w:val="auto"/>
          <w:highlight w:val="none"/>
        </w:rPr>
        <w:t>传统产业智能化、精品化、绿色化转型，加快产业绿色升级。</w:t>
      </w:r>
      <w:r>
        <w:rPr>
          <w:rFonts w:hint="default" w:ascii="Times New Roman" w:hAnsi="Times New Roman" w:cs="Times New Roman"/>
          <w:b w:val="0"/>
          <w:bCs w:val="0"/>
          <w:highlight w:val="none"/>
        </w:rPr>
        <w:t>加快沂源经济开发区园区循环化改造，推进生态工业园区和绿色工业园区建设。强化绿色低碳科技创新驱动，鼓励企业与高校、科研机构联合攻关，提升绿色科技成果转化应用能力，支持企业开展环保技术、产品和服务合作，促进环保产业和绿色低碳科技产业健康发展。加快推进沂河沂源源头水保护区环境治理与产业开发EOD项目建设，推动片区生态治理与产业发展互促共进。全面推行绿色设计、绿色制造和绿色建造，健全统一的绿色产品标准、认证和标识体系，大力发展绿色供应链，构建全链条绿色产业体系。</w:t>
      </w:r>
    </w:p>
    <w:p w14:paraId="5342572D">
      <w:pPr>
        <w:pStyle w:val="4"/>
        <w:bidi w:val="0"/>
        <w:rPr>
          <w:rFonts w:hint="default" w:ascii="Times New Roman" w:hAnsi="Times New Roman" w:cs="Times New Roman"/>
          <w:highlight w:val="none"/>
          <w:lang w:val="en-US" w:eastAsia="zh-CN"/>
        </w:rPr>
      </w:pPr>
      <w:bookmarkStart w:id="243" w:name="_Toc31084_WPSOffice_Level3"/>
      <w:r>
        <w:rPr>
          <w:rFonts w:hint="default" w:ascii="Times New Roman" w:hAnsi="Times New Roman" w:cs="Times New Roman"/>
          <w:highlight w:val="none"/>
          <w:lang w:val="en-US" w:eastAsia="zh-CN"/>
        </w:rPr>
        <w:t>3.促进资源集约利用</w:t>
      </w:r>
      <w:bookmarkEnd w:id="243"/>
    </w:p>
    <w:p w14:paraId="2F768E8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cs="Times New Roman"/>
          <w:b w:val="0"/>
          <w:bCs w:val="0"/>
          <w:highlight w:val="none"/>
        </w:rPr>
      </w:pPr>
      <w:r>
        <w:rPr>
          <w:rFonts w:hint="default" w:ascii="Times New Roman" w:hAnsi="Times New Roman" w:eastAsia="仿宋_GB2312" w:cs="Times New Roman"/>
          <w:b w:val="0"/>
          <w:bCs w:val="0"/>
          <w:sz w:val="32"/>
          <w:szCs w:val="24"/>
          <w:highlight w:val="none"/>
          <w:lang w:val="en-US" w:eastAsia="zh-CN"/>
        </w:rPr>
        <w:t>实施全面节约战略，严格落实资源总量管理和全面节约制度。强化土地集约节约利用，整合低效利用土地，加大废弃地整治力度，推进低效用地再开发试点城市建设。大力推进低效闲置土地和闲置厂房盘活处置，统筹推进东里、鲁村等</w:t>
      </w:r>
      <w:r>
        <w:rPr>
          <w:rFonts w:hint="eastAsia" w:ascii="Times New Roman" w:hAnsi="Times New Roman" w:cs="Times New Roman"/>
          <w:b w:val="0"/>
          <w:bCs w:val="0"/>
          <w:sz w:val="32"/>
          <w:szCs w:val="24"/>
          <w:highlight w:val="none"/>
          <w:lang w:val="en-US" w:eastAsia="zh-CN"/>
        </w:rPr>
        <w:t>镇</w:t>
      </w:r>
      <w:r>
        <w:rPr>
          <w:rFonts w:hint="default" w:ascii="Times New Roman" w:hAnsi="Times New Roman" w:eastAsia="仿宋_GB2312" w:cs="Times New Roman"/>
          <w:b w:val="0"/>
          <w:bCs w:val="0"/>
          <w:sz w:val="32"/>
          <w:szCs w:val="24"/>
          <w:highlight w:val="none"/>
          <w:lang w:val="en-US" w:eastAsia="zh-CN"/>
        </w:rPr>
        <w:t>全域土地综合整治及产业开发，不断挖掘土地利用潜力。强化用水总量和强度双控，严格用水定额管理</w:t>
      </w:r>
      <w:r>
        <w:rPr>
          <w:rFonts w:hint="default" w:ascii="Times New Roman" w:hAnsi="Times New Roman" w:eastAsia="仿宋_GB2312" w:cs="Times New Roman"/>
          <w:b w:val="0"/>
          <w:bCs w:val="0"/>
          <w:color w:val="auto"/>
          <w:sz w:val="32"/>
          <w:szCs w:val="24"/>
          <w:highlight w:val="none"/>
          <w:lang w:val="en-US" w:eastAsia="zh-CN"/>
        </w:rPr>
        <w:t>。</w:t>
      </w:r>
      <w:r>
        <w:rPr>
          <w:rFonts w:hint="default" w:ascii="Times New Roman" w:hAnsi="Times New Roman" w:eastAsia="仿宋_GB2312" w:cs="Times New Roman"/>
          <w:b w:val="0"/>
          <w:bCs w:val="0"/>
          <w:sz w:val="32"/>
          <w:szCs w:val="24"/>
          <w:highlight w:val="none"/>
          <w:lang w:val="en-US" w:eastAsia="zh-CN"/>
        </w:rPr>
        <w:t>引导工业企业实施全过程、多环节节水改造，提高工业用水重复利用率，加快构建再生水循环利用体系。加强重点用能单位节能管理，推进能量系统优化和节能技术改造，探索推行城市综合能源管家和碳管家等服务模式。加快构建废弃物循环利用体系，推进静脉产业园和循环经济产业园建设，引导再生资源回收、二手车交易、报废机动车回收等行业企业入园集聚发展，促进资源高效循环利用。</w:t>
      </w:r>
    </w:p>
    <w:p w14:paraId="6A4BA745">
      <w:pPr>
        <w:pStyle w:val="4"/>
        <w:bidi w:val="0"/>
        <w:rPr>
          <w:rFonts w:hint="default" w:ascii="Times New Roman" w:hAnsi="Times New Roman" w:cs="Times New Roman"/>
          <w:highlight w:val="none"/>
          <w:lang w:val="en-US" w:eastAsia="zh-CN"/>
        </w:rPr>
      </w:pPr>
      <w:bookmarkStart w:id="244" w:name="_Toc18773_WPSOffice_Level3"/>
      <w:r>
        <w:rPr>
          <w:rFonts w:hint="default" w:ascii="Times New Roman" w:hAnsi="Times New Roman" w:cs="Times New Roman"/>
          <w:highlight w:val="none"/>
          <w:lang w:val="en-US" w:eastAsia="zh-CN"/>
        </w:rPr>
        <w:t>4.推广绿色低碳生活方式</w:t>
      </w:r>
      <w:bookmarkEnd w:id="244"/>
    </w:p>
    <w:p w14:paraId="359BC894">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cs="Times New Roman"/>
          <w:b w:val="0"/>
          <w:bCs w:val="0"/>
          <w:sz w:val="32"/>
          <w:szCs w:val="24"/>
          <w:highlight w:val="none"/>
          <w:lang w:val="en-US" w:eastAsia="zh-CN"/>
        </w:rPr>
      </w:pPr>
      <w:bookmarkStart w:id="245" w:name="_Toc15844"/>
      <w:r>
        <w:rPr>
          <w:rFonts w:hint="default" w:ascii="Times New Roman" w:hAnsi="Times New Roman" w:cs="Times New Roman"/>
          <w:b w:val="0"/>
          <w:bCs w:val="0"/>
          <w:sz w:val="32"/>
          <w:szCs w:val="24"/>
          <w:highlight w:val="none"/>
          <w:lang w:val="en-US" w:eastAsia="zh-CN"/>
        </w:rPr>
        <w:t>增强公众生态文明社会责任意识，推动生态文明思想融入社会日常生活，推进衣、食、住、行等领域绿色化发展。深入实施绿色低碳全民行动，建立健全“碳普惠”公众参与机制。广泛宣传低碳发展理念和政策，推动绿色低碳教育进机关、进学校、进广场、进街道、进社区、进家庭。引导绿色饮食，鼓励餐饮行业减少一次性餐具使用，加快推广可循环、易回收、可降解的环保餐具。推进环湖步道、智慧灯杆、智慧座椅、智慧大屏等零碳设施建设，打造低碳示范场景</w:t>
      </w:r>
      <w:r>
        <w:rPr>
          <w:rFonts w:hint="eastAsia" w:ascii="Times New Roman" w:hAnsi="Times New Roman" w:cs="Times New Roman"/>
          <w:b w:val="0"/>
          <w:bCs w:val="0"/>
          <w:sz w:val="32"/>
          <w:szCs w:val="24"/>
          <w:highlight w:val="none"/>
          <w:lang w:val="en-US" w:eastAsia="zh-CN"/>
        </w:rPr>
        <w:t>，大力倡导绿色出行</w:t>
      </w:r>
      <w:r>
        <w:rPr>
          <w:rFonts w:hint="default" w:ascii="Times New Roman" w:hAnsi="Times New Roman" w:cs="Times New Roman"/>
          <w:b w:val="0"/>
          <w:bCs w:val="0"/>
          <w:sz w:val="32"/>
          <w:szCs w:val="24"/>
          <w:highlight w:val="none"/>
          <w:lang w:val="en-US" w:eastAsia="zh-CN"/>
        </w:rPr>
        <w:t>。</w:t>
      </w:r>
      <w:r>
        <w:rPr>
          <w:rFonts w:hint="default" w:ascii="Times New Roman" w:hAnsi="Times New Roman" w:cs="Times New Roman"/>
          <w:b w:val="0"/>
          <w:bCs w:val="0"/>
          <w:color w:val="auto"/>
          <w:sz w:val="32"/>
          <w:szCs w:val="24"/>
          <w:highlight w:val="none"/>
          <w:lang w:val="en-US" w:eastAsia="zh-CN"/>
        </w:rPr>
        <w:t>扩大绿色智能家电、节能灯具等绿色低碳产品供给和消费，完善绿色产品推广机制，探索将本地绿色消费行为与</w:t>
      </w:r>
      <w:r>
        <w:rPr>
          <w:rFonts w:hint="eastAsia" w:ascii="Times New Roman" w:hAnsi="Times New Roman" w:cs="Times New Roman"/>
          <w:b w:val="0"/>
          <w:bCs w:val="0"/>
          <w:color w:val="auto"/>
          <w:sz w:val="32"/>
          <w:szCs w:val="24"/>
          <w:highlight w:val="none"/>
          <w:lang w:val="en-US" w:eastAsia="zh-CN"/>
        </w:rPr>
        <w:t>“</w:t>
      </w:r>
      <w:r>
        <w:rPr>
          <w:rFonts w:hint="default" w:ascii="Times New Roman" w:hAnsi="Times New Roman" w:cs="Times New Roman"/>
          <w:b w:val="0"/>
          <w:bCs w:val="0"/>
          <w:color w:val="auto"/>
          <w:sz w:val="32"/>
          <w:szCs w:val="24"/>
          <w:highlight w:val="none"/>
          <w:lang w:val="en-US" w:eastAsia="zh-CN"/>
        </w:rPr>
        <w:t>碳积分</w:t>
      </w:r>
      <w:r>
        <w:rPr>
          <w:rFonts w:hint="eastAsia" w:ascii="Times New Roman" w:hAnsi="Times New Roman" w:cs="Times New Roman"/>
          <w:b w:val="0"/>
          <w:bCs w:val="0"/>
          <w:color w:val="auto"/>
          <w:sz w:val="32"/>
          <w:szCs w:val="24"/>
          <w:highlight w:val="none"/>
          <w:lang w:val="en-US" w:eastAsia="zh-CN"/>
        </w:rPr>
        <w:t>”</w:t>
      </w:r>
      <w:r>
        <w:rPr>
          <w:rFonts w:hint="default" w:ascii="Times New Roman" w:hAnsi="Times New Roman" w:cs="Times New Roman"/>
          <w:b w:val="0"/>
          <w:bCs w:val="0"/>
          <w:color w:val="auto"/>
          <w:sz w:val="32"/>
          <w:szCs w:val="24"/>
          <w:highlight w:val="none"/>
          <w:lang w:val="en-US" w:eastAsia="zh-CN"/>
        </w:rPr>
        <w:t>挂钩。</w:t>
      </w:r>
      <w:r>
        <w:rPr>
          <w:rFonts w:hint="default" w:ascii="Times New Roman" w:hAnsi="Times New Roman" w:cs="Times New Roman"/>
          <w:b w:val="0"/>
          <w:bCs w:val="0"/>
          <w:sz w:val="32"/>
          <w:szCs w:val="24"/>
          <w:highlight w:val="none"/>
          <w:lang w:val="en-US" w:eastAsia="zh-CN"/>
        </w:rPr>
        <w:t>提升垃圾分类管理水平，推进居民小区垃圾分类全覆盖，构建绿色生活全链条闭环。</w:t>
      </w:r>
    </w:p>
    <w:p w14:paraId="1E3F370B">
      <w:pPr>
        <w:pStyle w:val="3"/>
        <w:bidi w:val="0"/>
        <w:rPr>
          <w:rFonts w:hint="default" w:ascii="Times New Roman" w:hAnsi="Times New Roman" w:cs="Times New Roman"/>
          <w:sz w:val="32"/>
          <w:szCs w:val="22"/>
          <w:highlight w:val="none"/>
          <w:lang w:val="en-US" w:eastAsia="zh-CN"/>
        </w:rPr>
      </w:pPr>
      <w:bookmarkStart w:id="246" w:name="_Toc30353"/>
      <w:bookmarkStart w:id="247" w:name="_Toc27723_WPSOffice_Level2"/>
      <w:r>
        <w:rPr>
          <w:rFonts w:hint="default" w:ascii="Times New Roman" w:hAnsi="Times New Roman" w:cs="Times New Roman"/>
          <w:sz w:val="32"/>
          <w:szCs w:val="22"/>
          <w:highlight w:val="none"/>
          <w:lang w:val="en-US" w:eastAsia="zh-CN"/>
        </w:rPr>
        <w:t xml:space="preserve">第四节  </w:t>
      </w:r>
      <w:bookmarkEnd w:id="239"/>
      <w:bookmarkEnd w:id="240"/>
      <w:bookmarkEnd w:id="241"/>
      <w:r>
        <w:rPr>
          <w:rFonts w:hint="default" w:ascii="Times New Roman" w:hAnsi="Times New Roman" w:cs="Times New Roman"/>
          <w:sz w:val="32"/>
          <w:szCs w:val="22"/>
          <w:highlight w:val="none"/>
          <w:lang w:val="en-US" w:eastAsia="zh-CN"/>
        </w:rPr>
        <w:t>健全生态环境治理体制机制</w:t>
      </w:r>
      <w:bookmarkEnd w:id="245"/>
      <w:bookmarkEnd w:id="246"/>
      <w:bookmarkEnd w:id="247"/>
    </w:p>
    <w:p w14:paraId="58075FCC">
      <w:pPr>
        <w:pStyle w:val="4"/>
        <w:bidi w:val="0"/>
        <w:rPr>
          <w:rFonts w:hint="default" w:ascii="Times New Roman" w:hAnsi="Times New Roman" w:cs="Times New Roman"/>
          <w:highlight w:val="none"/>
        </w:rPr>
      </w:pPr>
      <w:bookmarkStart w:id="248" w:name="_Toc19189_WPSOffice_Level3"/>
      <w:r>
        <w:rPr>
          <w:rFonts w:hint="default" w:ascii="Times New Roman" w:hAnsi="Times New Roman" w:cs="Times New Roman"/>
          <w:highlight w:val="none"/>
          <w:lang w:eastAsia="zh-CN"/>
        </w:rPr>
        <w:t>1</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压实</w:t>
      </w:r>
      <w:r>
        <w:rPr>
          <w:rFonts w:hint="default" w:ascii="Times New Roman" w:hAnsi="Times New Roman" w:cs="Times New Roman"/>
          <w:highlight w:val="none"/>
          <w:lang w:val="en-US" w:eastAsia="zh-CN"/>
        </w:rPr>
        <w:t>生态</w:t>
      </w:r>
      <w:r>
        <w:rPr>
          <w:rFonts w:hint="default" w:ascii="Times New Roman" w:hAnsi="Times New Roman" w:cs="Times New Roman"/>
          <w:highlight w:val="none"/>
        </w:rPr>
        <w:t>环境治理主体责任</w:t>
      </w:r>
      <w:bookmarkEnd w:id="248"/>
    </w:p>
    <w:p w14:paraId="1CDC9C55">
      <w:pPr>
        <w:keepNext w:val="0"/>
        <w:keepLines w:val="0"/>
        <w:pageBreakBefore w:val="0"/>
        <w:widowControl w:val="0"/>
        <w:shd w:val="clear"/>
        <w:kinsoku/>
        <w:wordWrap/>
        <w:overflowPunct/>
        <w:topLinePunct w:val="0"/>
        <w:autoSpaceDE/>
        <w:autoSpaceDN/>
        <w:bidi w:val="0"/>
        <w:adjustRightInd/>
        <w:snapToGrid/>
        <w:spacing w:before="0" w:after="0" w:afterLines="-2147483648" w:line="560" w:lineRule="exact"/>
        <w:ind w:firstLine="640" w:firstLineChars="0"/>
        <w:jc w:val="both"/>
        <w:textAlignment w:val="auto"/>
        <w:rPr>
          <w:rFonts w:hint="default" w:ascii="Times New Roman" w:hAnsi="Times New Roman" w:eastAsia="仿宋_GB2312" w:cs="Times New Roman"/>
          <w:b w:val="0"/>
          <w:bCs w:val="0"/>
          <w:kern w:val="2"/>
          <w:szCs w:val="24"/>
          <w:highlight w:val="none"/>
        </w:rPr>
      </w:pPr>
      <w:r>
        <w:rPr>
          <w:rFonts w:hint="default" w:ascii="Times New Roman" w:hAnsi="Times New Roman" w:cs="Times New Roman"/>
          <w:b w:val="0"/>
          <w:bCs w:val="0"/>
          <w:sz w:val="32"/>
          <w:szCs w:val="24"/>
          <w:highlight w:val="none"/>
          <w:lang w:val="en-US" w:eastAsia="zh-CN"/>
        </w:rPr>
        <w:t>健全生态文明建设考核机制，深入开展领导干部自然资源资产离任审计，实施政府部门生态文明建设目标年度评价、考核机制，将考核结果向社会公布，并作为各级党政领导班子和领导干部综合考核评价、干部奖惩任免的重要依据。完善生态环境保护责任规定，严格落实“管发展就要管环保、管生产就要管环保、管行业就要管环保”的“一岗双责”责任体系，抓好生态环境问题长效督查整改机制落实，推动“全员生态”工作机制走深走实。完善县、镇（街道）、村（居）三级河</w:t>
      </w:r>
      <w:r>
        <w:rPr>
          <w:rFonts w:hint="eastAsia" w:ascii="Times New Roman" w:hAnsi="Times New Roman" w:cs="Times New Roman"/>
          <w:b w:val="0"/>
          <w:bCs w:val="0"/>
          <w:sz w:val="32"/>
          <w:szCs w:val="24"/>
          <w:highlight w:val="none"/>
          <w:lang w:val="en-US" w:eastAsia="zh-CN"/>
        </w:rPr>
        <w:t>湖</w:t>
      </w:r>
      <w:r>
        <w:rPr>
          <w:rFonts w:hint="default" w:ascii="Times New Roman" w:hAnsi="Times New Roman" w:cs="Times New Roman"/>
          <w:b w:val="0"/>
          <w:bCs w:val="0"/>
          <w:sz w:val="32"/>
          <w:szCs w:val="24"/>
          <w:highlight w:val="none"/>
          <w:lang w:val="en-US" w:eastAsia="zh-CN"/>
        </w:rPr>
        <w:t>长制、林长制、田长制组织体系，建立责任明确、协调有序、监管严格、保护有力的管理保护体制和良性运行机制。完善环境保护、节能减排约束性指标管理，全面落实排污许可制度，推动企业环境信用评价和治理信息公开，夯实企业主体责任。健全重大</w:t>
      </w:r>
      <w:r>
        <w:rPr>
          <w:rFonts w:hint="eastAsia" w:ascii="Times New Roman" w:hAnsi="Times New Roman" w:cs="Times New Roman"/>
          <w:b w:val="0"/>
          <w:bCs w:val="0"/>
          <w:color w:val="auto"/>
          <w:sz w:val="32"/>
          <w:szCs w:val="24"/>
          <w:highlight w:val="none"/>
          <w:lang w:val="en-US" w:eastAsia="zh-CN"/>
        </w:rPr>
        <w:t>行政决策</w:t>
      </w:r>
      <w:r>
        <w:rPr>
          <w:rFonts w:hint="default" w:ascii="Times New Roman" w:hAnsi="Times New Roman" w:cs="Times New Roman"/>
          <w:b w:val="0"/>
          <w:bCs w:val="0"/>
          <w:color w:val="auto"/>
          <w:sz w:val="32"/>
          <w:szCs w:val="24"/>
          <w:highlight w:val="none"/>
          <w:lang w:val="en-US" w:eastAsia="zh-CN"/>
        </w:rPr>
        <w:t>、重大项目环保论证公众参与机制，推进生态环境公益</w:t>
      </w:r>
      <w:r>
        <w:rPr>
          <w:rFonts w:hint="default" w:ascii="Times New Roman" w:hAnsi="Times New Roman" w:cs="Times New Roman"/>
          <w:b w:val="0"/>
          <w:bCs w:val="0"/>
          <w:sz w:val="32"/>
          <w:szCs w:val="24"/>
          <w:highlight w:val="none"/>
          <w:lang w:val="en-US" w:eastAsia="zh-CN"/>
        </w:rPr>
        <w:t>诉讼。加强跨部门生态环境治理，积极探索与周边区县协同合作，共同打造区域生态安全格局。</w:t>
      </w:r>
    </w:p>
    <w:p w14:paraId="6CC3C42E">
      <w:pPr>
        <w:pStyle w:val="4"/>
        <w:bidi w:val="0"/>
        <w:rPr>
          <w:rFonts w:hint="default" w:ascii="Times New Roman" w:hAnsi="Times New Roman" w:cs="Times New Roman"/>
          <w:highlight w:val="none"/>
          <w:lang w:val="en-US" w:eastAsia="zh-CN"/>
        </w:rPr>
      </w:pPr>
      <w:bookmarkStart w:id="249" w:name="_Toc31091_WPSOffice_Level3"/>
      <w:r>
        <w:rPr>
          <w:rFonts w:hint="default" w:ascii="Times New Roman" w:hAnsi="Times New Roman" w:cs="Times New Roman"/>
          <w:highlight w:val="none"/>
          <w:lang w:val="en-US" w:eastAsia="zh-CN"/>
        </w:rPr>
        <w:t>2.完善生态产品价值实现机制</w:t>
      </w:r>
      <w:bookmarkEnd w:id="249"/>
    </w:p>
    <w:p w14:paraId="3280F6E8">
      <w:pPr>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Cs w:val="24"/>
          <w:highlight w:val="none"/>
        </w:rPr>
      </w:pPr>
      <w:r>
        <w:rPr>
          <w:rFonts w:hint="default" w:ascii="Times New Roman" w:hAnsi="Times New Roman" w:cs="Times New Roman"/>
          <w:b w:val="0"/>
          <w:bCs w:val="0"/>
          <w:color w:val="000000" w:themeColor="text1"/>
          <w:spacing w:val="0"/>
          <w:position w:val="0"/>
          <w:sz w:val="32"/>
          <w:szCs w:val="32"/>
          <w:highlight w:val="none"/>
          <w:lang w:val="en-US" w:eastAsia="zh-CN"/>
          <w14:textFill>
            <w14:solidFill>
              <w14:schemeClr w14:val="tx1"/>
            </w14:solidFill>
          </w14:textFill>
        </w:rPr>
        <w:t>建立“资源本底清晰、生态治理有效、转化路径多元”的生态产品价值实现机制，严格落实上级制定的生态产品价值评价体系、生态产品价值核算规范，积极推进生态产品价值评估和核算结果应用。健全生态产品经营开发机制，推进生态产品供需精准对接，拓展生态产品价值实现模式，促进生态产品价值增值，推动生态资源权益交易。建立全县生态产品价值考核机制，探索将生态产品总值指标纳入高质量发展综合绩效评价，实行经济发展和生态产品价值“双考核”，并作为干部使用的重要依据。发挥碳汇价值，巩固生态系统碳汇能力，前瞻布局“碳汇+”经济，积极探索林业、农业等生态系统碳汇的开发路径，构建碳资产管理体系。创新绿色金融产品和服务方式，探索建立绿色项目库，推行生态资产证券、绿色债券等新型融资方式，推动绿色金融多元化创新发展。全力争创国家“绿水青山就是金山银山”实践创新基地。</w:t>
      </w:r>
    </w:p>
    <w:p w14:paraId="28F6161E">
      <w:pPr>
        <w:pStyle w:val="4"/>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highlight w:val="none"/>
        </w:rPr>
      </w:pPr>
      <w:bookmarkStart w:id="250" w:name="_Toc32140_WPSOffice_Level3"/>
      <w:r>
        <w:rPr>
          <w:rFonts w:hint="default" w:ascii="Times New Roman" w:hAnsi="Times New Roman" w:cs="Times New Roman"/>
          <w:highlight w:val="none"/>
          <w:lang w:val="en-US" w:eastAsia="zh-CN"/>
        </w:rPr>
        <w:t>3.</w:t>
      </w:r>
      <w:r>
        <w:rPr>
          <w:rFonts w:hint="default" w:ascii="Times New Roman" w:hAnsi="Times New Roman" w:cs="Times New Roman"/>
          <w:highlight w:val="none"/>
        </w:rPr>
        <w:t>创新</w:t>
      </w:r>
      <w:r>
        <w:rPr>
          <w:rFonts w:hint="default" w:ascii="Times New Roman" w:hAnsi="Times New Roman" w:cs="Times New Roman"/>
          <w:highlight w:val="none"/>
          <w:lang w:val="en-US" w:eastAsia="zh-CN"/>
        </w:rPr>
        <w:t>生态</w:t>
      </w:r>
      <w:r>
        <w:rPr>
          <w:rFonts w:hint="default" w:ascii="Times New Roman" w:hAnsi="Times New Roman" w:cs="Times New Roman"/>
          <w:highlight w:val="none"/>
        </w:rPr>
        <w:t>环境治理模式</w:t>
      </w:r>
      <w:bookmarkEnd w:id="250"/>
    </w:p>
    <w:p w14:paraId="6F2FCF83">
      <w:pPr>
        <w:pStyle w:val="4"/>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b w:val="0"/>
          <w:bCs w:val="0"/>
          <w:kern w:val="2"/>
          <w:sz w:val="32"/>
          <w:szCs w:val="24"/>
          <w:highlight w:val="none"/>
          <w:lang w:val="en-US" w:eastAsia="zh-CN" w:bidi="ar-SA"/>
        </w:rPr>
      </w:pPr>
      <w:bookmarkStart w:id="251" w:name="_Toc1398_WPSOffice_Level3"/>
      <w:bookmarkStart w:id="252" w:name="_Toc29835"/>
      <w:r>
        <w:rPr>
          <w:rFonts w:hint="default" w:ascii="Times New Roman" w:hAnsi="Times New Roman" w:eastAsia="仿宋_GB2312" w:cs="Times New Roman"/>
          <w:b w:val="0"/>
          <w:bCs w:val="0"/>
          <w:kern w:val="2"/>
          <w:sz w:val="32"/>
          <w:szCs w:val="24"/>
          <w:highlight w:val="none"/>
          <w:lang w:val="en-US" w:eastAsia="zh-CN" w:bidi="ar-SA"/>
        </w:rPr>
        <w:t>推</w:t>
      </w:r>
      <w:r>
        <w:rPr>
          <w:rFonts w:hint="default" w:ascii="Times New Roman" w:hAnsi="Times New Roman" w:eastAsia="仿宋_GB2312" w:cs="Times New Roman"/>
          <w:b w:val="0"/>
          <w:bCs w:val="0"/>
          <w:spacing w:val="6"/>
          <w:kern w:val="2"/>
          <w:sz w:val="32"/>
          <w:szCs w:val="24"/>
          <w:highlight w:val="none"/>
          <w:lang w:val="en-US" w:eastAsia="zh-CN" w:bidi="ar-SA"/>
        </w:rPr>
        <w:t>进自然资源统一确权登记法治化、规范化、标准化、信息化，健全自然资源资产产权制度，实行资源有偿使用制度。全面落实生态文明建设财政奖补机制，探索建立多元化、市场化生态保护补偿体系，完善生态保护成效与资金分配挂钩的激励约束机制，加大重点领域补偿力度。主动对接碳排放权、用水权等市场化交易平台，促进资源环境要素透明高效流动。开展企业绩效等级“争A创B”行动，实行差异化环境监管。支持企业发行绿色债券，推行第三方治理一体化服务模式，鼓励发展重大环保装备融资租赁，在环境高风险领域探索建立环境污染强制责任保险制度，引导更多社会资本参与生态文明建设</w:t>
      </w:r>
      <w:r>
        <w:rPr>
          <w:rFonts w:hint="default" w:ascii="Times New Roman" w:hAnsi="Times New Roman" w:eastAsia="仿宋_GB2312" w:cs="Times New Roman"/>
          <w:b w:val="0"/>
          <w:bCs w:val="0"/>
          <w:kern w:val="2"/>
          <w:sz w:val="32"/>
          <w:szCs w:val="24"/>
          <w:highlight w:val="none"/>
          <w:lang w:val="en-US" w:eastAsia="zh-CN" w:bidi="ar-SA"/>
        </w:rPr>
        <w:t>。</w:t>
      </w:r>
    </w:p>
    <w:p w14:paraId="5F3EA21A">
      <w:pPr>
        <w:pStyle w:val="4"/>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加强</w:t>
      </w:r>
      <w:r>
        <w:rPr>
          <w:rFonts w:hint="eastAsia" w:ascii="Times New Roman" w:hAnsi="Times New Roman" w:cs="Times New Roman"/>
          <w:color w:val="auto"/>
          <w:highlight w:val="none"/>
          <w:lang w:val="en-US" w:eastAsia="zh-CN"/>
        </w:rPr>
        <w:t>生态环境</w:t>
      </w:r>
      <w:r>
        <w:rPr>
          <w:rFonts w:hint="default" w:ascii="Times New Roman" w:hAnsi="Times New Roman" w:cs="Times New Roman"/>
          <w:color w:val="auto"/>
          <w:highlight w:val="none"/>
          <w:lang w:val="en-US" w:eastAsia="zh-CN"/>
        </w:rPr>
        <w:t>监测</w:t>
      </w:r>
      <w:r>
        <w:rPr>
          <w:rFonts w:hint="default" w:ascii="Times New Roman" w:hAnsi="Times New Roman" w:cs="Times New Roman"/>
          <w:color w:val="auto"/>
          <w:highlight w:val="none"/>
        </w:rPr>
        <w:t>监管体系建设</w:t>
      </w:r>
      <w:bookmarkEnd w:id="251"/>
      <w:bookmarkEnd w:id="252"/>
    </w:p>
    <w:p w14:paraId="3A734886">
      <w:pPr>
        <w:keepNext w:val="0"/>
        <w:keepLines w:val="0"/>
        <w:pageBreakBefore w:val="0"/>
        <w:widowControl w:val="0"/>
        <w:shd w:val="clear"/>
        <w:kinsoku/>
        <w:wordWrap/>
        <w:overflowPunct/>
        <w:topLinePunct w:val="0"/>
        <w:autoSpaceDE/>
        <w:autoSpaceDN/>
        <w:bidi w:val="0"/>
        <w:adjustRightInd/>
        <w:snapToGrid/>
        <w:spacing w:before="0" w:line="540" w:lineRule="exact"/>
        <w:ind w:firstLine="641" w:firstLineChars="0"/>
        <w:jc w:val="left"/>
        <w:textAlignment w:val="auto"/>
        <w:rPr>
          <w:rFonts w:hint="default" w:ascii="Times New Roman" w:hAnsi="Times New Roman" w:eastAsia="仿宋_GB2312" w:cs="Times New Roman"/>
          <w:b w:val="0"/>
          <w:bCs w:val="0"/>
          <w:color w:val="auto"/>
          <w:highlight w:val="none"/>
          <w:lang w:val="en-US" w:eastAsia="zh-CN"/>
        </w:rPr>
      </w:pPr>
      <w:r>
        <w:rPr>
          <w:rFonts w:hint="default" w:ascii="Times New Roman" w:hAnsi="Times New Roman" w:eastAsia="仿宋_GB2312" w:cs="Times New Roman"/>
          <w:b w:val="0"/>
          <w:bCs w:val="0"/>
          <w:kern w:val="2"/>
          <w:szCs w:val="24"/>
          <w:highlight w:val="none"/>
        </w:rPr>
        <w:t>推进生态环境监测能力、监管网络、预警指挥体系建设，建立健全环境质量、污染源和生态状况监测全覆盖的生态环境立体监测网络，完善精准溯源、科学研判机制，推动环境监管网络数智化转型。加强生态环境执法能力建设，做好执法装备保障，</w:t>
      </w:r>
      <w:r>
        <w:rPr>
          <w:rFonts w:hint="eastAsia" w:ascii="Times New Roman" w:hAnsi="Times New Roman" w:cs="Times New Roman"/>
          <w:b w:val="0"/>
          <w:bCs w:val="0"/>
          <w:color w:val="auto"/>
          <w:kern w:val="2"/>
          <w:szCs w:val="24"/>
          <w:highlight w:val="none"/>
          <w:lang w:eastAsia="zh-CN"/>
        </w:rPr>
        <w:t>提升</w:t>
      </w:r>
      <w:r>
        <w:rPr>
          <w:rFonts w:hint="default" w:ascii="Times New Roman" w:hAnsi="Times New Roman" w:eastAsia="仿宋_GB2312" w:cs="Times New Roman"/>
          <w:b w:val="0"/>
          <w:bCs w:val="0"/>
          <w:kern w:val="2"/>
          <w:szCs w:val="24"/>
          <w:highlight w:val="none"/>
        </w:rPr>
        <w:t>生态环境执法机构规范化</w:t>
      </w:r>
      <w:r>
        <w:rPr>
          <w:rFonts w:hint="eastAsia" w:ascii="Times New Roman" w:hAnsi="Times New Roman" w:cs="Times New Roman"/>
          <w:b w:val="0"/>
          <w:bCs w:val="0"/>
          <w:kern w:val="2"/>
          <w:szCs w:val="24"/>
          <w:highlight w:val="none"/>
          <w:lang w:eastAsia="zh-CN"/>
        </w:rPr>
        <w:t>水平</w:t>
      </w:r>
      <w:r>
        <w:rPr>
          <w:rFonts w:hint="default" w:ascii="Times New Roman" w:hAnsi="Times New Roman" w:eastAsia="仿宋_GB2312" w:cs="Times New Roman"/>
          <w:b w:val="0"/>
          <w:bCs w:val="0"/>
          <w:kern w:val="2"/>
          <w:szCs w:val="24"/>
          <w:highlight w:val="none"/>
        </w:rPr>
        <w:t>。完善执法、监察、督查机制，建立督政与督企相结合、日常驻点监察、定期环保督查和“双随机、一公开”三位一体的监督体系，</w:t>
      </w:r>
      <w:r>
        <w:rPr>
          <w:rFonts w:hint="eastAsia" w:ascii="Times New Roman" w:hAnsi="Times New Roman" w:cs="Times New Roman"/>
          <w:b w:val="0"/>
          <w:bCs w:val="0"/>
          <w:kern w:val="2"/>
          <w:szCs w:val="24"/>
          <w:highlight w:val="none"/>
          <w:lang w:eastAsia="zh-CN"/>
        </w:rPr>
        <w:t>严格</w:t>
      </w:r>
      <w:r>
        <w:rPr>
          <w:rFonts w:hint="default" w:ascii="Times New Roman" w:hAnsi="Times New Roman" w:eastAsia="仿宋_GB2312" w:cs="Times New Roman"/>
          <w:b w:val="0"/>
          <w:bCs w:val="0"/>
          <w:kern w:val="2"/>
          <w:szCs w:val="24"/>
          <w:highlight w:val="none"/>
        </w:rPr>
        <w:t>履行监管职能。</w:t>
      </w:r>
      <w:r>
        <w:rPr>
          <w:rFonts w:hint="default" w:ascii="Times New Roman" w:hAnsi="Times New Roman" w:eastAsia="仿宋_GB2312" w:cs="Times New Roman"/>
          <w:b w:val="0"/>
          <w:bCs w:val="0"/>
          <w:color w:val="auto"/>
          <w:kern w:val="2"/>
          <w:szCs w:val="24"/>
          <w:highlight w:val="none"/>
        </w:rPr>
        <w:t>加强大气环境质量、水环境质量、土壤环境质量、声环境质量监测，全面推进排污企业自行监测及信息公开，完善企业环境保护“守信激励”和“失信惩戒”机制，逐步形成政府主导、部门协同、社会参与、公众监督的生态环境监测监管新格局。</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B87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522" w:type="dxa"/>
          </w:tcPr>
          <w:p w14:paraId="2FC10910">
            <w:pPr>
              <w:pStyle w:val="26"/>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专栏22：生态环境领域重大项目</w:t>
            </w:r>
          </w:p>
        </w:tc>
      </w:tr>
      <w:tr w14:paraId="027B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8522" w:type="dxa"/>
          </w:tcPr>
          <w:p w14:paraId="1B5E9534">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沂河沂源源头水保护区环境治理与产业开发EOD项目。本项目含2个项目：①沂河沂源源头水保护区生态修复工程</w:t>
            </w:r>
            <w:r>
              <w:rPr>
                <w:rFonts w:hint="eastAsia" w:eastAsia="仿宋_GB2312" w:cs="Times New Roman"/>
                <w:b w:val="0"/>
                <w:bCs w:val="0"/>
                <w:sz w:val="24"/>
                <w:szCs w:val="24"/>
                <w:highlight w:val="none"/>
                <w:lang w:val="en-US" w:eastAsia="zh-CN"/>
              </w:rPr>
              <w:t>，包括</w:t>
            </w:r>
            <w:r>
              <w:rPr>
                <w:rFonts w:hint="default" w:ascii="Times New Roman" w:hAnsi="Times New Roman" w:eastAsia="仿宋_GB2312" w:cs="Times New Roman"/>
                <w:b w:val="0"/>
                <w:bCs w:val="0"/>
                <w:sz w:val="24"/>
                <w:szCs w:val="24"/>
                <w:highlight w:val="none"/>
                <w:lang w:val="en-US" w:eastAsia="zh-CN"/>
              </w:rPr>
              <w:t>沂河源湿地项目、生态隔离带项目、田庄水库底泥生态化治理工程。②沂河生态产业融合示范项目</w:t>
            </w:r>
            <w:r>
              <w:rPr>
                <w:rFonts w:hint="eastAsia" w:eastAsia="仿宋_GB2312" w:cs="Times New Roman"/>
                <w:b w:val="0"/>
                <w:bCs w:val="0"/>
                <w:sz w:val="24"/>
                <w:szCs w:val="24"/>
                <w:highlight w:val="none"/>
                <w:lang w:val="en-US" w:eastAsia="zh-CN"/>
              </w:rPr>
              <w:t>，包括</w:t>
            </w:r>
            <w:r>
              <w:rPr>
                <w:rFonts w:hint="default" w:ascii="Times New Roman" w:hAnsi="Times New Roman" w:eastAsia="仿宋_GB2312" w:cs="Times New Roman"/>
                <w:b w:val="0"/>
                <w:bCs w:val="0"/>
                <w:sz w:val="24"/>
                <w:szCs w:val="24"/>
                <w:highlight w:val="none"/>
                <w:lang w:val="en-US" w:eastAsia="zh-CN"/>
              </w:rPr>
              <w:t>生态农业种植示范、田庄水库以鱼养水、现代农业产业园、东风三线记忆颐养小镇、田园综合体“两山”实训基地</w:t>
            </w:r>
            <w:r>
              <w:rPr>
                <w:rFonts w:hint="eastAsia" w:eastAsia="仿宋_GB2312" w:cs="Times New Roman"/>
                <w:b w:val="0"/>
                <w:bCs w:val="0"/>
                <w:strike w:val="0"/>
                <w:dstrike w:val="0"/>
                <w:sz w:val="24"/>
                <w:szCs w:val="24"/>
                <w:highlight w:val="none"/>
                <w:lang w:val="en-US" w:eastAsia="zh-CN"/>
              </w:rPr>
              <w:t>等</w:t>
            </w:r>
            <w:r>
              <w:rPr>
                <w:rFonts w:hint="default" w:ascii="Times New Roman" w:hAnsi="Times New Roman" w:eastAsia="仿宋_GB2312" w:cs="Times New Roman"/>
                <w:b w:val="0"/>
                <w:bCs w:val="0"/>
                <w:sz w:val="24"/>
                <w:szCs w:val="24"/>
                <w:highlight w:val="none"/>
                <w:lang w:val="en-US" w:eastAsia="zh-CN"/>
              </w:rPr>
              <w:t>工程。</w:t>
            </w:r>
          </w:p>
          <w:p w14:paraId="7ABFECB5">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林业生态保护与高质量发展工程。“十五五”期间，开展国土绿化2500亩以上，全县林业有害生物成灾率控制在3‰以下，森林覆盖率稳定在58%以上，划定生物多样性保护区域，建立古树名木保护档案，发展林下经济，推进森林可持续经营，培育2家国家级林业龙头企业，推动林业高质量发展与乡村振兴、文旅康养、碳汇经济深度融合。</w:t>
            </w:r>
          </w:p>
          <w:p w14:paraId="50856CA3">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矿产资源绿色开发及综合利用工程。编制《沂源县矿产资源总体规划（2026—2030）》，新增鲁村镇李家泉村建筑用砂采矿权、鲁村镇姬家峪村建筑石料用灰岩矿采矿权，建设环保型砂石资源采矿基地；新增</w:t>
            </w:r>
            <w:r>
              <w:rPr>
                <w:rFonts w:hint="eastAsia" w:ascii="Times New Roman" w:hAnsi="Times New Roman" w:eastAsia="仿宋_GB2312" w:cs="Times New Roman"/>
                <w:b w:val="0"/>
                <w:bCs w:val="0"/>
                <w:sz w:val="24"/>
                <w:szCs w:val="24"/>
                <w:highlight w:val="none"/>
                <w:lang w:val="en-US" w:eastAsia="zh-CN"/>
              </w:rPr>
              <w:t>西里镇</w:t>
            </w:r>
            <w:r>
              <w:rPr>
                <w:rFonts w:hint="default" w:ascii="Times New Roman" w:hAnsi="Times New Roman" w:eastAsia="仿宋_GB2312" w:cs="Times New Roman"/>
                <w:b w:val="0"/>
                <w:bCs w:val="0"/>
                <w:sz w:val="24"/>
                <w:szCs w:val="24"/>
                <w:highlight w:val="none"/>
                <w:lang w:val="en-US" w:eastAsia="zh-CN"/>
              </w:rPr>
              <w:t>裕华金矿采矿权，深挖金及多金属资源潜力；完成10处历史遗留矿山图斑治理；深化地热资源、优质地下水及矿泉水等矿产资源勘查评价和开发利用。</w:t>
            </w:r>
          </w:p>
          <w:p w14:paraId="6D344374">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城区污水管网提升改造工程。改造提升荆山路、健康路、育才街、工业路、军民路、育林路、文渊路、北岭街、花园路等道路及部分污水管道。</w:t>
            </w:r>
          </w:p>
          <w:p w14:paraId="12F39DC8">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城区污水管网更新改造工程。改造沂源一中至第一污水处理厂污水管道约4.6公里；新建污水管道约5公里，解决幸福里小区、源中花园小区、东河北小区、东城学府小区、涝坡河安置楼、西鱼台小区等污水排放问题；沿南麻大街新建污水管道约2.6公里。</w:t>
            </w:r>
          </w:p>
          <w:p w14:paraId="6F0AE685">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南部宜居新城污水主干管更新完善工程。沿沂河北岸，自南麻大街南首污水收集泵站至埠下桥头完善污水主干管；沿沂河南岸，自埠下村至儒林路南首青兰高速路北完善污水主干管。</w:t>
            </w:r>
          </w:p>
          <w:p w14:paraId="1ED0A53A">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东部城区内涝治理工程。打通山前路、工业路北段、润生路南延、瑞阳路北延、北大岩路、富源路北延、东埠路北延、东埠路南延、祥源路北延、祥源路中东段、鲁山路东延、鲁山路中东段、鲁港路、兴源路北延等14条道路排水管网的瓶颈堵点，消除积水点，提高内涝安全保障能力。</w:t>
            </w:r>
          </w:p>
          <w:p w14:paraId="7D4D9068">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老城区排水防涝综合整治工程。沿新城路新建排水管道，将窗户沟排涝沟汛期时的部分雨水分流至螳螂河。改造健康路、振兴路、历山路、隆福路和安盛、隆祥、阳光里、振兴等小区及周边片区排水管道。对窗户沟排涝沟和健康路雨水方沟进行清淤疏浚。</w:t>
            </w:r>
          </w:p>
          <w:p w14:paraId="0D38F9D1">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西部新城积水点消除工程。打通南麻街道西侧南北路、天湖路、荆山路西段、南麻大街北延、人民路西延排水管网瓶颈堵点，消除积水点，提高内涝安全保障能力。</w:t>
            </w:r>
          </w:p>
          <w:p w14:paraId="4E520FD6">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餐厨垃圾收运处置项目。新建接料仓、螺旋输送机、筛选机等处理设施，采用挤压、油水分离、生物菌发酵等工艺，形成日处理餐厨垃圾及厨余垃圾49吨的能力，实现资源再利用，年可实现产值1200余万元。</w:t>
            </w:r>
          </w:p>
          <w:p w14:paraId="3C89B34D">
            <w:pPr>
              <w:pStyle w:val="27"/>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沂源万友再生资源有限公司年回收拆解1.5万辆报废机动车项目。购置小型报废汽车拆解线、大型报废汽车拆解线、新能源报废汽车拆解线及车壳压扁机、打包机等设备60台（套），年回收拆解报废机动车1.5万辆。</w:t>
            </w:r>
          </w:p>
        </w:tc>
      </w:tr>
    </w:tbl>
    <w:p w14:paraId="1DBB3286">
      <w:pPr>
        <w:bidi w:val="0"/>
        <w:rPr>
          <w:rFonts w:hint="default" w:ascii="Times New Roman" w:hAnsi="Times New Roman" w:cs="Times New Roman"/>
          <w:highlight w:val="none"/>
          <w:lang w:val="en-US" w:eastAsia="zh-CN"/>
        </w:rPr>
      </w:pPr>
    </w:p>
    <w:p w14:paraId="7234F15B">
      <w:pPr>
        <w:pStyle w:val="2"/>
        <w:bidi w:val="0"/>
        <w:rPr>
          <w:rFonts w:hint="default" w:ascii="Times New Roman" w:hAnsi="Times New Roman" w:eastAsia="仿宋_GB2312" w:cs="Times New Roman"/>
          <w:b w:val="0"/>
          <w:bCs w:val="0"/>
          <w:kern w:val="0"/>
          <w:sz w:val="32"/>
          <w:szCs w:val="24"/>
          <w:highlight w:val="none"/>
          <w:lang w:val="en-US" w:bidi="ar"/>
        </w:rPr>
      </w:pPr>
      <w:bookmarkStart w:id="253" w:name="_Toc11355"/>
      <w:r>
        <w:rPr>
          <w:rFonts w:hint="default" w:ascii="Times New Roman" w:hAnsi="Times New Roman" w:eastAsia="方正小标宋简体" w:cs="Times New Roman"/>
          <w:b w:val="0"/>
          <w:bCs w:val="0"/>
          <w:sz w:val="32"/>
          <w:szCs w:val="32"/>
          <w:highlight w:val="none"/>
          <w:lang w:val="en-US" w:eastAsia="zh-CN"/>
        </w:rPr>
        <w:t>第十</w:t>
      </w:r>
      <w:r>
        <w:rPr>
          <w:rFonts w:hint="default" w:ascii="Times New Roman" w:hAnsi="Times New Roman" w:cs="Times New Roman"/>
          <w:b w:val="0"/>
          <w:bCs w:val="0"/>
          <w:sz w:val="32"/>
          <w:szCs w:val="32"/>
          <w:highlight w:val="none"/>
          <w:lang w:val="en-US" w:eastAsia="zh-CN"/>
        </w:rPr>
        <w:t>一</w:t>
      </w:r>
      <w:r>
        <w:rPr>
          <w:rFonts w:hint="default" w:ascii="Times New Roman" w:hAnsi="Times New Roman" w:eastAsia="方正小标宋简体" w:cs="Times New Roman"/>
          <w:b w:val="0"/>
          <w:bCs w:val="0"/>
          <w:sz w:val="32"/>
          <w:szCs w:val="32"/>
          <w:highlight w:val="none"/>
          <w:lang w:val="en-US" w:eastAsia="zh-CN"/>
        </w:rPr>
        <w:t xml:space="preserve">章  </w:t>
      </w:r>
      <w:r>
        <w:rPr>
          <w:rFonts w:hint="default" w:ascii="Times New Roman" w:hAnsi="Times New Roman" w:cs="Times New Roman"/>
          <w:b w:val="0"/>
          <w:bCs w:val="0"/>
          <w:sz w:val="32"/>
          <w:szCs w:val="32"/>
          <w:highlight w:val="none"/>
          <w:lang w:val="en-US" w:eastAsia="zh-CN"/>
        </w:rPr>
        <w:t>聚焦</w:t>
      </w:r>
      <w:r>
        <w:rPr>
          <w:rFonts w:hint="default" w:ascii="Times New Roman" w:hAnsi="Times New Roman" w:eastAsia="方正小标宋简体" w:cs="Times New Roman"/>
          <w:b w:val="0"/>
          <w:bCs w:val="0"/>
          <w:sz w:val="32"/>
          <w:szCs w:val="32"/>
          <w:highlight w:val="none"/>
          <w:lang w:val="en-US" w:eastAsia="zh-CN"/>
        </w:rPr>
        <w:t>筑牢安全之基</w:t>
      </w:r>
      <w:r>
        <w:rPr>
          <w:rFonts w:hint="default" w:ascii="Times New Roman" w:hAnsi="Times New Roman" w:cs="Times New Roman"/>
          <w:b w:val="0"/>
          <w:bCs w:val="0"/>
          <w:sz w:val="32"/>
          <w:szCs w:val="32"/>
          <w:highlight w:val="none"/>
          <w:lang w:val="en-US" w:eastAsia="zh-CN"/>
        </w:rPr>
        <w:t>，</w:t>
      </w:r>
      <w:bookmarkEnd w:id="173"/>
      <w:bookmarkEnd w:id="214"/>
      <w:r>
        <w:rPr>
          <w:rFonts w:hint="default" w:ascii="Times New Roman" w:hAnsi="Times New Roman" w:cs="Times New Roman"/>
          <w:b w:val="0"/>
          <w:bCs w:val="0"/>
          <w:sz w:val="32"/>
          <w:szCs w:val="32"/>
          <w:highlight w:val="none"/>
          <w:lang w:val="en-US" w:eastAsia="zh-CN"/>
        </w:rPr>
        <w:t>保障社会大局和谐稳定</w:t>
      </w:r>
      <w:bookmarkEnd w:id="253"/>
    </w:p>
    <w:p w14:paraId="583A7EB6">
      <w:pPr>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kern w:val="0"/>
          <w:szCs w:val="32"/>
          <w:highlight w:val="none"/>
          <w:lang w:val="en-US" w:eastAsia="zh-CN" w:bidi="ar"/>
        </w:rPr>
        <w:t>坚定不移贯彻国家总体安全观，</w:t>
      </w:r>
      <w:r>
        <w:rPr>
          <w:rFonts w:hint="default" w:ascii="Times New Roman" w:hAnsi="Times New Roman" w:eastAsia="仿宋_GB2312" w:cs="Times New Roman"/>
          <w:b w:val="0"/>
          <w:bCs w:val="0"/>
          <w:kern w:val="0"/>
          <w:szCs w:val="32"/>
          <w:highlight w:val="none"/>
          <w:lang w:bidi="ar"/>
        </w:rPr>
        <w:t>精准把握</w:t>
      </w:r>
      <w:r>
        <w:rPr>
          <w:rFonts w:hint="default" w:ascii="Times New Roman" w:hAnsi="Times New Roman" w:cs="Times New Roman"/>
          <w:b w:val="0"/>
          <w:bCs w:val="0"/>
          <w:kern w:val="0"/>
          <w:szCs w:val="32"/>
          <w:highlight w:val="none"/>
          <w:lang w:val="en-US" w:eastAsia="zh-CN" w:bidi="ar"/>
        </w:rPr>
        <w:t>县域社会</w:t>
      </w:r>
      <w:r>
        <w:rPr>
          <w:rFonts w:hint="default" w:ascii="Times New Roman" w:hAnsi="Times New Roman" w:eastAsia="仿宋_GB2312" w:cs="Times New Roman"/>
          <w:b w:val="0"/>
          <w:bCs w:val="0"/>
          <w:kern w:val="0"/>
          <w:szCs w:val="32"/>
          <w:highlight w:val="none"/>
          <w:lang w:bidi="ar"/>
        </w:rPr>
        <w:t>治理的新特征新要求，</w:t>
      </w:r>
      <w:r>
        <w:rPr>
          <w:rFonts w:hint="default" w:ascii="Times New Roman" w:hAnsi="Times New Roman" w:eastAsia="仿宋_GB2312" w:cs="Times New Roman"/>
          <w:b w:val="0"/>
          <w:bCs w:val="0"/>
          <w:color w:val="auto"/>
          <w:kern w:val="2"/>
          <w:sz w:val="32"/>
          <w:szCs w:val="32"/>
          <w:highlight w:val="none"/>
          <w:lang w:val="en-US" w:eastAsia="zh-CN" w:bidi="ar-SA"/>
        </w:rPr>
        <w:t>把安全发展贯穿经济社会发展各领域和全过程，</w:t>
      </w:r>
      <w:r>
        <w:rPr>
          <w:rFonts w:hint="default" w:ascii="Times New Roman" w:hAnsi="Times New Roman" w:cs="Times New Roman"/>
          <w:b w:val="0"/>
          <w:bCs w:val="0"/>
          <w:color w:val="auto"/>
          <w:kern w:val="2"/>
          <w:sz w:val="32"/>
          <w:szCs w:val="32"/>
          <w:highlight w:val="none"/>
          <w:lang w:val="en-US" w:eastAsia="zh-CN" w:bidi="ar-SA"/>
        </w:rPr>
        <w:t>深入</w:t>
      </w:r>
      <w:r>
        <w:rPr>
          <w:rFonts w:hint="default" w:ascii="Times New Roman" w:hAnsi="Times New Roman" w:eastAsia="仿宋_GB2312" w:cs="Times New Roman"/>
          <w:b w:val="0"/>
          <w:bCs w:val="0"/>
          <w:color w:val="auto"/>
          <w:kern w:val="2"/>
          <w:sz w:val="32"/>
          <w:szCs w:val="32"/>
          <w:highlight w:val="none"/>
          <w:lang w:val="en-US" w:eastAsia="zh-CN" w:bidi="ar-SA"/>
        </w:rPr>
        <w:t>推进平安沂源、法治沂源建设</w:t>
      </w:r>
      <w:r>
        <w:rPr>
          <w:rFonts w:hint="default" w:ascii="Times New Roman" w:hAnsi="Times New Roman" w:cs="Times New Roman"/>
          <w:b w:val="0"/>
          <w:bCs w:val="0"/>
          <w:color w:val="auto"/>
          <w:kern w:val="2"/>
          <w:sz w:val="32"/>
          <w:szCs w:val="32"/>
          <w:highlight w:val="none"/>
          <w:lang w:val="en-US" w:eastAsia="zh-CN" w:bidi="ar-SA"/>
        </w:rPr>
        <w:t>，不断</w:t>
      </w:r>
      <w:r>
        <w:rPr>
          <w:rFonts w:hint="default" w:ascii="Times New Roman" w:hAnsi="Times New Roman" w:eastAsia="仿宋_GB2312" w:cs="Times New Roman"/>
          <w:b w:val="0"/>
          <w:bCs w:val="0"/>
          <w:color w:val="auto"/>
          <w:kern w:val="2"/>
          <w:sz w:val="32"/>
          <w:szCs w:val="32"/>
          <w:highlight w:val="none"/>
          <w:lang w:val="en-US" w:eastAsia="zh-CN" w:bidi="ar-SA"/>
        </w:rPr>
        <w:t>提升社会治理现代化水平，实现高质量发展和高水平安全良性互动。</w:t>
      </w:r>
      <w:bookmarkStart w:id="254" w:name="_Toc4953"/>
      <w:bookmarkStart w:id="255" w:name="_Toc21685"/>
    </w:p>
    <w:p w14:paraId="3F687622">
      <w:pPr>
        <w:pStyle w:val="3"/>
        <w:bidi w:val="0"/>
        <w:rPr>
          <w:rFonts w:hint="default" w:ascii="Times New Roman" w:hAnsi="Times New Roman" w:cs="Times New Roman"/>
          <w:highlight w:val="none"/>
          <w:lang w:val="en-US" w:eastAsia="zh-CN"/>
        </w:rPr>
      </w:pPr>
      <w:bookmarkStart w:id="256" w:name="_Toc19932"/>
      <w:bookmarkStart w:id="257" w:name="_Toc21615_WPSOffice_Level2"/>
      <w:r>
        <w:rPr>
          <w:rFonts w:hint="default" w:ascii="Times New Roman" w:hAnsi="Times New Roman" w:cs="Times New Roman"/>
          <w:sz w:val="32"/>
          <w:szCs w:val="22"/>
          <w:highlight w:val="none"/>
          <w:lang w:val="en-US" w:eastAsia="zh-CN"/>
        </w:rPr>
        <w:t xml:space="preserve">第一节 </w:t>
      </w:r>
      <w:bookmarkEnd w:id="254"/>
      <w:r>
        <w:rPr>
          <w:rFonts w:hint="default" w:ascii="Times New Roman" w:hAnsi="Times New Roman" w:cs="Times New Roman"/>
          <w:sz w:val="32"/>
          <w:szCs w:val="22"/>
          <w:highlight w:val="none"/>
          <w:lang w:val="en-US" w:eastAsia="zh-CN"/>
        </w:rPr>
        <w:t xml:space="preserve"> 防范化解重大风险</w:t>
      </w:r>
      <w:bookmarkEnd w:id="255"/>
      <w:bookmarkEnd w:id="256"/>
      <w:bookmarkEnd w:id="257"/>
    </w:p>
    <w:p w14:paraId="642B7C4D">
      <w:pPr>
        <w:pStyle w:val="4"/>
        <w:bidi w:val="0"/>
        <w:rPr>
          <w:rFonts w:hint="default" w:ascii="Times New Roman" w:hAnsi="Times New Roman" w:cs="Times New Roman"/>
          <w:highlight w:val="none"/>
        </w:rPr>
      </w:pPr>
      <w:bookmarkStart w:id="258" w:name="_Toc2468_WPSOffice_Level3"/>
      <w:bookmarkStart w:id="259" w:name="_Toc12308"/>
      <w:r>
        <w:rPr>
          <w:rFonts w:hint="default" w:ascii="Times New Roman" w:hAnsi="Times New Roman" w:cs="Times New Roman"/>
          <w:highlight w:val="none"/>
          <w:lang w:val="en-US" w:eastAsia="zh-CN"/>
        </w:rPr>
        <w:t>1.</w:t>
      </w:r>
      <w:r>
        <w:rPr>
          <w:rFonts w:hint="default" w:ascii="Times New Roman" w:hAnsi="Times New Roman" w:cs="Times New Roman"/>
          <w:highlight w:val="none"/>
        </w:rPr>
        <w:t>维护</w:t>
      </w:r>
      <w:r>
        <w:rPr>
          <w:rFonts w:hint="default" w:ascii="Times New Roman" w:hAnsi="Times New Roman" w:cs="Times New Roman"/>
          <w:highlight w:val="none"/>
          <w:lang w:val="en-US" w:eastAsia="zh-CN"/>
        </w:rPr>
        <w:t>政治</w:t>
      </w:r>
      <w:r>
        <w:rPr>
          <w:rFonts w:hint="default" w:ascii="Times New Roman" w:hAnsi="Times New Roman" w:cs="Times New Roman"/>
          <w:highlight w:val="none"/>
        </w:rPr>
        <w:t>安全</w:t>
      </w:r>
      <w:bookmarkEnd w:id="258"/>
      <w:bookmarkEnd w:id="259"/>
    </w:p>
    <w:p w14:paraId="4629F550">
      <w:pPr>
        <w:pageBreakBefore w:val="0"/>
        <w:kinsoku/>
        <w:wordWrap/>
        <w:overflowPunct/>
        <w:topLinePunct w:val="0"/>
        <w:autoSpaceDE/>
        <w:autoSpaceDN/>
        <w:bidi w:val="0"/>
        <w:adjustRightInd/>
        <w:snapToGrid/>
        <w:spacing w:line="560" w:lineRule="exact"/>
        <w:rPr>
          <w:rFonts w:hint="default" w:ascii="Times New Roman" w:hAnsi="Times New Roman" w:cs="Times New Roman"/>
          <w:b w:val="0"/>
          <w:bCs w:val="0"/>
          <w:color w:val="000000"/>
          <w:highlight w:val="none"/>
        </w:rPr>
      </w:pPr>
      <w:r>
        <w:rPr>
          <w:rFonts w:hint="default" w:ascii="Times New Roman" w:hAnsi="Times New Roman" w:cs="Times New Roman"/>
          <w:b w:val="0"/>
          <w:bCs w:val="0"/>
          <w:highlight w:val="none"/>
        </w:rPr>
        <w:t>坚</w:t>
      </w:r>
      <w:r>
        <w:rPr>
          <w:rFonts w:hint="default" w:ascii="Times New Roman" w:hAnsi="Times New Roman" w:cs="Times New Roman"/>
          <w:b w:val="0"/>
          <w:bCs w:val="0"/>
          <w:spacing w:val="6"/>
          <w:highlight w:val="none"/>
        </w:rPr>
        <w:t>持把政治安全放在首要位置，构建全域联动、立体高效的国家安全防护体系。</w:t>
      </w:r>
      <w:r>
        <w:rPr>
          <w:rFonts w:hint="default" w:ascii="Times New Roman" w:hAnsi="Times New Roman" w:cs="Times New Roman"/>
          <w:b w:val="0"/>
          <w:bCs w:val="0"/>
          <w:color w:val="000000"/>
          <w:spacing w:val="6"/>
          <w:highlight w:val="none"/>
        </w:rPr>
        <w:t>健全</w:t>
      </w:r>
      <w:r>
        <w:rPr>
          <w:rFonts w:hint="default" w:ascii="Times New Roman" w:hAnsi="Times New Roman" w:cs="Times New Roman"/>
          <w:b w:val="0"/>
          <w:bCs w:val="0"/>
          <w:color w:val="000000"/>
          <w:spacing w:val="6"/>
          <w:highlight w:val="none"/>
          <w:lang w:val="en-US" w:eastAsia="zh-CN"/>
        </w:rPr>
        <w:t>国家</w:t>
      </w:r>
      <w:r>
        <w:rPr>
          <w:rFonts w:hint="default" w:ascii="Times New Roman" w:hAnsi="Times New Roman" w:cs="Times New Roman"/>
          <w:b w:val="0"/>
          <w:bCs w:val="0"/>
          <w:color w:val="000000"/>
          <w:spacing w:val="6"/>
          <w:highlight w:val="none"/>
        </w:rPr>
        <w:t>安全风险研判、防控协同、防范化解机制，提高防范和抵御安全风险能力。坚定维护</w:t>
      </w:r>
      <w:r>
        <w:rPr>
          <w:rFonts w:hint="default" w:ascii="Times New Roman" w:hAnsi="Times New Roman" w:cs="Times New Roman"/>
          <w:b w:val="0"/>
          <w:bCs w:val="0"/>
          <w:color w:val="000000"/>
          <w:spacing w:val="6"/>
          <w:highlight w:val="none"/>
          <w:lang w:val="en-US" w:eastAsia="zh-CN"/>
        </w:rPr>
        <w:t>国家</w:t>
      </w:r>
      <w:r>
        <w:rPr>
          <w:rFonts w:hint="default" w:ascii="Times New Roman" w:hAnsi="Times New Roman" w:cs="Times New Roman"/>
          <w:b w:val="0"/>
          <w:bCs w:val="0"/>
          <w:color w:val="000000"/>
          <w:spacing w:val="6"/>
          <w:highlight w:val="none"/>
        </w:rPr>
        <w:t>政权安全</w:t>
      </w:r>
      <w:r>
        <w:rPr>
          <w:rFonts w:hint="default" w:ascii="Times New Roman" w:hAnsi="Times New Roman" w:cs="Times New Roman"/>
          <w:b w:val="0"/>
          <w:bCs w:val="0"/>
          <w:color w:val="000000"/>
          <w:spacing w:val="6"/>
          <w:highlight w:val="none"/>
          <w:lang w:val="en-US" w:eastAsia="zh-CN"/>
        </w:rPr>
        <w:t>、</w:t>
      </w:r>
      <w:r>
        <w:rPr>
          <w:rFonts w:hint="default" w:ascii="Times New Roman" w:hAnsi="Times New Roman" w:cs="Times New Roman"/>
          <w:b w:val="0"/>
          <w:bCs w:val="0"/>
          <w:color w:val="000000"/>
          <w:spacing w:val="6"/>
          <w:highlight w:val="none"/>
        </w:rPr>
        <w:t>制度安全、意识形态安全，严密防范和严厉打击敌对势力渗透、破坏、颠覆、分裂活动。深入开展反邪教斗争，坚决打击非法宗教活动。严格落实党委（党组）意识形态工作责任制</w:t>
      </w:r>
      <w:r>
        <w:rPr>
          <w:rFonts w:hint="default" w:ascii="Times New Roman" w:hAnsi="Times New Roman" w:cs="Times New Roman"/>
          <w:b w:val="0"/>
          <w:bCs w:val="0"/>
          <w:color w:val="000000"/>
          <w:spacing w:val="6"/>
          <w:highlight w:val="none"/>
          <w:lang w:val="en-US" w:eastAsia="zh-CN"/>
        </w:rPr>
        <w:t>，</w:t>
      </w:r>
      <w:r>
        <w:rPr>
          <w:rFonts w:hint="default" w:ascii="Times New Roman" w:hAnsi="Times New Roman" w:cs="Times New Roman"/>
          <w:b w:val="0"/>
          <w:bCs w:val="0"/>
          <w:color w:val="000000"/>
          <w:spacing w:val="6"/>
          <w:highlight w:val="none"/>
        </w:rPr>
        <w:t>加强网络、青年等重要阵地建设管理，建立</w:t>
      </w:r>
      <w:r>
        <w:rPr>
          <w:rFonts w:hint="default" w:ascii="Times New Roman" w:hAnsi="Times New Roman" w:cs="Times New Roman"/>
          <w:b w:val="0"/>
          <w:bCs w:val="0"/>
          <w:color w:val="000000"/>
          <w:spacing w:val="6"/>
          <w:highlight w:val="none"/>
          <w:lang w:val="en-US" w:eastAsia="zh-CN"/>
        </w:rPr>
        <w:t>意识形态阵地管理与风险闭环管控机制建设</w:t>
      </w:r>
      <w:r>
        <w:rPr>
          <w:rFonts w:hint="default" w:ascii="Times New Roman" w:hAnsi="Times New Roman" w:cs="Times New Roman"/>
          <w:b w:val="0"/>
          <w:bCs w:val="0"/>
          <w:color w:val="000000"/>
          <w:spacing w:val="6"/>
          <w:highlight w:val="none"/>
        </w:rPr>
        <w:t>。</w:t>
      </w:r>
      <w:r>
        <w:rPr>
          <w:rFonts w:hint="default" w:ascii="Times New Roman" w:hAnsi="Times New Roman" w:cs="Times New Roman"/>
          <w:b w:val="0"/>
          <w:bCs w:val="0"/>
          <w:color w:val="000000"/>
          <w:spacing w:val="6"/>
          <w:highlight w:val="none"/>
          <w:lang w:eastAsia="zh-CN"/>
        </w:rPr>
        <w:t>强化对涉密事项、岗位、人员的管理，切实有效</w:t>
      </w:r>
      <w:r>
        <w:rPr>
          <w:rFonts w:hint="default" w:ascii="Times New Roman" w:hAnsi="Times New Roman" w:cs="Times New Roman"/>
          <w:b w:val="0"/>
          <w:bCs w:val="0"/>
          <w:color w:val="000000"/>
          <w:spacing w:val="6"/>
          <w:highlight w:val="none"/>
          <w:lang w:val="en-US" w:eastAsia="zh-CN"/>
        </w:rPr>
        <w:t>保守</w:t>
      </w:r>
      <w:r>
        <w:rPr>
          <w:rFonts w:hint="default" w:ascii="Times New Roman" w:hAnsi="Times New Roman" w:cs="Times New Roman"/>
          <w:b w:val="0"/>
          <w:bCs w:val="0"/>
          <w:color w:val="000000"/>
          <w:spacing w:val="6"/>
          <w:highlight w:val="none"/>
          <w:lang w:eastAsia="zh-CN"/>
        </w:rPr>
        <w:t>国家秘密。健全网络综合治理体系，</w:t>
      </w:r>
      <w:r>
        <w:rPr>
          <w:rFonts w:hint="default" w:ascii="Times New Roman" w:hAnsi="Times New Roman" w:cs="Times New Roman"/>
          <w:b w:val="0"/>
          <w:bCs w:val="0"/>
          <w:color w:val="000000"/>
          <w:spacing w:val="6"/>
          <w:highlight w:val="none"/>
          <w:lang w:val="en-US" w:eastAsia="zh-CN"/>
        </w:rPr>
        <w:t>强化</w:t>
      </w:r>
      <w:r>
        <w:rPr>
          <w:rFonts w:hint="default" w:ascii="Times New Roman" w:hAnsi="Times New Roman" w:cs="Times New Roman"/>
          <w:b w:val="0"/>
          <w:bCs w:val="0"/>
          <w:color w:val="000000"/>
          <w:spacing w:val="6"/>
          <w:highlight w:val="none"/>
          <w:lang w:eastAsia="zh-CN"/>
        </w:rPr>
        <w:t>网络舆情跟踪监测和应急应对。</w:t>
      </w:r>
      <w:r>
        <w:rPr>
          <w:rFonts w:hint="default" w:ascii="Times New Roman" w:hAnsi="Times New Roman" w:cs="Times New Roman"/>
          <w:b w:val="0"/>
          <w:bCs w:val="0"/>
          <w:color w:val="000000"/>
          <w:spacing w:val="6"/>
          <w:highlight w:val="none"/>
          <w:lang w:val="en-US" w:eastAsia="zh-CN"/>
        </w:rPr>
        <w:t>加强</w:t>
      </w:r>
      <w:r>
        <w:rPr>
          <w:rFonts w:hint="default" w:ascii="Times New Roman" w:hAnsi="Times New Roman" w:cs="Times New Roman"/>
          <w:b w:val="0"/>
          <w:bCs w:val="0"/>
          <w:color w:val="000000"/>
          <w:spacing w:val="6"/>
          <w:highlight w:val="none"/>
        </w:rPr>
        <w:t>国家安全宣传教育</w:t>
      </w:r>
      <w:r>
        <w:rPr>
          <w:rFonts w:hint="default" w:ascii="Times New Roman" w:hAnsi="Times New Roman" w:cs="Times New Roman"/>
          <w:b w:val="0"/>
          <w:bCs w:val="0"/>
          <w:color w:val="000000"/>
          <w:spacing w:val="6"/>
          <w:highlight w:val="none"/>
          <w:lang w:eastAsia="zh-CN"/>
        </w:rPr>
        <w:t>，</w:t>
      </w:r>
      <w:r>
        <w:rPr>
          <w:rFonts w:hint="default" w:ascii="Times New Roman" w:hAnsi="Times New Roman" w:cs="Times New Roman"/>
          <w:b w:val="0"/>
          <w:bCs w:val="0"/>
          <w:color w:val="000000"/>
          <w:spacing w:val="6"/>
          <w:highlight w:val="none"/>
          <w:lang w:val="en-US" w:eastAsia="zh-CN"/>
        </w:rPr>
        <w:t>继续办好“国家安全 青春挺膺”等宣传教育活动，</w:t>
      </w:r>
      <w:r>
        <w:rPr>
          <w:rFonts w:hint="default" w:ascii="Times New Roman" w:hAnsi="Times New Roman" w:cs="Times New Roman"/>
          <w:b w:val="0"/>
          <w:bCs w:val="0"/>
          <w:color w:val="000000"/>
          <w:spacing w:val="6"/>
          <w:highlight w:val="none"/>
        </w:rPr>
        <w:t>增强</w:t>
      </w:r>
      <w:r>
        <w:rPr>
          <w:rFonts w:hint="default" w:ascii="Times New Roman" w:hAnsi="Times New Roman" w:cs="Times New Roman"/>
          <w:b w:val="0"/>
          <w:bCs w:val="0"/>
          <w:color w:val="000000"/>
          <w:spacing w:val="6"/>
          <w:highlight w:val="none"/>
          <w:lang w:val="en-US" w:eastAsia="zh-CN"/>
        </w:rPr>
        <w:t>全民</w:t>
      </w:r>
      <w:r>
        <w:rPr>
          <w:rFonts w:hint="default" w:ascii="Times New Roman" w:hAnsi="Times New Roman" w:cs="Times New Roman"/>
          <w:b w:val="0"/>
          <w:bCs w:val="0"/>
          <w:color w:val="000000"/>
          <w:spacing w:val="6"/>
          <w:highlight w:val="none"/>
        </w:rPr>
        <w:t>国家安全</w:t>
      </w:r>
      <w:r>
        <w:rPr>
          <w:rFonts w:hint="default" w:ascii="Times New Roman" w:hAnsi="Times New Roman" w:cs="Times New Roman"/>
          <w:b w:val="0"/>
          <w:bCs w:val="0"/>
          <w:color w:val="000000"/>
          <w:highlight w:val="none"/>
        </w:rPr>
        <w:t>意识。</w:t>
      </w:r>
    </w:p>
    <w:p w14:paraId="4D555336">
      <w:pPr>
        <w:pStyle w:val="4"/>
        <w:bidi w:val="0"/>
        <w:rPr>
          <w:rFonts w:hint="default" w:ascii="Times New Roman" w:hAnsi="Times New Roman" w:cs="Times New Roman"/>
          <w:highlight w:val="none"/>
          <w:lang w:val="en-US" w:eastAsia="zh-CN"/>
        </w:rPr>
      </w:pPr>
      <w:bookmarkStart w:id="260" w:name="_Toc28794_WPSOffice_Level3"/>
      <w:bookmarkStart w:id="261" w:name="_Toc18279"/>
      <w:r>
        <w:rPr>
          <w:rFonts w:hint="default" w:ascii="Times New Roman" w:hAnsi="Times New Roman" w:cs="Times New Roman"/>
          <w:highlight w:val="none"/>
          <w:lang w:val="en-US" w:eastAsia="zh-CN"/>
        </w:rPr>
        <w:t>2.维护公共安全</w:t>
      </w:r>
      <w:bookmarkEnd w:id="260"/>
      <w:bookmarkEnd w:id="261"/>
    </w:p>
    <w:p w14:paraId="02AE57B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b w:val="0"/>
          <w:bCs w:val="0"/>
          <w:highlight w:val="none"/>
          <w:lang w:val="en-US" w:eastAsia="zh-CN"/>
        </w:rPr>
        <w:t>实施安全生产治本攻坚行动。</w:t>
      </w:r>
      <w:r>
        <w:rPr>
          <w:rFonts w:hint="default" w:ascii="Times New Roman" w:hAnsi="Times New Roman" w:cs="Times New Roman"/>
          <w:b w:val="0"/>
          <w:bCs w:val="0"/>
          <w:highlight w:val="none"/>
        </w:rPr>
        <w:t>严格</w:t>
      </w:r>
      <w:r>
        <w:rPr>
          <w:rFonts w:hint="default" w:ascii="Times New Roman" w:hAnsi="Times New Roman" w:cs="Times New Roman"/>
          <w:b w:val="0"/>
          <w:bCs w:val="0"/>
          <w:color w:val="000000"/>
          <w:highlight w:val="none"/>
        </w:rPr>
        <w:t>落实</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尽职免责、失职追责</w:t>
      </w:r>
      <w:r>
        <w:rPr>
          <w:rFonts w:hint="default" w:ascii="Times New Roman" w:hAnsi="Times New Roman" w:cs="Times New Roman"/>
          <w:b w:val="0"/>
          <w:bCs w:val="0"/>
          <w:color w:val="000000"/>
          <w:highlight w:val="none"/>
          <w:lang w:eastAsia="zh-CN"/>
        </w:rPr>
        <w:t>”</w:t>
      </w:r>
      <w:r>
        <w:rPr>
          <w:rFonts w:hint="default" w:ascii="Times New Roman" w:hAnsi="Times New Roman" w:cs="Times New Roman"/>
          <w:b w:val="0"/>
          <w:bCs w:val="0"/>
          <w:color w:val="000000"/>
          <w:highlight w:val="none"/>
        </w:rPr>
        <w:t>安全生产责任制，完善安全生</w:t>
      </w:r>
      <w:r>
        <w:rPr>
          <w:rFonts w:hint="default" w:ascii="Times New Roman" w:hAnsi="Times New Roman" w:cs="Times New Roman"/>
          <w:b w:val="0"/>
          <w:bCs w:val="0"/>
          <w:highlight w:val="none"/>
        </w:rPr>
        <w:t>产督察督导、责任倒查和事故刑责追究机制，</w:t>
      </w:r>
      <w:r>
        <w:rPr>
          <w:rFonts w:hint="default" w:ascii="Times New Roman" w:hAnsi="Times New Roman" w:cs="Times New Roman"/>
          <w:b w:val="0"/>
          <w:bCs w:val="0"/>
          <w:color w:val="auto"/>
          <w:highlight w:val="none"/>
        </w:rPr>
        <w:t>推进安全生产标准化建设，构建安全风险分级管控机制和隐患排查治理双重预防体系。持续推进建设施工</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交通运输、</w:t>
      </w:r>
      <w:r>
        <w:rPr>
          <w:rFonts w:hint="default" w:ascii="Times New Roman" w:hAnsi="Times New Roman" w:cs="Times New Roman"/>
          <w:b w:val="0"/>
          <w:bCs w:val="0"/>
          <w:color w:val="auto"/>
          <w:highlight w:val="none"/>
          <w:lang w:val="en-US" w:eastAsia="zh-CN"/>
        </w:rPr>
        <w:t>化工生产</w:t>
      </w:r>
      <w:r>
        <w:rPr>
          <w:rFonts w:hint="default" w:ascii="Times New Roman" w:hAnsi="Times New Roman" w:cs="Times New Roman"/>
          <w:b w:val="0"/>
          <w:bCs w:val="0"/>
          <w:color w:val="auto"/>
          <w:highlight w:val="none"/>
        </w:rPr>
        <w:t>、特种设备等重点行业领域安全专项整治</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highlight w:val="none"/>
        </w:rPr>
        <w:t>构建覆盖重点企业的监测网络，推进高危行业</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机械化换人、自动化减人、智能化无人</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rPr>
        <w:t>安全技术改造</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以</w:t>
      </w:r>
      <w:r>
        <w:rPr>
          <w:rFonts w:hint="default" w:ascii="Times New Roman" w:hAnsi="Times New Roman" w:cs="Times New Roman"/>
          <w:b w:val="0"/>
          <w:bCs w:val="0"/>
          <w:highlight w:val="none"/>
          <w:lang w:eastAsia="zh-CN"/>
        </w:rPr>
        <w:t>过筛式督导检查</w:t>
      </w:r>
      <w:r>
        <w:rPr>
          <w:rFonts w:hint="default" w:ascii="Times New Roman" w:hAnsi="Times New Roman" w:cs="Times New Roman"/>
          <w:b w:val="0"/>
          <w:bCs w:val="0"/>
          <w:color w:val="auto"/>
          <w:highlight w:val="none"/>
          <w:lang w:val="en-US" w:eastAsia="zh-CN"/>
        </w:rPr>
        <w:t>坚决</w:t>
      </w:r>
      <w:r>
        <w:rPr>
          <w:rFonts w:hint="default" w:ascii="Times New Roman" w:hAnsi="Times New Roman" w:cs="Times New Roman"/>
          <w:b w:val="0"/>
          <w:bCs w:val="0"/>
          <w:color w:val="auto"/>
          <w:highlight w:val="none"/>
        </w:rPr>
        <w:t>遏制重特大安全事故</w:t>
      </w:r>
      <w:r>
        <w:rPr>
          <w:rFonts w:hint="default" w:ascii="Times New Roman" w:hAnsi="Times New Roman" w:cs="Times New Roman"/>
          <w:b w:val="0"/>
          <w:bCs w:val="0"/>
          <w:color w:val="auto"/>
          <w:highlight w:val="none"/>
          <w:lang w:val="en-US" w:eastAsia="zh-CN"/>
        </w:rPr>
        <w:t>发生</w:t>
      </w:r>
      <w:r>
        <w:rPr>
          <w:rFonts w:hint="default" w:ascii="Times New Roman" w:hAnsi="Times New Roman" w:cs="Times New Roman"/>
          <w:b w:val="0"/>
          <w:bCs w:val="0"/>
          <w:color w:val="auto"/>
          <w:highlight w:val="none"/>
        </w:rPr>
        <w:t>。</w:t>
      </w:r>
    </w:p>
    <w:p w14:paraId="71E9EBE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eastAsia="zh-CN"/>
        </w:rPr>
      </w:pPr>
      <w:r>
        <w:rPr>
          <w:rFonts w:hint="default" w:ascii="Times New Roman" w:hAnsi="Times New Roman" w:cs="Times New Roman"/>
          <w:b w:val="0"/>
          <w:bCs w:val="0"/>
          <w:highlight w:val="none"/>
        </w:rPr>
        <w:t>牢牢守住食品药品安全底线</w:t>
      </w:r>
      <w:r>
        <w:rPr>
          <w:rFonts w:hint="default" w:ascii="Times New Roman" w:hAnsi="Times New Roman" w:cs="Times New Roman"/>
          <w:b w:val="0"/>
          <w:bCs w:val="0"/>
          <w:highlight w:val="none"/>
          <w:lang w:eastAsia="zh-CN"/>
        </w:rPr>
        <w:t>。</w:t>
      </w:r>
      <w:r>
        <w:rPr>
          <w:rFonts w:hint="default" w:ascii="Times New Roman" w:hAnsi="Times New Roman" w:cs="Times New Roman"/>
          <w:b w:val="0"/>
          <w:bCs w:val="0"/>
          <w:highlight w:val="none"/>
          <w:lang w:val="en-US" w:eastAsia="zh-CN"/>
        </w:rPr>
        <w:t>坚持</w:t>
      </w:r>
      <w:r>
        <w:rPr>
          <w:rFonts w:hint="default" w:ascii="Times New Roman" w:hAnsi="Times New Roman" w:cs="Times New Roman"/>
          <w:b w:val="0"/>
          <w:bCs w:val="0"/>
          <w:color w:val="000000"/>
          <w:highlight w:val="none"/>
        </w:rPr>
        <w:t>最严谨</w:t>
      </w:r>
      <w:r>
        <w:rPr>
          <w:rFonts w:hint="default" w:ascii="Times New Roman" w:hAnsi="Times New Roman" w:cs="Times New Roman"/>
          <w:b w:val="0"/>
          <w:bCs w:val="0"/>
          <w:color w:val="auto"/>
          <w:highlight w:val="none"/>
        </w:rPr>
        <w:t>的标准、最严格的监管、最严厉的处罚、最严肃的问责</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000000"/>
          <w:kern w:val="0"/>
          <w:szCs w:val="32"/>
          <w:highlight w:val="none"/>
        </w:rPr>
        <w:t>压实食品</w:t>
      </w:r>
      <w:r>
        <w:rPr>
          <w:rFonts w:hint="default" w:ascii="Times New Roman" w:hAnsi="Times New Roman" w:cs="Times New Roman"/>
          <w:b w:val="0"/>
          <w:bCs w:val="0"/>
          <w:color w:val="000000"/>
          <w:kern w:val="0"/>
          <w:szCs w:val="32"/>
          <w:highlight w:val="none"/>
          <w:lang w:val="en-US" w:eastAsia="zh-CN"/>
        </w:rPr>
        <w:t>药品</w:t>
      </w:r>
      <w:r>
        <w:rPr>
          <w:rFonts w:hint="default" w:ascii="Times New Roman" w:hAnsi="Times New Roman" w:cs="Times New Roman"/>
          <w:b w:val="0"/>
          <w:bCs w:val="0"/>
          <w:color w:val="000000"/>
          <w:kern w:val="0"/>
          <w:szCs w:val="32"/>
          <w:highlight w:val="none"/>
        </w:rPr>
        <w:t>安全主体责任，</w:t>
      </w:r>
      <w:r>
        <w:rPr>
          <w:rFonts w:hint="default" w:ascii="Times New Roman" w:hAnsi="Times New Roman" w:cs="Times New Roman"/>
          <w:b w:val="0"/>
          <w:bCs w:val="0"/>
          <w:color w:val="auto"/>
          <w:highlight w:val="none"/>
          <w:lang w:val="en-US" w:eastAsia="zh-CN"/>
        </w:rPr>
        <w:t>推进</w:t>
      </w:r>
      <w:r>
        <w:rPr>
          <w:rFonts w:hint="default" w:ascii="Times New Roman" w:hAnsi="Times New Roman" w:cs="Times New Roman"/>
          <w:b w:val="0"/>
          <w:bCs w:val="0"/>
          <w:color w:val="auto"/>
          <w:highlight w:val="none"/>
          <w:lang w:eastAsia="zh-CN"/>
        </w:rPr>
        <w:t>食品药品安全社会共治。</w:t>
      </w:r>
      <w:r>
        <w:rPr>
          <w:rFonts w:hint="default" w:ascii="Times New Roman" w:hAnsi="Times New Roman" w:cs="Times New Roman"/>
          <w:b w:val="0"/>
          <w:bCs w:val="0"/>
          <w:color w:val="auto"/>
          <w:highlight w:val="none"/>
        </w:rPr>
        <w:t>健全覆盖生产、流通、储存、使用等各个环节的全链式、可追溯管理机制</w:t>
      </w:r>
      <w:r>
        <w:rPr>
          <w:rFonts w:hint="default" w:ascii="Times New Roman" w:hAnsi="Times New Roman" w:cs="Times New Roman"/>
          <w:b w:val="0"/>
          <w:bCs w:val="0"/>
          <w:color w:val="auto"/>
          <w:highlight w:val="none"/>
          <w:lang w:eastAsia="zh-CN"/>
        </w:rPr>
        <w:t>，依法严厉打击食品药品违法犯罪行为。</w:t>
      </w:r>
      <w:r>
        <w:rPr>
          <w:rFonts w:hint="default" w:ascii="Times New Roman" w:hAnsi="Times New Roman" w:eastAsia="仿宋_GB2312" w:cs="Times New Roman"/>
          <w:b w:val="0"/>
          <w:bCs w:val="0"/>
          <w:sz w:val="32"/>
          <w:szCs w:val="32"/>
          <w:highlight w:val="none"/>
          <w:lang w:val="en-US" w:eastAsia="zh-CN"/>
        </w:rPr>
        <w:t>探索在重点领域推广食品安全责任保险</w:t>
      </w:r>
      <w:r>
        <w:rPr>
          <w:rFonts w:hint="default" w:ascii="Times New Roman" w:hAnsi="Times New Roman" w:cs="Times New Roman"/>
          <w:b w:val="0"/>
          <w:bCs w:val="0"/>
          <w:sz w:val="32"/>
          <w:szCs w:val="32"/>
          <w:highlight w:val="none"/>
          <w:lang w:val="en-US" w:eastAsia="zh-CN"/>
        </w:rPr>
        <w:t>，在</w:t>
      </w:r>
      <w:r>
        <w:rPr>
          <w:rFonts w:hint="default" w:ascii="Times New Roman" w:hAnsi="Times New Roman" w:eastAsia="仿宋_GB2312" w:cs="Times New Roman"/>
          <w:b w:val="0"/>
          <w:bCs w:val="0"/>
          <w:sz w:val="32"/>
          <w:szCs w:val="32"/>
          <w:highlight w:val="none"/>
          <w:lang w:val="en-US" w:eastAsia="zh-CN"/>
        </w:rPr>
        <w:t>重点用药单位建立药品风险监测警戒数据上报工作机制。</w:t>
      </w:r>
    </w:p>
    <w:p w14:paraId="7C4A36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rPr>
      </w:pPr>
      <w:r>
        <w:rPr>
          <w:rFonts w:hint="default" w:ascii="Times New Roman" w:hAnsi="Times New Roman" w:cs="Times New Roman"/>
          <w:b w:val="0"/>
          <w:bCs w:val="0"/>
          <w:highlight w:val="none"/>
          <w:lang w:eastAsia="zh-CN"/>
        </w:rPr>
        <w:t>加强应急救援</w:t>
      </w:r>
      <w:r>
        <w:rPr>
          <w:rFonts w:hint="default" w:ascii="Times New Roman" w:hAnsi="Times New Roman" w:cs="Times New Roman"/>
          <w:b w:val="0"/>
          <w:bCs w:val="0"/>
          <w:highlight w:val="none"/>
          <w:lang w:val="en-US" w:eastAsia="zh-CN"/>
        </w:rPr>
        <w:t>体系</w:t>
      </w:r>
      <w:r>
        <w:rPr>
          <w:rFonts w:hint="default" w:ascii="Times New Roman" w:hAnsi="Times New Roman" w:cs="Times New Roman"/>
          <w:b w:val="0"/>
          <w:bCs w:val="0"/>
          <w:highlight w:val="none"/>
          <w:lang w:eastAsia="zh-CN"/>
        </w:rPr>
        <w:t>建设。</w:t>
      </w:r>
      <w:r>
        <w:rPr>
          <w:rFonts w:hint="default" w:ascii="Times New Roman" w:hAnsi="Times New Roman" w:cs="Times New Roman"/>
          <w:b w:val="0"/>
          <w:bCs w:val="0"/>
          <w:highlight w:val="none"/>
        </w:rPr>
        <w:t>健</w:t>
      </w:r>
      <w:r>
        <w:rPr>
          <w:rFonts w:hint="default" w:ascii="Times New Roman" w:hAnsi="Times New Roman" w:cs="Times New Roman"/>
          <w:b w:val="0"/>
          <w:bCs w:val="0"/>
          <w:color w:val="000000"/>
          <w:highlight w:val="none"/>
        </w:rPr>
        <w:t>全应急物资保障</w:t>
      </w:r>
      <w:r>
        <w:rPr>
          <w:rFonts w:hint="default" w:ascii="Times New Roman" w:hAnsi="Times New Roman" w:cs="Times New Roman"/>
          <w:b w:val="0"/>
          <w:bCs w:val="0"/>
          <w:color w:val="000000"/>
          <w:kern w:val="0"/>
          <w:szCs w:val="32"/>
          <w:highlight w:val="none"/>
        </w:rPr>
        <w:t>体系，实施物资实物储备、协议储备和生产能力储备有机结合的物资储备机制，加强应急物资储备库及设施设备建设，提升应急物资统筹管理能力。</w:t>
      </w:r>
      <w:r>
        <w:rPr>
          <w:rFonts w:hint="default" w:ascii="Times New Roman" w:hAnsi="Times New Roman" w:cs="Times New Roman"/>
          <w:b w:val="0"/>
          <w:bCs w:val="0"/>
          <w:color w:val="auto"/>
          <w:highlight w:val="none"/>
          <w:lang w:eastAsia="zh-CN"/>
        </w:rPr>
        <w:t>加强应急队伍建设，</w:t>
      </w:r>
      <w:r>
        <w:rPr>
          <w:rFonts w:hint="default" w:ascii="Times New Roman" w:hAnsi="Times New Roman" w:cs="Times New Roman"/>
          <w:b w:val="0"/>
          <w:bCs w:val="0"/>
          <w:color w:val="auto"/>
          <w:highlight w:val="none"/>
          <w:lang w:val="en-US" w:eastAsia="zh-CN"/>
        </w:rPr>
        <w:t>进一步壮大</w:t>
      </w:r>
      <w:r>
        <w:rPr>
          <w:rFonts w:hint="default" w:ascii="Times New Roman" w:hAnsi="Times New Roman" w:cs="Times New Roman"/>
          <w:b w:val="0"/>
          <w:bCs w:val="0"/>
          <w:color w:val="auto"/>
          <w:highlight w:val="none"/>
          <w:lang w:eastAsia="zh-CN"/>
        </w:rPr>
        <w:t>建筑施工、</w:t>
      </w:r>
      <w:r>
        <w:rPr>
          <w:rFonts w:hint="default" w:ascii="Times New Roman" w:hAnsi="Times New Roman" w:cs="Times New Roman"/>
          <w:b w:val="0"/>
          <w:bCs w:val="0"/>
          <w:color w:val="auto"/>
          <w:highlight w:val="none"/>
          <w:lang w:val="en-US" w:eastAsia="zh-CN"/>
        </w:rPr>
        <w:t>道路</w:t>
      </w:r>
      <w:r>
        <w:rPr>
          <w:rFonts w:hint="default" w:ascii="Times New Roman" w:hAnsi="Times New Roman" w:cs="Times New Roman"/>
          <w:b w:val="0"/>
          <w:bCs w:val="0"/>
          <w:color w:val="auto"/>
          <w:highlight w:val="none"/>
          <w:lang w:eastAsia="zh-CN"/>
        </w:rPr>
        <w:t>交通、森林防火、地质灾害、防汛抗旱、电力燃气抢修、应急通信、消防救援、危险化学品等领域专（兼）职应急救援队伍，</w:t>
      </w:r>
      <w:r>
        <w:rPr>
          <w:rFonts w:hint="default" w:ascii="Times New Roman" w:hAnsi="Times New Roman" w:cs="Times New Roman"/>
          <w:b w:val="0"/>
          <w:bCs w:val="0"/>
          <w:color w:val="auto"/>
          <w:highlight w:val="none"/>
          <w:lang w:val="en-US" w:eastAsia="zh-CN"/>
        </w:rPr>
        <w:t>强化</w:t>
      </w:r>
      <w:r>
        <w:rPr>
          <w:rFonts w:hint="default" w:ascii="Times New Roman" w:hAnsi="Times New Roman" w:cs="Times New Roman"/>
          <w:b w:val="0"/>
          <w:bCs w:val="0"/>
          <w:color w:val="auto"/>
          <w:highlight w:val="none"/>
          <w:lang w:eastAsia="zh-CN"/>
        </w:rPr>
        <w:t>政府与社会救援力量协同，支持引导社会应急</w:t>
      </w:r>
      <w:r>
        <w:rPr>
          <w:rFonts w:hint="default" w:ascii="Times New Roman" w:hAnsi="Times New Roman" w:cs="Times New Roman"/>
          <w:b w:val="0"/>
          <w:bCs w:val="0"/>
          <w:color w:val="auto"/>
          <w:highlight w:val="none"/>
          <w:lang w:val="en-US" w:eastAsia="zh-CN"/>
        </w:rPr>
        <w:t>救援</w:t>
      </w:r>
      <w:r>
        <w:rPr>
          <w:rFonts w:hint="default" w:ascii="Times New Roman" w:hAnsi="Times New Roman" w:cs="Times New Roman"/>
          <w:b w:val="0"/>
          <w:bCs w:val="0"/>
          <w:color w:val="auto"/>
          <w:highlight w:val="none"/>
          <w:lang w:eastAsia="zh-CN"/>
        </w:rPr>
        <w:t>力量发展，多元化发展蓝天救援队、学雷锋救援队、鲁山救援队等社会救援力量，推进应急</w:t>
      </w:r>
      <w:r>
        <w:rPr>
          <w:rFonts w:hint="default" w:ascii="Times New Roman" w:hAnsi="Times New Roman" w:cs="Times New Roman"/>
          <w:b w:val="0"/>
          <w:bCs w:val="0"/>
          <w:color w:val="auto"/>
          <w:highlight w:val="none"/>
          <w:lang w:val="en-US" w:eastAsia="zh-CN"/>
        </w:rPr>
        <w:t>救援</w:t>
      </w:r>
      <w:r>
        <w:rPr>
          <w:rFonts w:hint="default" w:ascii="Times New Roman" w:hAnsi="Times New Roman" w:cs="Times New Roman"/>
          <w:b w:val="0"/>
          <w:bCs w:val="0"/>
          <w:color w:val="auto"/>
          <w:highlight w:val="none"/>
          <w:lang w:eastAsia="zh-CN"/>
        </w:rPr>
        <w:t>演练常态化。</w:t>
      </w:r>
    </w:p>
    <w:p w14:paraId="5950E2CA">
      <w:pPr>
        <w:pStyle w:val="4"/>
        <w:pageBreakBefore w:val="0"/>
        <w:widowControl w:val="0"/>
        <w:kinsoku/>
        <w:wordWrap/>
        <w:overflowPunct/>
        <w:topLinePunct w:val="0"/>
        <w:autoSpaceDE/>
        <w:autoSpaceDN/>
        <w:bidi w:val="0"/>
        <w:adjustRightInd/>
        <w:snapToGrid/>
        <w:textAlignment w:val="auto"/>
        <w:rPr>
          <w:rFonts w:hint="default" w:ascii="Times New Roman" w:hAnsi="Times New Roman" w:cs="Times New Roman"/>
          <w:highlight w:val="none"/>
          <w:lang w:val="en-US" w:eastAsia="zh-CN"/>
        </w:rPr>
      </w:pPr>
      <w:bookmarkStart w:id="262" w:name="_Toc8251_WPSOffice_Level3"/>
      <w:bookmarkStart w:id="263" w:name="_Toc21515"/>
      <w:r>
        <w:rPr>
          <w:rFonts w:hint="default" w:ascii="Times New Roman" w:hAnsi="Times New Roman" w:cs="Times New Roman"/>
          <w:highlight w:val="none"/>
          <w:lang w:val="en-US" w:eastAsia="zh-CN"/>
        </w:rPr>
        <w:t>3.维护经济安全</w:t>
      </w:r>
      <w:bookmarkEnd w:id="262"/>
      <w:bookmarkEnd w:id="263"/>
    </w:p>
    <w:p w14:paraId="35C7AD4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000000"/>
          <w:highlight w:val="none"/>
          <w:lang w:val="en-US" w:eastAsia="zh-CN"/>
        </w:rPr>
      </w:pPr>
      <w:r>
        <w:rPr>
          <w:rFonts w:hint="default" w:ascii="Times New Roman" w:hAnsi="Times New Roman" w:cs="Times New Roman"/>
          <w:b w:val="0"/>
          <w:bCs w:val="0"/>
          <w:highlight w:val="none"/>
          <w:lang w:val="en-US" w:eastAsia="zh-CN"/>
        </w:rPr>
        <w:t>积极稳妥化解地方政府债务风险。规</w:t>
      </w:r>
      <w:r>
        <w:rPr>
          <w:rFonts w:hint="default" w:ascii="Times New Roman" w:hAnsi="Times New Roman" w:cs="Times New Roman"/>
          <w:b w:val="0"/>
          <w:bCs w:val="0"/>
          <w:color w:val="000000"/>
          <w:highlight w:val="none"/>
          <w:lang w:val="en-US" w:eastAsia="zh-CN"/>
        </w:rPr>
        <w:t>范政府债务融资机制，严控政府债务增量，杜绝违规新增隐性债务，积极消化存量债务，按时偿还政府债务本息，控制政府综合债务率在合理水平。加快融资平台退出转型，优化城投公司债务结构，降低融资成本，守牢政府债务风险底线。</w:t>
      </w:r>
    </w:p>
    <w:p w14:paraId="42E5DA2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eastAsia="zh-CN"/>
        </w:rPr>
      </w:pPr>
      <w:r>
        <w:rPr>
          <w:rFonts w:hint="default" w:ascii="Times New Roman" w:hAnsi="Times New Roman" w:cs="Times New Roman"/>
          <w:b w:val="0"/>
          <w:bCs w:val="0"/>
          <w:highlight w:val="none"/>
          <w:lang w:val="en-US" w:eastAsia="zh-CN"/>
        </w:rPr>
        <w:t>坚决遏制系统性金融风险。</w:t>
      </w:r>
      <w:r>
        <w:rPr>
          <w:rFonts w:hint="default" w:ascii="Times New Roman" w:hAnsi="Times New Roman" w:cs="Times New Roman"/>
          <w:b w:val="0"/>
          <w:bCs w:val="0"/>
          <w:highlight w:val="none"/>
          <w:lang w:eastAsia="zh-CN"/>
        </w:rPr>
        <w:t>健全</w:t>
      </w:r>
      <w:r>
        <w:rPr>
          <w:rFonts w:hint="default" w:ascii="Times New Roman" w:hAnsi="Times New Roman" w:cs="Times New Roman"/>
          <w:b w:val="0"/>
          <w:bCs w:val="0"/>
          <w:color w:val="000000"/>
          <w:highlight w:val="none"/>
          <w:lang w:eastAsia="zh-CN"/>
        </w:rPr>
        <w:t>金融风险预防、预警、处置、问责制度体系，</w:t>
      </w:r>
      <w:r>
        <w:rPr>
          <w:rFonts w:hint="default" w:ascii="Times New Roman" w:hAnsi="Times New Roman" w:cs="Times New Roman"/>
          <w:b w:val="0"/>
          <w:bCs w:val="0"/>
          <w:color w:val="auto"/>
          <w:highlight w:val="none"/>
          <w:lang w:val="en-US" w:eastAsia="zh-CN"/>
        </w:rPr>
        <w:t>扎实推进中小金融机构风险资产处置，</w:t>
      </w:r>
      <w:r>
        <w:rPr>
          <w:rFonts w:hint="default" w:ascii="Times New Roman" w:hAnsi="Times New Roman" w:cs="Times New Roman"/>
          <w:b w:val="0"/>
          <w:bCs w:val="0"/>
          <w:szCs w:val="32"/>
          <w:highlight w:val="none"/>
        </w:rPr>
        <w:t>严防中小金融机构风险</w:t>
      </w:r>
      <w:r>
        <w:rPr>
          <w:rFonts w:hint="default" w:ascii="Times New Roman" w:hAnsi="Times New Roman" w:cs="Times New Roman"/>
          <w:b w:val="0"/>
          <w:bCs w:val="0"/>
          <w:szCs w:val="32"/>
          <w:highlight w:val="none"/>
          <w:lang w:eastAsia="zh-CN"/>
        </w:rPr>
        <w:t>，</w:t>
      </w:r>
      <w:r>
        <w:rPr>
          <w:rFonts w:hint="default" w:ascii="Times New Roman" w:hAnsi="Times New Roman" w:cs="Times New Roman"/>
          <w:b w:val="0"/>
          <w:bCs w:val="0"/>
          <w:color w:val="auto"/>
          <w:highlight w:val="none"/>
          <w:lang w:eastAsia="zh-CN"/>
        </w:rPr>
        <w:t>严厉打击非法集资等违法违规活动，有效处置高负债企业和法人机构风险，</w:t>
      </w:r>
      <w:r>
        <w:rPr>
          <w:rFonts w:hint="default" w:ascii="Times New Roman" w:hAnsi="Times New Roman" w:cs="Times New Roman"/>
          <w:b w:val="0"/>
          <w:bCs w:val="0"/>
          <w:color w:val="auto"/>
          <w:highlight w:val="none"/>
          <w:lang w:val="en-US" w:eastAsia="zh-CN"/>
        </w:rPr>
        <w:t>牢牢守住不发生区域性、系统性金融风险的底线。</w:t>
      </w:r>
    </w:p>
    <w:p w14:paraId="3960F7A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eastAsia="zh-CN"/>
        </w:rPr>
      </w:pPr>
      <w:r>
        <w:rPr>
          <w:rFonts w:hint="default" w:ascii="Times New Roman" w:hAnsi="Times New Roman" w:cs="Times New Roman"/>
          <w:b w:val="0"/>
          <w:bCs w:val="0"/>
          <w:highlight w:val="none"/>
          <w:lang w:val="en-US" w:eastAsia="zh-CN"/>
        </w:rPr>
        <w:t>确保</w:t>
      </w:r>
      <w:r>
        <w:rPr>
          <w:rFonts w:hint="default" w:ascii="Times New Roman" w:hAnsi="Times New Roman" w:cs="Times New Roman"/>
          <w:b w:val="0"/>
          <w:bCs w:val="0"/>
          <w:highlight w:val="none"/>
        </w:rPr>
        <w:t>战略性资源安全。扛牢粮</w:t>
      </w:r>
      <w:r>
        <w:rPr>
          <w:rFonts w:hint="default" w:ascii="Times New Roman" w:hAnsi="Times New Roman" w:cs="Times New Roman"/>
          <w:b w:val="0"/>
          <w:bCs w:val="0"/>
          <w:color w:val="000000"/>
          <w:highlight w:val="none"/>
        </w:rPr>
        <w:t>食安全重大责</w:t>
      </w:r>
      <w:r>
        <w:rPr>
          <w:rFonts w:hint="default" w:ascii="Times New Roman" w:hAnsi="Times New Roman" w:cs="Times New Roman"/>
          <w:b w:val="0"/>
          <w:bCs w:val="0"/>
          <w:color w:val="auto"/>
          <w:highlight w:val="none"/>
        </w:rPr>
        <w:t>任，夯实粮食安全底线，以提单产、稳面积、减损耗为主攻方向</w:t>
      </w:r>
      <w:r>
        <w:rPr>
          <w:rFonts w:hint="default" w:ascii="Times New Roman" w:hAnsi="Times New Roman" w:cs="Times New Roman"/>
          <w:b w:val="0"/>
          <w:bCs w:val="0"/>
          <w:color w:val="auto"/>
          <w:highlight w:val="none"/>
          <w:lang w:val="en-US" w:eastAsia="zh-CN"/>
        </w:rPr>
        <w:t>有效提升全县粮食综合生产能力</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lang w:val="en-US" w:eastAsia="zh-CN"/>
        </w:rPr>
        <w:t>建立健全煤电油气运协调机制，着力提升能源安全底线保障能力，完善能源风险应急管控体系。构建统一高效的物资储备体系，加强重要物资储备轮换管理机制和应急保供体系建设，完善重要民生商品价格调控机制，保障市场供应和价格总体平稳。</w:t>
      </w:r>
    </w:p>
    <w:p w14:paraId="7564CB0E">
      <w:pPr>
        <w:pStyle w:val="4"/>
        <w:pageBreakBefore w:val="0"/>
        <w:widowControl w:val="0"/>
        <w:kinsoku/>
        <w:wordWrap/>
        <w:overflowPunct/>
        <w:topLinePunct w:val="0"/>
        <w:autoSpaceDE/>
        <w:autoSpaceDN/>
        <w:bidi w:val="0"/>
        <w:adjustRightInd/>
        <w:snapToGrid/>
        <w:textAlignment w:val="auto"/>
        <w:rPr>
          <w:rFonts w:hint="default" w:ascii="Times New Roman" w:hAnsi="Times New Roman" w:cs="Times New Roman"/>
          <w:highlight w:val="none"/>
          <w:lang w:val="en-US" w:eastAsia="zh-CN"/>
        </w:rPr>
      </w:pPr>
      <w:bookmarkStart w:id="264" w:name="_Toc22520"/>
      <w:bookmarkStart w:id="265" w:name="_Toc8990_WPSOffice_Level3"/>
      <w:r>
        <w:rPr>
          <w:rFonts w:hint="default" w:ascii="Times New Roman" w:hAnsi="Times New Roman" w:cs="Times New Roman"/>
          <w:highlight w:val="none"/>
          <w:lang w:val="en-US" w:eastAsia="zh-CN"/>
        </w:rPr>
        <w:t>4.维护社会安全</w:t>
      </w:r>
      <w:bookmarkEnd w:id="264"/>
      <w:bookmarkEnd w:id="265"/>
    </w:p>
    <w:p w14:paraId="79BE824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eastAsia="zh-CN"/>
        </w:rPr>
      </w:pPr>
      <w:r>
        <w:rPr>
          <w:rFonts w:hint="default" w:ascii="Times New Roman" w:hAnsi="Times New Roman" w:cs="Times New Roman"/>
          <w:b w:val="0"/>
          <w:bCs w:val="0"/>
          <w:highlight w:val="none"/>
          <w:lang w:val="en-US" w:eastAsia="zh-CN"/>
        </w:rPr>
        <w:t>提升社会矛盾纠纷化解能力。</w:t>
      </w:r>
      <w:r>
        <w:rPr>
          <w:rFonts w:hint="default" w:ascii="Times New Roman" w:hAnsi="Times New Roman" w:cs="Times New Roman"/>
          <w:b w:val="0"/>
          <w:bCs w:val="0"/>
          <w:color w:val="000000"/>
          <w:highlight w:val="none"/>
          <w:lang w:eastAsia="zh-CN"/>
        </w:rPr>
        <w:t>坚持和发展新时代“枫</w:t>
      </w:r>
      <w:r>
        <w:rPr>
          <w:rFonts w:hint="default" w:ascii="Times New Roman" w:hAnsi="Times New Roman" w:cs="Times New Roman"/>
          <w:b w:val="0"/>
          <w:bCs w:val="0"/>
          <w:color w:val="auto"/>
          <w:highlight w:val="none"/>
          <w:lang w:eastAsia="zh-CN"/>
        </w:rPr>
        <w:t>桥经验”，构建源头防控、排查梳理、纠纷化解、应急处置的社会矛盾综合治理机制。健全重大决策社会稳定评估机制，实施矛盾纠纷及时调解机制，确保有效防范和妥善处置群体性事件。严格执行《信访工作条例》，以“全面推进信访工作法治化”为主线，锚定“权责明、底数清、依法办、秩序好、群众满意”目标，推动“五个法治化”“四个到位”，确保人民群众的每一项诉求都有人办理、每一项诉求都依法推进。</w:t>
      </w:r>
    </w:p>
    <w:p w14:paraId="0213538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spacing w:val="6"/>
          <w:sz w:val="32"/>
          <w:highlight w:val="none"/>
          <w:lang w:eastAsia="zh-CN"/>
        </w:rPr>
      </w:pPr>
      <w:r>
        <w:rPr>
          <w:rFonts w:hint="default" w:ascii="Times New Roman" w:hAnsi="Times New Roman" w:cs="Times New Roman"/>
          <w:b w:val="0"/>
          <w:bCs w:val="0"/>
          <w:spacing w:val="6"/>
          <w:sz w:val="32"/>
          <w:highlight w:val="none"/>
          <w:lang w:val="en-US" w:eastAsia="zh-CN"/>
        </w:rPr>
        <w:t>加强社会治安防控体系建设。</w:t>
      </w:r>
      <w:r>
        <w:rPr>
          <w:rFonts w:hint="default" w:ascii="Times New Roman" w:hAnsi="Times New Roman" w:cs="Times New Roman"/>
          <w:b w:val="0"/>
          <w:bCs w:val="0"/>
          <w:color w:val="000000"/>
          <w:spacing w:val="6"/>
          <w:sz w:val="32"/>
          <w:highlight w:val="none"/>
        </w:rPr>
        <w:t>精准实施城区</w:t>
      </w:r>
      <w:r>
        <w:rPr>
          <w:rFonts w:hint="default" w:ascii="Times New Roman" w:hAnsi="Times New Roman" w:cs="Times New Roman"/>
          <w:b w:val="0"/>
          <w:bCs w:val="0"/>
          <w:color w:val="000000"/>
          <w:spacing w:val="6"/>
          <w:sz w:val="32"/>
          <w:highlight w:val="none"/>
          <w:lang w:eastAsia="zh-CN"/>
        </w:rPr>
        <w:t>“</w:t>
      </w:r>
      <w:r>
        <w:rPr>
          <w:rFonts w:hint="default" w:ascii="Times New Roman" w:hAnsi="Times New Roman" w:cs="Times New Roman"/>
          <w:b w:val="0"/>
          <w:bCs w:val="0"/>
          <w:color w:val="000000"/>
          <w:spacing w:val="6"/>
          <w:sz w:val="32"/>
          <w:highlight w:val="none"/>
        </w:rPr>
        <w:t>1</w:t>
      </w:r>
      <w:r>
        <w:rPr>
          <w:rFonts w:hint="default" w:ascii="Times New Roman" w:hAnsi="Times New Roman" w:eastAsia="仿宋_GB2312" w:cs="Times New Roman"/>
          <w:b w:val="0"/>
          <w:bCs w:val="0"/>
          <w:spacing w:val="6"/>
          <w:sz w:val="32"/>
          <w:szCs w:val="32"/>
          <w:highlight w:val="none"/>
        </w:rPr>
        <w:t>+2+N</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和农村</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一村一（辅）警</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社区警务模式，加强调解员队伍建设，完善人民调解、行政调解、司法调解</w:t>
      </w:r>
      <w:r>
        <w:rPr>
          <w:rFonts w:hint="default" w:ascii="Times New Roman" w:hAnsi="Times New Roman" w:cs="Times New Roman"/>
          <w:b w:val="0"/>
          <w:bCs w:val="0"/>
          <w:spacing w:val="6"/>
          <w:sz w:val="32"/>
          <w:szCs w:val="32"/>
          <w:highlight w:val="none"/>
          <w:lang w:val="en-US" w:eastAsia="zh-CN"/>
        </w:rPr>
        <w:t>对接</w:t>
      </w:r>
      <w:r>
        <w:rPr>
          <w:rFonts w:hint="default" w:ascii="Times New Roman" w:hAnsi="Times New Roman" w:eastAsia="仿宋_GB2312" w:cs="Times New Roman"/>
          <w:b w:val="0"/>
          <w:bCs w:val="0"/>
          <w:spacing w:val="6"/>
          <w:sz w:val="32"/>
          <w:szCs w:val="32"/>
          <w:highlight w:val="none"/>
        </w:rPr>
        <w:t>联动</w:t>
      </w:r>
      <w:r>
        <w:rPr>
          <w:rFonts w:hint="default" w:ascii="Times New Roman" w:hAnsi="Times New Roman" w:cs="Times New Roman"/>
          <w:b w:val="0"/>
          <w:bCs w:val="0"/>
          <w:spacing w:val="6"/>
          <w:sz w:val="32"/>
          <w:szCs w:val="32"/>
          <w:highlight w:val="none"/>
          <w:lang w:val="en-US" w:eastAsia="zh-CN"/>
        </w:rPr>
        <w:t>机制</w:t>
      </w:r>
      <w:r>
        <w:rPr>
          <w:rFonts w:hint="default" w:ascii="Times New Roman" w:hAnsi="Times New Roman" w:eastAsia="仿宋_GB2312" w:cs="Times New Roman"/>
          <w:b w:val="0"/>
          <w:bCs w:val="0"/>
          <w:spacing w:val="6"/>
          <w:sz w:val="32"/>
          <w:szCs w:val="32"/>
          <w:highlight w:val="none"/>
        </w:rPr>
        <w:t>，持续推进</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警种联动、警保联控、警民联防</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群防群治</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大巡防</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eastAsia="仿宋_GB2312" w:cs="Times New Roman"/>
          <w:b w:val="0"/>
          <w:bCs w:val="0"/>
          <w:spacing w:val="6"/>
          <w:sz w:val="32"/>
          <w:szCs w:val="32"/>
          <w:highlight w:val="none"/>
        </w:rPr>
        <w:t>新模式</w:t>
      </w:r>
      <w:r>
        <w:rPr>
          <w:rFonts w:hint="default" w:ascii="Times New Roman" w:hAnsi="Times New Roman" w:cs="Times New Roman"/>
          <w:b w:val="0"/>
          <w:bCs w:val="0"/>
          <w:spacing w:val="6"/>
          <w:sz w:val="32"/>
          <w:szCs w:val="32"/>
          <w:highlight w:val="none"/>
          <w:lang w:eastAsia="zh-CN"/>
        </w:rPr>
        <w:t>，</w:t>
      </w:r>
      <w:r>
        <w:rPr>
          <w:rFonts w:hint="default" w:ascii="Times New Roman" w:hAnsi="Times New Roman" w:cs="Times New Roman"/>
          <w:spacing w:val="6"/>
          <w:kern w:val="0"/>
          <w:sz w:val="32"/>
          <w:szCs w:val="32"/>
          <w:highlight w:val="none"/>
          <w:lang w:val="en-US" w:eastAsia="zh-CN"/>
        </w:rPr>
        <w:t>强化对</w:t>
      </w:r>
      <w:r>
        <w:rPr>
          <w:rFonts w:hint="default" w:ascii="Times New Roman" w:hAnsi="Times New Roman" w:eastAsia="仿宋_GB2312" w:cs="Times New Roman"/>
          <w:spacing w:val="6"/>
          <w:kern w:val="0"/>
          <w:sz w:val="32"/>
          <w:szCs w:val="32"/>
          <w:highlight w:val="none"/>
          <w:lang w:val="en-US" w:eastAsia="zh-CN"/>
        </w:rPr>
        <w:t>“民转刑”“刑转命”案件</w:t>
      </w:r>
      <w:r>
        <w:rPr>
          <w:rFonts w:hint="default" w:ascii="Times New Roman" w:hAnsi="Times New Roman" w:cs="Times New Roman"/>
          <w:spacing w:val="6"/>
          <w:kern w:val="0"/>
          <w:sz w:val="32"/>
          <w:szCs w:val="32"/>
          <w:highlight w:val="none"/>
          <w:lang w:val="en-US" w:eastAsia="zh-CN"/>
        </w:rPr>
        <w:t>的</w:t>
      </w:r>
      <w:r>
        <w:rPr>
          <w:rFonts w:hint="default" w:ascii="Times New Roman" w:hAnsi="Times New Roman" w:eastAsia="仿宋_GB2312" w:cs="Times New Roman"/>
          <w:spacing w:val="6"/>
          <w:kern w:val="0"/>
          <w:sz w:val="32"/>
          <w:szCs w:val="32"/>
          <w:highlight w:val="none"/>
          <w:lang w:val="en-US" w:eastAsia="zh-CN"/>
        </w:rPr>
        <w:t>整治</w:t>
      </w:r>
      <w:r>
        <w:rPr>
          <w:rFonts w:hint="default" w:ascii="Times New Roman" w:hAnsi="Times New Roman" w:eastAsia="仿宋_GB2312" w:cs="Times New Roman"/>
          <w:b w:val="0"/>
          <w:bCs w:val="0"/>
          <w:spacing w:val="6"/>
          <w:sz w:val="32"/>
          <w:szCs w:val="32"/>
          <w:highlight w:val="none"/>
        </w:rPr>
        <w:t>。</w:t>
      </w:r>
      <w:r>
        <w:rPr>
          <w:rFonts w:hint="default" w:ascii="Times New Roman" w:hAnsi="Times New Roman" w:cs="Times New Roman"/>
          <w:b w:val="0"/>
          <w:bCs w:val="0"/>
          <w:color w:val="auto"/>
          <w:spacing w:val="6"/>
          <w:sz w:val="32"/>
          <w:highlight w:val="none"/>
          <w:lang w:eastAsia="zh-CN"/>
        </w:rPr>
        <w:t>深化推进扫黑除恶专项斗争，全面落实打防管控措施，严打涉黑涉恶、涉枪涉爆、新型网络犯罪和“黄赌毒”“食药环”“盗抢骗”等违法犯罪活动。</w:t>
      </w:r>
    </w:p>
    <w:p w14:paraId="22EAE12B">
      <w:pPr>
        <w:pStyle w:val="3"/>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266" w:name="_Toc300"/>
      <w:bookmarkStart w:id="267" w:name="_Toc13023_WPSOffice_Level2"/>
      <w:bookmarkStart w:id="268" w:name="_Toc17103"/>
      <w:bookmarkStart w:id="269" w:name="_Toc15021"/>
      <w:r>
        <w:rPr>
          <w:rFonts w:hint="default" w:ascii="Times New Roman" w:hAnsi="Times New Roman" w:cs="Times New Roman"/>
          <w:sz w:val="32"/>
          <w:szCs w:val="22"/>
          <w:highlight w:val="none"/>
          <w:lang w:val="en-US" w:eastAsia="zh-CN"/>
        </w:rPr>
        <w:t>第二节  加强和创新社会治理</w:t>
      </w:r>
      <w:bookmarkEnd w:id="266"/>
      <w:bookmarkEnd w:id="267"/>
      <w:bookmarkEnd w:id="268"/>
      <w:bookmarkEnd w:id="269"/>
    </w:p>
    <w:p w14:paraId="4B0891E9">
      <w:pPr>
        <w:pStyle w:val="4"/>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270" w:name="_Toc21109"/>
      <w:bookmarkStart w:id="271" w:name="_Toc27449_WPSOffice_Level3"/>
      <w:r>
        <w:rPr>
          <w:rFonts w:hint="default" w:ascii="Times New Roman" w:hAnsi="Times New Roman" w:cs="Times New Roman"/>
          <w:highlight w:val="none"/>
          <w:lang w:val="en-US" w:eastAsia="zh-CN"/>
        </w:rPr>
        <w:t>1.推进社会主义民主政治</w:t>
      </w:r>
      <w:bookmarkEnd w:id="270"/>
      <w:bookmarkEnd w:id="271"/>
    </w:p>
    <w:p w14:paraId="3386235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坚持和完善人民代表大会制度，加强人大对“一府一委两院”的监督，保障人民依法通过各种途径和形式管理经济社会发展事务。坚持和完善中国共产党领导的多党合作和政治协商制度，推动社情民意信息与政协履职融会贯通，提高建言资政和凝聚共识水平。完善大统战工作格局，巩固和发展最广泛的爱国统一战线，全面落实知识分子、民族、宗教、侨务等各领域政策，充分发挥民主党派、工商联和无党派人士作用，积极争取省委统战部指导支持，持续擦亮“全省民主党派助力乡村振兴县区行”活动品牌。发挥工会、共青团、妇联等人民团体桥梁纽带作用，把人民群众紧紧团结在党的周围。实施新兴领域“双融双创”攻坚项目，不断增强党在新兴领域的号召力、凝聚力和影响力。</w:t>
      </w:r>
    </w:p>
    <w:p w14:paraId="51F01572">
      <w:pPr>
        <w:pStyle w:val="4"/>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272" w:name="_Toc2833_WPSOffice_Level3"/>
      <w:bookmarkStart w:id="273" w:name="_Toc7986"/>
      <w:r>
        <w:rPr>
          <w:rFonts w:hint="default" w:ascii="Times New Roman" w:hAnsi="Times New Roman" w:cs="Times New Roman"/>
          <w:highlight w:val="none"/>
          <w:lang w:val="en-US" w:eastAsia="zh-CN"/>
        </w:rPr>
        <w:t>2.构建社会治理共同体</w:t>
      </w:r>
      <w:bookmarkEnd w:id="272"/>
      <w:bookmarkEnd w:id="273"/>
    </w:p>
    <w:p w14:paraId="32D3E8A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cs="Times New Roman"/>
          <w:b w:val="0"/>
          <w:bCs w:val="0"/>
          <w:color w:val="auto"/>
          <w:highlight w:val="none"/>
          <w:lang w:val="en-US" w:eastAsia="zh-CN"/>
        </w:rPr>
      </w:pPr>
      <w:bookmarkStart w:id="274" w:name="_Toc23743"/>
      <w:bookmarkStart w:id="275" w:name="_Toc4515_WPSOffice_Level3"/>
      <w:r>
        <w:rPr>
          <w:rFonts w:hint="default" w:ascii="Times New Roman" w:hAnsi="Times New Roman" w:cs="Times New Roman"/>
          <w:b w:val="0"/>
          <w:bCs w:val="0"/>
          <w:color w:val="auto"/>
          <w:highlight w:val="none"/>
          <w:lang w:val="en-US" w:eastAsia="zh-CN"/>
        </w:rPr>
        <w:t>完善党委领导、政府负责、民主协商、社会协同、公众参与、法治保障、科技支撑的社会治理共同体，发挥党委总揽全局、协调各方的领导作用，健全集约高效的政府负责体制和治理机制。深化“政社互动”和“三社联动”，完善以社区党组织为引领、社会协同为支撑、民主协商为路径、公众参与为基础的城乡基层治理体系。鼓励群团组织、社会组织、行业协会等协同参与社会治理，拓展经营主体参与社会治理的制度化渠道。引导各类社会组织健康发展，重点培育发展行业协会商会类、公益慈善类、社区服务类社会组织，支持其在社会治理中发挥更大作用。畅通和规范新社会阶层、社会工作者和志愿者参与社会治理途径，依法引导和规范社会事务与社会生活。</w:t>
      </w:r>
    </w:p>
    <w:p w14:paraId="6B5676CB">
      <w:pPr>
        <w:pStyle w:val="4"/>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3.夯实社会治理基层基础</w:t>
      </w:r>
      <w:bookmarkEnd w:id="274"/>
      <w:bookmarkEnd w:id="275"/>
    </w:p>
    <w:p w14:paraId="5EE6CA6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rPr>
          <w:rFonts w:hint="default" w:ascii="Times New Roman" w:hAnsi="Times New Roman" w:eastAsia="仿宋_GB2312" w:cs="Times New Roman"/>
          <w:b w:val="0"/>
          <w:bCs w:val="0"/>
          <w:color w:val="auto"/>
          <w:highlight w:val="none"/>
          <w:lang w:val="en-US" w:eastAsia="zh-CN"/>
        </w:rPr>
      </w:pPr>
      <w:bookmarkStart w:id="276" w:name="_Toc7632"/>
      <w:bookmarkStart w:id="277" w:name="_Toc6373"/>
      <w:r>
        <w:rPr>
          <w:rFonts w:hint="default" w:ascii="Times New Roman" w:hAnsi="Times New Roman" w:cs="Times New Roman"/>
          <w:b w:val="0"/>
          <w:bCs w:val="0"/>
          <w:color w:val="auto"/>
          <w:highlight w:val="none"/>
          <w:lang w:val="en-US" w:eastAsia="zh-CN"/>
        </w:rPr>
        <w:t>加强基层社会治理队伍建设，着力打造专业化社区工作者队伍，广泛发动“小巷管家+楼栋长”等自治力量，全面提升社会治理整体效能。健全多元协同治理机制，整合</w:t>
      </w:r>
      <w:r>
        <w:rPr>
          <w:rFonts w:hint="eastAsia" w:ascii="Times New Roman" w:hAnsi="Times New Roman" w:cs="Times New Roman"/>
          <w:b w:val="0"/>
          <w:bCs w:val="0"/>
          <w:color w:val="auto"/>
          <w:highlight w:val="none"/>
          <w:lang w:val="en-US" w:eastAsia="zh-CN"/>
        </w:rPr>
        <w:t>综合行政执法</w:t>
      </w:r>
      <w:r>
        <w:rPr>
          <w:rFonts w:hint="default" w:ascii="Times New Roman" w:hAnsi="Times New Roman" w:cs="Times New Roman"/>
          <w:b w:val="0"/>
          <w:bCs w:val="0"/>
          <w:color w:val="auto"/>
          <w:highlight w:val="none"/>
          <w:lang w:val="en-US" w:eastAsia="zh-CN"/>
        </w:rPr>
        <w:t>、公安、</w:t>
      </w:r>
      <w:r>
        <w:rPr>
          <w:rFonts w:hint="eastAsia" w:ascii="Times New Roman" w:hAnsi="Times New Roman" w:cs="Times New Roman"/>
          <w:b w:val="0"/>
          <w:bCs w:val="0"/>
          <w:color w:val="auto"/>
          <w:highlight w:val="none"/>
          <w:lang w:val="en-US" w:eastAsia="zh-CN"/>
        </w:rPr>
        <w:t>住房和城乡建设</w:t>
      </w:r>
      <w:r>
        <w:rPr>
          <w:rFonts w:hint="default" w:ascii="Times New Roman" w:hAnsi="Times New Roman" w:cs="Times New Roman"/>
          <w:b w:val="0"/>
          <w:bCs w:val="0"/>
          <w:color w:val="auto"/>
          <w:highlight w:val="none"/>
          <w:lang w:val="en-US" w:eastAsia="zh-CN"/>
        </w:rPr>
        <w:t>等高频交叉部门资源，建立月度联席会议制度，推动治理力量下沉一线；联合物业公司、社会组织及辖区企业成立“治理联盟”，拓展多元主体参与渠道。深化基层治理载体建设，推广“红管家”服务模式，持续开展“三零”社区（村）创建，打造“左邻右里议事厅”，实施社区合伙人计划，激活各方力量参与共建共治。创新“网格化+智慧化”社会治理模式，探索建立构建网格化管理、精细化服务、信息化支撑、开放共享的</w:t>
      </w:r>
      <w:r>
        <w:rPr>
          <w:rFonts w:hint="eastAsia" w:ascii="Times New Roman" w:hAnsi="Times New Roman" w:cs="Times New Roman"/>
          <w:b w:val="0"/>
          <w:bCs w:val="0"/>
          <w:color w:val="auto"/>
          <w:highlight w:val="none"/>
          <w:lang w:val="en-US" w:eastAsia="zh-CN"/>
        </w:rPr>
        <w:t>社会稳定综合信息</w:t>
      </w:r>
      <w:r>
        <w:rPr>
          <w:rFonts w:hint="default" w:ascii="Times New Roman" w:hAnsi="Times New Roman" w:cs="Times New Roman"/>
          <w:b w:val="0"/>
          <w:bCs w:val="0"/>
          <w:color w:val="auto"/>
          <w:highlight w:val="none"/>
          <w:lang w:val="en-US" w:eastAsia="zh-CN"/>
        </w:rPr>
        <w:t>平台，提升</w:t>
      </w:r>
      <w:r>
        <w:rPr>
          <w:rFonts w:hint="eastAsia" w:ascii="Times New Roman" w:hAnsi="Times New Roman" w:cs="Times New Roman"/>
          <w:b w:val="0"/>
          <w:bCs w:val="0"/>
          <w:color w:val="auto"/>
          <w:highlight w:val="none"/>
          <w:lang w:val="en-US" w:eastAsia="zh-CN"/>
        </w:rPr>
        <w:t>基层管理服务</w:t>
      </w:r>
      <w:r>
        <w:rPr>
          <w:rFonts w:hint="default" w:ascii="Times New Roman" w:hAnsi="Times New Roman" w:cs="Times New Roman"/>
          <w:b w:val="0"/>
          <w:bCs w:val="0"/>
          <w:color w:val="auto"/>
          <w:highlight w:val="none"/>
          <w:lang w:val="en-US" w:eastAsia="zh-CN"/>
        </w:rPr>
        <w:t>科技支撑能力。</w:t>
      </w:r>
    </w:p>
    <w:p w14:paraId="7666DBFA">
      <w:pPr>
        <w:pStyle w:val="3"/>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22"/>
          <w:highlight w:val="none"/>
          <w:lang w:val="en-US" w:eastAsia="zh-CN"/>
        </w:rPr>
      </w:pPr>
      <w:bookmarkStart w:id="278" w:name="_Toc30999_WPSOffice_Level2"/>
      <w:bookmarkStart w:id="279" w:name="_Toc29286"/>
      <w:r>
        <w:rPr>
          <w:rFonts w:hint="default" w:ascii="Times New Roman" w:hAnsi="Times New Roman" w:cs="Times New Roman"/>
          <w:sz w:val="32"/>
          <w:szCs w:val="22"/>
          <w:highlight w:val="none"/>
          <w:lang w:val="en-US" w:eastAsia="zh-CN"/>
        </w:rPr>
        <w:t xml:space="preserve">第三节  </w:t>
      </w:r>
      <w:bookmarkEnd w:id="276"/>
      <w:bookmarkEnd w:id="277"/>
      <w:bookmarkEnd w:id="278"/>
      <w:r>
        <w:rPr>
          <w:rFonts w:hint="default" w:ascii="Times New Roman" w:hAnsi="Times New Roman" w:cs="Times New Roman"/>
          <w:sz w:val="32"/>
          <w:szCs w:val="22"/>
          <w:highlight w:val="none"/>
          <w:lang w:val="en-US" w:eastAsia="zh-CN"/>
        </w:rPr>
        <w:t>推进法治政府和法治社会建设</w:t>
      </w:r>
      <w:bookmarkEnd w:id="279"/>
    </w:p>
    <w:p w14:paraId="141D9477">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280" w:name="_Toc13601"/>
      <w:bookmarkStart w:id="281" w:name="_Toc19917_WPSOffice_Level3"/>
      <w:r>
        <w:rPr>
          <w:rFonts w:hint="default" w:ascii="Times New Roman" w:hAnsi="Times New Roman" w:cs="Times New Roman"/>
          <w:highlight w:val="none"/>
          <w:lang w:val="en-US" w:eastAsia="zh-CN"/>
        </w:rPr>
        <w:t>1.全面推进依法治县</w:t>
      </w:r>
      <w:bookmarkEnd w:id="280"/>
      <w:bookmarkEnd w:id="281"/>
    </w:p>
    <w:p w14:paraId="33942C6A">
      <w:pPr>
        <w:keepNext w:val="0"/>
        <w:keepLines w:val="0"/>
        <w:pageBreakBefore w:val="0"/>
        <w:widowControl w:val="0"/>
        <w:kinsoku/>
        <w:wordWrap/>
        <w:overflowPunct/>
        <w:topLinePunct w:val="0"/>
        <w:autoSpaceDE/>
        <w:autoSpaceDN/>
        <w:bidi w:val="0"/>
        <w:adjustRightInd/>
        <w:snapToGrid/>
        <w:spacing w:line="580" w:lineRule="exact"/>
        <w:ind w:firstLine="640"/>
        <w:textAlignment w:val="auto"/>
        <w:outlineLvl w:val="9"/>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健全完善执法司法监督制约体系，加大党委政法委案件评查、交办督办、结果运用力度。依法全面履行政府职能，推进机构、职能、权限、程序、责任法定化，全面推行政府部门权责清单，实现政府活动全面纳入法治轨道。健全依法行政决策机制，严格执行公众参与、专家论证、风险评估、合法性审查、集体讨论决定的重大行政决策法定程序。推行重大行政决策实施后评估，严格落实重大决策终身责任追究制度及责任倒查机制。深入推行政府法律顾问制度。完善政务公开制度，扩大和保障人民群众知情权、参与权、表达权、监督权。加强政府内部层级监督和专门监督，健全行政复议、行政诉讼有机衔接机制。严格规范公正文明执法，全面推进行政执法公示、执法全过程记录、重大执法决定法制审核等制度。规范行政执法自由裁量权，加大</w:t>
      </w:r>
      <w:r>
        <w:rPr>
          <w:rFonts w:hint="eastAsia" w:ascii="Times New Roman" w:hAnsi="Times New Roman" w:cs="Times New Roman"/>
          <w:b w:val="0"/>
          <w:bCs w:val="0"/>
          <w:color w:val="auto"/>
          <w:highlight w:val="none"/>
          <w:lang w:val="en-US" w:eastAsia="zh-CN"/>
        </w:rPr>
        <w:t>对</w:t>
      </w:r>
      <w:r>
        <w:rPr>
          <w:rFonts w:hint="default" w:ascii="Times New Roman" w:hAnsi="Times New Roman" w:cs="Times New Roman"/>
          <w:b w:val="0"/>
          <w:bCs w:val="0"/>
          <w:color w:val="auto"/>
          <w:highlight w:val="none"/>
          <w:lang w:val="en-US" w:eastAsia="zh-CN"/>
        </w:rPr>
        <w:t>食品药品、环境卫生、医疗卫生、安全生产、劳动保障等关系群众切身利益领域的执法力度。</w:t>
      </w:r>
    </w:p>
    <w:p w14:paraId="0E83E5B4">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282" w:name="_Toc9177"/>
      <w:bookmarkStart w:id="283" w:name="_Toc25376_WPSOffice_Level3"/>
      <w:r>
        <w:rPr>
          <w:rFonts w:hint="default" w:ascii="Times New Roman" w:hAnsi="Times New Roman" w:cs="Times New Roman"/>
          <w:highlight w:val="none"/>
          <w:lang w:val="en-US" w:eastAsia="zh-CN"/>
        </w:rPr>
        <w:t>2.加强普法宣传教育</w:t>
      </w:r>
      <w:bookmarkEnd w:id="282"/>
      <w:bookmarkEnd w:id="283"/>
    </w:p>
    <w:p w14:paraId="5F6E90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cs="Times New Roman"/>
          <w:b w:val="0"/>
          <w:bCs w:val="0"/>
          <w:color w:val="auto"/>
          <w:highlight w:val="none"/>
        </w:rPr>
      </w:pPr>
      <w:r>
        <w:rPr>
          <w:rFonts w:hint="default" w:ascii="Times New Roman" w:hAnsi="Times New Roman" w:eastAsia="仿宋_GB2312" w:cs="Times New Roman"/>
          <w:spacing w:val="0"/>
          <w:kern w:val="0"/>
          <w:sz w:val="32"/>
          <w:szCs w:val="32"/>
          <w:highlight w:val="none"/>
          <w:lang w:val="en-US" w:eastAsia="zh-CN"/>
        </w:rPr>
        <w:t>推进“九五”普法，</w:t>
      </w:r>
      <w:r>
        <w:rPr>
          <w:rFonts w:hint="default" w:ascii="Times New Roman" w:hAnsi="Times New Roman" w:cs="Times New Roman"/>
          <w:b w:val="0"/>
          <w:bCs w:val="0"/>
          <w:color w:val="auto"/>
          <w:highlight w:val="none"/>
        </w:rPr>
        <w:t>树立宪法法律至上</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法律面前人人平等的法治理念，形成办事依法、遇事找法、解决问题用法、化解矛盾靠法的</w:t>
      </w:r>
      <w:r>
        <w:rPr>
          <w:rFonts w:hint="default" w:ascii="Times New Roman" w:hAnsi="Times New Roman" w:cs="Times New Roman"/>
          <w:b w:val="0"/>
          <w:bCs w:val="0"/>
          <w:color w:val="auto"/>
          <w:highlight w:val="none"/>
          <w:lang w:val="en-US" w:eastAsia="zh-CN"/>
        </w:rPr>
        <w:t>良好</w:t>
      </w:r>
      <w:r>
        <w:rPr>
          <w:rFonts w:hint="default" w:ascii="Times New Roman" w:hAnsi="Times New Roman" w:cs="Times New Roman"/>
          <w:b w:val="0"/>
          <w:bCs w:val="0"/>
          <w:color w:val="auto"/>
          <w:highlight w:val="none"/>
        </w:rPr>
        <w:t>法治</w:t>
      </w:r>
      <w:r>
        <w:rPr>
          <w:rFonts w:hint="default" w:ascii="Times New Roman" w:hAnsi="Times New Roman" w:cs="Times New Roman"/>
          <w:b w:val="0"/>
          <w:bCs w:val="0"/>
          <w:color w:val="auto"/>
          <w:highlight w:val="none"/>
          <w:lang w:val="en-US" w:eastAsia="zh-CN"/>
        </w:rPr>
        <w:t>环境</w:t>
      </w:r>
      <w:r>
        <w:rPr>
          <w:rFonts w:hint="default" w:ascii="Times New Roman" w:hAnsi="Times New Roman" w:cs="Times New Roman"/>
          <w:b w:val="0"/>
          <w:bCs w:val="0"/>
          <w:color w:val="auto"/>
          <w:highlight w:val="none"/>
        </w:rPr>
        <w:t>。完善</w:t>
      </w:r>
      <w:r>
        <w:rPr>
          <w:rFonts w:hint="default" w:ascii="Times New Roman" w:hAnsi="Times New Roman" w:cs="Times New Roman"/>
          <w:b w:val="0"/>
          <w:bCs w:val="0"/>
          <w:color w:val="auto"/>
          <w:highlight w:val="none"/>
          <w:lang w:val="en-US" w:eastAsia="zh-CN"/>
        </w:rPr>
        <w:t>法治</w:t>
      </w:r>
      <w:r>
        <w:rPr>
          <w:rFonts w:hint="default" w:ascii="Times New Roman" w:hAnsi="Times New Roman" w:cs="Times New Roman"/>
          <w:b w:val="0"/>
          <w:bCs w:val="0"/>
          <w:color w:val="auto"/>
          <w:highlight w:val="none"/>
        </w:rPr>
        <w:t>宣传教育常态化机制，持续开展宪法、法律</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进机关、进</w:t>
      </w:r>
      <w:r>
        <w:rPr>
          <w:rFonts w:hint="default" w:ascii="Times New Roman" w:hAnsi="Times New Roman" w:cs="Times New Roman"/>
          <w:b w:val="0"/>
          <w:bCs w:val="0"/>
          <w:color w:val="auto"/>
          <w:highlight w:val="none"/>
          <w:lang w:val="en-US" w:eastAsia="zh-CN"/>
        </w:rPr>
        <w:t>乡村</w:t>
      </w:r>
      <w:r>
        <w:rPr>
          <w:rFonts w:hint="default" w:ascii="Times New Roman" w:hAnsi="Times New Roman" w:cs="Times New Roman"/>
          <w:b w:val="0"/>
          <w:bCs w:val="0"/>
          <w:color w:val="auto"/>
          <w:highlight w:val="none"/>
        </w:rPr>
        <w:t>、进社区、进学校、进企业、进单位</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活动</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不断夯实法治社会建设根基。</w:t>
      </w:r>
      <w:r>
        <w:rPr>
          <w:rFonts w:hint="default" w:ascii="Times New Roman" w:hAnsi="Times New Roman" w:cs="Times New Roman"/>
          <w:b w:val="0"/>
          <w:bCs w:val="0"/>
          <w:color w:val="auto"/>
          <w:highlight w:val="none"/>
          <w:lang w:val="en-US" w:eastAsia="zh-CN"/>
        </w:rPr>
        <w:t>全面</w:t>
      </w:r>
      <w:r>
        <w:rPr>
          <w:rFonts w:hint="default" w:ascii="Times New Roman" w:hAnsi="Times New Roman" w:cs="Times New Roman"/>
          <w:b w:val="0"/>
          <w:bCs w:val="0"/>
          <w:color w:val="auto"/>
          <w:highlight w:val="none"/>
          <w:lang w:eastAsia="zh-CN"/>
        </w:rPr>
        <w:t>落实国家机关“谁执法谁普法”的普法责任制，建立</w:t>
      </w:r>
      <w:r>
        <w:rPr>
          <w:rFonts w:hint="default" w:ascii="Times New Roman" w:hAnsi="Times New Roman" w:cs="Times New Roman"/>
          <w:b w:val="0"/>
          <w:bCs w:val="0"/>
          <w:color w:val="auto"/>
          <w:highlight w:val="none"/>
          <w:lang w:val="en-US" w:eastAsia="zh-CN"/>
        </w:rPr>
        <w:t>健全</w:t>
      </w:r>
      <w:r>
        <w:rPr>
          <w:rFonts w:hint="default" w:ascii="Times New Roman" w:hAnsi="Times New Roman" w:cs="Times New Roman"/>
          <w:b w:val="0"/>
          <w:bCs w:val="0"/>
          <w:color w:val="auto"/>
          <w:highlight w:val="none"/>
          <w:lang w:eastAsia="zh-CN"/>
        </w:rPr>
        <w:t>法官、检察官、行政执法人员、律师等以案释法制度。创新普法</w:t>
      </w:r>
      <w:r>
        <w:rPr>
          <w:rFonts w:hint="default" w:ascii="Times New Roman" w:hAnsi="Times New Roman" w:cs="Times New Roman"/>
          <w:b w:val="0"/>
          <w:bCs w:val="0"/>
          <w:color w:val="auto"/>
          <w:highlight w:val="none"/>
          <w:lang w:val="en-US" w:eastAsia="zh-CN"/>
        </w:rPr>
        <w:t>形式</w:t>
      </w:r>
      <w:r>
        <w:rPr>
          <w:rFonts w:hint="default" w:ascii="Times New Roman" w:hAnsi="Times New Roman" w:cs="Times New Roman"/>
          <w:b w:val="0"/>
          <w:bCs w:val="0"/>
          <w:color w:val="auto"/>
          <w:highlight w:val="none"/>
          <w:lang w:eastAsia="zh-CN"/>
        </w:rPr>
        <w:t>，支持各类媒体办好普法节目和专栏。</w:t>
      </w:r>
      <w:r>
        <w:rPr>
          <w:rFonts w:hint="default" w:ascii="Times New Roman" w:hAnsi="Times New Roman" w:cs="Times New Roman"/>
          <w:b w:val="0"/>
          <w:bCs w:val="0"/>
          <w:color w:val="auto"/>
          <w:highlight w:val="none"/>
        </w:rPr>
        <w:t>加快律师、公证、司法鉴定和仲裁等法律队伍和人才建设，健全普惠均等、便捷高效、智能精准的现代公共法律服务体系。</w:t>
      </w:r>
      <w:r>
        <w:rPr>
          <w:rFonts w:hint="default" w:ascii="Times New Roman" w:hAnsi="Times New Roman" w:cs="Times New Roman"/>
          <w:b w:val="0"/>
          <w:bCs w:val="0"/>
          <w:color w:val="auto"/>
          <w:highlight w:val="none"/>
          <w:lang w:val="en-US" w:eastAsia="zh-CN"/>
        </w:rPr>
        <w:t>完善社会领域制度规范</w:t>
      </w:r>
      <w:r>
        <w:rPr>
          <w:rFonts w:hint="default" w:ascii="Times New Roman" w:hAnsi="Times New Roman" w:cs="Times New Roman"/>
          <w:b w:val="0"/>
          <w:bCs w:val="0"/>
          <w:color w:val="auto"/>
          <w:highlight w:val="none"/>
        </w:rPr>
        <w:t>，有效维护各类社会主体合法权益，推动社会主体履行法定义务和承担社会责任。</w:t>
      </w:r>
      <w:bookmarkStart w:id="284" w:name="_Toc30608"/>
    </w:p>
    <w:p w14:paraId="7C878AC5">
      <w:pPr>
        <w:pStyle w:val="4"/>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lang w:val="en-US" w:eastAsia="zh-CN"/>
        </w:rPr>
      </w:pPr>
      <w:bookmarkStart w:id="285" w:name="_Toc11528"/>
      <w:bookmarkStart w:id="286" w:name="_Toc22883_WPSOffice_Level3"/>
      <w:r>
        <w:rPr>
          <w:rFonts w:hint="default" w:ascii="Times New Roman" w:hAnsi="Times New Roman" w:cs="Times New Roman"/>
          <w:highlight w:val="none"/>
          <w:lang w:val="en-US" w:eastAsia="zh-CN"/>
        </w:rPr>
        <w:t>3.夯实基层治理法治根基</w:t>
      </w:r>
      <w:bookmarkEnd w:id="285"/>
      <w:bookmarkEnd w:id="286"/>
    </w:p>
    <w:p w14:paraId="79DAA1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小标宋简体" w:cs="Times New Roman"/>
          <w:b w:val="0"/>
          <w:bCs w:val="0"/>
          <w:color w:val="auto"/>
          <w:sz w:val="40"/>
          <w:szCs w:val="32"/>
          <w:highlight w:val="none"/>
          <w:lang w:val="en-US" w:eastAsia="zh-CN"/>
        </w:rPr>
      </w:pPr>
      <w:r>
        <w:rPr>
          <w:rFonts w:hint="default" w:ascii="Times New Roman" w:hAnsi="Times New Roman" w:cs="Times New Roman"/>
          <w:b w:val="0"/>
          <w:bCs w:val="0"/>
          <w:color w:val="auto"/>
          <w:highlight w:val="none"/>
          <w:lang w:val="en-US" w:eastAsia="zh-CN"/>
        </w:rPr>
        <w:t>紧扣“横向到边、纵向到底、全程闭环”的现代化治理目标，深化法治乡村、法治企业、法治校园等法治建设，将合法性审查作为推进基层治理法治化的关键抓手。健全县、镇、村三级重大事项合法性审查全贯通机制，逐步将涉及重大公共利益和群众切身利益的规划编制、项目引进、民生政策、集体</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三资</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处置等事项纳入合法性审查范围，实现应审尽审，消除法治盲区。全面规范重大决策、规范性文件、重大执法决定、行政合同、村规民约（居民公约）等审查事项，明确县级司法行政部门、镇（街道）法治机构、村（社区）法律顾问的职责定位与衔接标准。探索建立村级事务“法治体检”清单制度，推动法治力量下沉，确保基层自治在法治轨道上健康运行。建立‘事前防范—事中控制—事后追溯’全链条闭环管理机制，事前强化风险评估与合法性把关，事中加强动态监测与程序纠偏，事后完善责任倒查与整改跟进。将合法性审查作为重大事项决策的前置程序，制定分类审查指引，提升审查精准度与效率，强化审查刚性效力，未经审查或审查不合格的，一律不上会、不签发、不执行。</w:t>
      </w:r>
    </w:p>
    <w:p w14:paraId="38DCC660">
      <w:pPr>
        <w:pStyle w:val="2"/>
        <w:keepNext/>
        <w:keepLines/>
        <w:pageBreakBefore w:val="0"/>
        <w:widowControl w:val="0"/>
        <w:kinsoku/>
        <w:wordWrap/>
        <w:overflowPunct/>
        <w:topLinePunct w:val="0"/>
        <w:autoSpaceDE/>
        <w:autoSpaceDN/>
        <w:bidi w:val="0"/>
        <w:adjustRightInd/>
        <w:snapToGrid/>
        <w:spacing w:before="313" w:beforeLines="100"/>
        <w:textAlignment w:val="auto"/>
        <w:rPr>
          <w:rFonts w:hint="default" w:ascii="Times New Roman" w:hAnsi="Times New Roman" w:cs="Times New Roman"/>
          <w:b w:val="0"/>
          <w:bCs w:val="0"/>
          <w:color w:val="040404"/>
          <w:sz w:val="32"/>
          <w:szCs w:val="24"/>
          <w:highlight w:val="none"/>
          <w:shd w:val="clear" w:color="auto" w:fill="FFFFFF"/>
        </w:rPr>
      </w:pPr>
      <w:bookmarkStart w:id="287" w:name="_Toc14889"/>
      <w:bookmarkStart w:id="288" w:name="_Toc14018_WPSOffice_Level1"/>
      <w:r>
        <w:rPr>
          <w:rFonts w:hint="default" w:ascii="Times New Roman" w:hAnsi="Times New Roman" w:eastAsia="方正小标宋简体" w:cs="Times New Roman"/>
          <w:b w:val="0"/>
          <w:bCs w:val="0"/>
          <w:sz w:val="32"/>
          <w:szCs w:val="24"/>
          <w:highlight w:val="none"/>
          <w:lang w:val="en-US" w:eastAsia="zh-CN"/>
        </w:rPr>
        <w:t>第十</w:t>
      </w:r>
      <w:r>
        <w:rPr>
          <w:rFonts w:hint="default" w:ascii="Times New Roman" w:hAnsi="Times New Roman" w:cs="Times New Roman"/>
          <w:b w:val="0"/>
          <w:bCs w:val="0"/>
          <w:sz w:val="32"/>
          <w:szCs w:val="24"/>
          <w:highlight w:val="none"/>
          <w:lang w:val="en-US" w:eastAsia="zh-CN"/>
        </w:rPr>
        <w:t>二</w:t>
      </w:r>
      <w:r>
        <w:rPr>
          <w:rFonts w:hint="default" w:ascii="Times New Roman" w:hAnsi="Times New Roman" w:eastAsia="方正小标宋简体" w:cs="Times New Roman"/>
          <w:b w:val="0"/>
          <w:bCs w:val="0"/>
          <w:sz w:val="32"/>
          <w:szCs w:val="24"/>
          <w:highlight w:val="none"/>
          <w:lang w:val="en-US" w:eastAsia="zh-CN"/>
        </w:rPr>
        <w:t xml:space="preserve">章  </w:t>
      </w:r>
      <w:r>
        <w:rPr>
          <w:rFonts w:hint="default" w:ascii="Times New Roman" w:hAnsi="Times New Roman" w:eastAsia="方正小标宋简体" w:cs="Times New Roman"/>
          <w:b w:val="0"/>
          <w:bCs w:val="0"/>
          <w:w w:val="95"/>
          <w:sz w:val="32"/>
          <w:szCs w:val="24"/>
          <w:highlight w:val="none"/>
          <w:lang w:val="en-US" w:eastAsia="zh-CN"/>
        </w:rPr>
        <w:t>坚持奋发有为</w:t>
      </w:r>
      <w:r>
        <w:rPr>
          <w:rFonts w:hint="default" w:ascii="Times New Roman" w:hAnsi="Times New Roman" w:cs="Times New Roman"/>
          <w:b w:val="0"/>
          <w:bCs w:val="0"/>
          <w:w w:val="95"/>
          <w:sz w:val="32"/>
          <w:szCs w:val="24"/>
          <w:highlight w:val="none"/>
          <w:lang w:val="en-US" w:eastAsia="zh-CN"/>
        </w:rPr>
        <w:t>，</w:t>
      </w:r>
      <w:r>
        <w:rPr>
          <w:rFonts w:hint="default" w:ascii="Times New Roman" w:hAnsi="Times New Roman" w:eastAsia="方正小标宋简体" w:cs="Times New Roman"/>
          <w:b w:val="0"/>
          <w:bCs w:val="0"/>
          <w:w w:val="95"/>
          <w:sz w:val="32"/>
          <w:szCs w:val="24"/>
          <w:highlight w:val="none"/>
          <w:lang w:val="en-US" w:eastAsia="zh-CN"/>
        </w:rPr>
        <w:t>确保规划目标顺利实现</w:t>
      </w:r>
      <w:bookmarkEnd w:id="284"/>
      <w:bookmarkEnd w:id="287"/>
      <w:bookmarkEnd w:id="288"/>
    </w:p>
    <w:p w14:paraId="6EDF0372">
      <w:pPr>
        <w:pageBreakBefore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cs="Times New Roman"/>
          <w:b w:val="0"/>
          <w:bCs w:val="0"/>
          <w:color w:val="040404"/>
          <w:szCs w:val="32"/>
          <w:highlight w:val="none"/>
          <w:shd w:val="clear" w:color="auto" w:fill="FFFFFF"/>
        </w:rPr>
      </w:pPr>
      <w:bookmarkStart w:id="289" w:name="_Toc12921"/>
      <w:bookmarkStart w:id="290" w:name="_Toc4899"/>
      <w:r>
        <w:rPr>
          <w:rFonts w:hint="default" w:ascii="Times New Roman" w:hAnsi="Times New Roman" w:cs="Times New Roman"/>
          <w:b w:val="0"/>
          <w:bCs w:val="0"/>
          <w:color w:val="040404"/>
          <w:szCs w:val="32"/>
          <w:highlight w:val="none"/>
          <w:shd w:val="clear" w:color="auto" w:fill="FFFFFF"/>
        </w:rPr>
        <w:t>进一步完善规划体系，健全规划实施机制，强化政策统筹协调，加强规划任务落实和评估考核，引导全社会共同参与和有效实施，确保“十五五”规划各项目标任务圆满完成。</w:t>
      </w:r>
    </w:p>
    <w:p w14:paraId="2796A46A">
      <w:pPr>
        <w:pStyle w:val="3"/>
        <w:bidi w:val="0"/>
        <w:rPr>
          <w:rFonts w:hint="default" w:ascii="Times New Roman" w:hAnsi="Times New Roman" w:cs="Times New Roman"/>
          <w:sz w:val="32"/>
          <w:szCs w:val="22"/>
          <w:highlight w:val="none"/>
        </w:rPr>
      </w:pPr>
      <w:bookmarkStart w:id="291" w:name="_Toc6600"/>
      <w:bookmarkStart w:id="292" w:name="_Toc8005_WPSOffice_Level2"/>
      <w:r>
        <w:rPr>
          <w:rFonts w:hint="default" w:ascii="Times New Roman" w:hAnsi="Times New Roman" w:cs="Times New Roman"/>
          <w:sz w:val="32"/>
          <w:szCs w:val="22"/>
          <w:highlight w:val="none"/>
        </w:rPr>
        <w:t xml:space="preserve">第一节 </w:t>
      </w:r>
      <w:r>
        <w:rPr>
          <w:rFonts w:hint="default" w:ascii="Times New Roman" w:hAnsi="Times New Roman" w:cs="Times New Roman"/>
          <w:sz w:val="32"/>
          <w:szCs w:val="22"/>
          <w:highlight w:val="none"/>
          <w:lang w:val="en-US" w:eastAsia="zh-CN"/>
        </w:rPr>
        <w:t xml:space="preserve"> </w:t>
      </w:r>
      <w:r>
        <w:rPr>
          <w:rFonts w:hint="default" w:ascii="Times New Roman" w:hAnsi="Times New Roman" w:cs="Times New Roman"/>
          <w:sz w:val="32"/>
          <w:szCs w:val="22"/>
          <w:highlight w:val="none"/>
        </w:rPr>
        <w:t>加强党的领导</w:t>
      </w:r>
      <w:bookmarkEnd w:id="289"/>
      <w:bookmarkEnd w:id="290"/>
      <w:bookmarkEnd w:id="291"/>
      <w:bookmarkEnd w:id="292"/>
    </w:p>
    <w:p w14:paraId="5E0AA8F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color w:val="040404"/>
          <w:szCs w:val="32"/>
          <w:highlight w:val="none"/>
          <w:shd w:val="clear" w:color="auto" w:fill="FFFFFF"/>
        </w:rPr>
      </w:pPr>
      <w:bookmarkStart w:id="293" w:name="_Toc28114"/>
      <w:bookmarkStart w:id="294" w:name="_Toc25520"/>
      <w:r>
        <w:rPr>
          <w:rFonts w:hint="default" w:ascii="Times New Roman" w:hAnsi="Times New Roman" w:cs="Times New Roman"/>
          <w:b w:val="0"/>
          <w:bCs w:val="0"/>
          <w:color w:val="auto"/>
          <w:szCs w:val="32"/>
          <w:highlight w:val="none"/>
          <w:shd w:val="clear" w:color="auto" w:fill="FFFFFF"/>
        </w:rPr>
        <w:t>坚持和完善党领导经济社会发展的制度体系，</w:t>
      </w:r>
      <w:r>
        <w:rPr>
          <w:rFonts w:hint="eastAsia" w:ascii="Times New Roman" w:hAnsi="Times New Roman" w:cs="Times New Roman"/>
          <w:b w:val="0"/>
          <w:bCs w:val="0"/>
          <w:color w:val="auto"/>
          <w:szCs w:val="32"/>
          <w:highlight w:val="none"/>
          <w:shd w:val="clear" w:color="auto" w:fill="FFFFFF"/>
          <w:lang w:eastAsia="zh-CN"/>
        </w:rPr>
        <w:t>充分发挥党总揽全局、协调各方的领导核心作用，推动全县各级各部门单位</w:t>
      </w:r>
      <w:r>
        <w:rPr>
          <w:rFonts w:hint="default" w:ascii="Times New Roman" w:hAnsi="Times New Roman" w:cs="Times New Roman"/>
          <w:b w:val="0"/>
          <w:bCs w:val="0"/>
          <w:color w:val="auto"/>
          <w:szCs w:val="32"/>
          <w:highlight w:val="none"/>
          <w:shd w:val="clear" w:color="auto" w:fill="FFFFFF"/>
        </w:rPr>
        <w:t>将党中央决策部署</w:t>
      </w:r>
      <w:r>
        <w:rPr>
          <w:rFonts w:hint="eastAsia" w:ascii="Times New Roman" w:hAnsi="Times New Roman" w:cs="Times New Roman"/>
          <w:b w:val="0"/>
          <w:bCs w:val="0"/>
          <w:color w:val="auto"/>
          <w:szCs w:val="32"/>
          <w:highlight w:val="none"/>
          <w:shd w:val="clear" w:color="auto" w:fill="FFFFFF"/>
          <w:lang w:eastAsia="zh-CN"/>
        </w:rPr>
        <w:t>、</w:t>
      </w:r>
      <w:r>
        <w:rPr>
          <w:rFonts w:hint="default" w:ascii="Times New Roman" w:hAnsi="Times New Roman" w:cs="Times New Roman"/>
          <w:b w:val="0"/>
          <w:bCs w:val="0"/>
          <w:color w:val="auto"/>
          <w:szCs w:val="32"/>
          <w:highlight w:val="none"/>
          <w:shd w:val="clear" w:color="auto" w:fill="FFFFFF"/>
        </w:rPr>
        <w:t>省委工作要求</w:t>
      </w:r>
      <w:r>
        <w:rPr>
          <w:rFonts w:hint="eastAsia" w:ascii="Times New Roman" w:hAnsi="Times New Roman" w:cs="Times New Roman"/>
          <w:b w:val="0"/>
          <w:bCs w:val="0"/>
          <w:color w:val="auto"/>
          <w:szCs w:val="32"/>
          <w:highlight w:val="none"/>
          <w:shd w:val="clear" w:color="auto" w:fill="FFFFFF"/>
          <w:lang w:eastAsia="zh-CN"/>
        </w:rPr>
        <w:t>和</w:t>
      </w:r>
      <w:r>
        <w:rPr>
          <w:rFonts w:hint="default" w:ascii="Times New Roman" w:hAnsi="Times New Roman" w:cs="Times New Roman"/>
          <w:b w:val="0"/>
          <w:bCs w:val="0"/>
          <w:color w:val="auto"/>
          <w:szCs w:val="32"/>
          <w:highlight w:val="none"/>
          <w:shd w:val="clear" w:color="auto" w:fill="FFFFFF"/>
        </w:rPr>
        <w:t>市委、县委工作</w:t>
      </w:r>
      <w:r>
        <w:rPr>
          <w:rFonts w:hint="eastAsia" w:ascii="Times New Roman" w:hAnsi="Times New Roman" w:cs="Times New Roman"/>
          <w:b w:val="0"/>
          <w:bCs w:val="0"/>
          <w:color w:val="auto"/>
          <w:szCs w:val="32"/>
          <w:highlight w:val="none"/>
          <w:shd w:val="clear" w:color="auto" w:fill="FFFFFF"/>
          <w:lang w:eastAsia="zh-CN"/>
        </w:rPr>
        <w:t>安排</w:t>
      </w:r>
      <w:r>
        <w:rPr>
          <w:rFonts w:hint="default" w:ascii="Times New Roman" w:hAnsi="Times New Roman" w:cs="Times New Roman"/>
          <w:b w:val="0"/>
          <w:bCs w:val="0"/>
          <w:color w:val="auto"/>
          <w:szCs w:val="32"/>
          <w:highlight w:val="none"/>
          <w:shd w:val="clear" w:color="auto" w:fill="FFFFFF"/>
        </w:rPr>
        <w:t>不折不扣落到实处，确保全县经济社会发展始终沿着正确政治方向前进。</w:t>
      </w:r>
      <w:r>
        <w:rPr>
          <w:rFonts w:hint="eastAsia" w:ascii="Times New Roman" w:hAnsi="Times New Roman" w:cs="Times New Roman"/>
          <w:b w:val="0"/>
          <w:bCs w:val="0"/>
          <w:color w:val="auto"/>
          <w:szCs w:val="32"/>
          <w:highlight w:val="none"/>
          <w:shd w:val="clear" w:color="auto" w:fill="FFFFFF"/>
          <w:lang w:eastAsia="zh-CN"/>
        </w:rPr>
        <w:t>认真落实民主集中制，确保科学决策、民主决策、依法决策。</w:t>
      </w:r>
      <w:r>
        <w:rPr>
          <w:rFonts w:hint="default" w:ascii="Times New Roman" w:hAnsi="Times New Roman" w:cs="Times New Roman"/>
          <w:b w:val="0"/>
          <w:bCs w:val="0"/>
          <w:color w:val="040404"/>
          <w:szCs w:val="32"/>
          <w:highlight w:val="none"/>
          <w:shd w:val="clear" w:color="auto" w:fill="FFFFFF"/>
        </w:rPr>
        <w:t>持之以恒落实中央八项规定及其实施细则精神，推动作风建设常态化长效化</w:t>
      </w:r>
      <w:r>
        <w:rPr>
          <w:rFonts w:hint="eastAsia" w:ascii="Times New Roman" w:hAnsi="Times New Roman" w:cs="Times New Roman"/>
          <w:b w:val="0"/>
          <w:bCs w:val="0"/>
          <w:color w:val="040404"/>
          <w:szCs w:val="32"/>
          <w:highlight w:val="none"/>
          <w:shd w:val="clear" w:color="auto" w:fill="FFFFFF"/>
          <w:lang w:eastAsia="zh-CN"/>
        </w:rPr>
        <w:t>；</w:t>
      </w:r>
      <w:r>
        <w:rPr>
          <w:rFonts w:hint="default" w:ascii="Times New Roman" w:hAnsi="Times New Roman" w:cs="Times New Roman"/>
          <w:b w:val="0"/>
          <w:bCs w:val="0"/>
          <w:color w:val="040404"/>
          <w:szCs w:val="32"/>
          <w:highlight w:val="none"/>
          <w:shd w:val="clear" w:color="auto" w:fill="FFFFFF"/>
        </w:rPr>
        <w:t>强化权力运行监督制约</w:t>
      </w:r>
      <w:r>
        <w:rPr>
          <w:rFonts w:hint="eastAsia" w:ascii="Times New Roman" w:hAnsi="Times New Roman" w:cs="Times New Roman"/>
          <w:b w:val="0"/>
          <w:bCs w:val="0"/>
          <w:color w:val="040404"/>
          <w:szCs w:val="32"/>
          <w:highlight w:val="none"/>
          <w:shd w:val="clear" w:color="auto" w:fill="FFFFFF"/>
          <w:lang w:eastAsia="zh-CN"/>
        </w:rPr>
        <w:t>，</w:t>
      </w:r>
      <w:r>
        <w:rPr>
          <w:rFonts w:hint="default" w:ascii="Times New Roman" w:hAnsi="Times New Roman" w:cs="Times New Roman"/>
          <w:b w:val="0"/>
          <w:bCs w:val="0"/>
          <w:color w:val="040404"/>
          <w:szCs w:val="32"/>
          <w:highlight w:val="none"/>
          <w:shd w:val="clear" w:color="auto" w:fill="FFFFFF"/>
        </w:rPr>
        <w:t>高质量推进巡察全覆盖，一体推进不敢腐、不能腐、不想腐，坚决打赢反腐败斗争</w:t>
      </w:r>
      <w:r>
        <w:rPr>
          <w:rFonts w:hint="default" w:ascii="Times New Roman" w:hAnsi="Times New Roman" w:cs="Times New Roman"/>
          <w:b w:val="0"/>
          <w:bCs w:val="0"/>
          <w:color w:val="auto"/>
          <w:szCs w:val="32"/>
          <w:highlight w:val="none"/>
          <w:shd w:val="clear" w:color="auto" w:fill="FFFFFF"/>
        </w:rPr>
        <w:t>攻坚战</w:t>
      </w:r>
      <w:r>
        <w:rPr>
          <w:rFonts w:hint="eastAsia" w:ascii="Times New Roman" w:hAnsi="Times New Roman" w:cs="Times New Roman"/>
          <w:b w:val="0"/>
          <w:bCs w:val="0"/>
          <w:color w:val="auto"/>
          <w:szCs w:val="32"/>
          <w:highlight w:val="none"/>
          <w:shd w:val="clear" w:color="auto" w:fill="FFFFFF"/>
          <w:lang w:eastAsia="zh-CN"/>
        </w:rPr>
        <w:t>、</w:t>
      </w:r>
      <w:r>
        <w:rPr>
          <w:rFonts w:hint="default" w:ascii="Times New Roman" w:hAnsi="Times New Roman" w:cs="Times New Roman"/>
          <w:b w:val="0"/>
          <w:bCs w:val="0"/>
          <w:color w:val="auto"/>
          <w:szCs w:val="32"/>
          <w:highlight w:val="none"/>
          <w:shd w:val="clear" w:color="auto" w:fill="FFFFFF"/>
        </w:rPr>
        <w:t>持久战</w:t>
      </w:r>
      <w:r>
        <w:rPr>
          <w:rFonts w:hint="eastAsia" w:ascii="Times New Roman" w:hAnsi="Times New Roman" w:cs="Times New Roman"/>
          <w:b w:val="0"/>
          <w:bCs w:val="0"/>
          <w:color w:val="auto"/>
          <w:szCs w:val="32"/>
          <w:highlight w:val="none"/>
          <w:shd w:val="clear" w:color="auto" w:fill="FFFFFF"/>
          <w:lang w:eastAsia="zh-CN"/>
        </w:rPr>
        <w:t>、</w:t>
      </w:r>
      <w:r>
        <w:rPr>
          <w:rFonts w:hint="default" w:ascii="Times New Roman" w:hAnsi="Times New Roman" w:cs="Times New Roman"/>
          <w:b w:val="0"/>
          <w:bCs w:val="0"/>
          <w:color w:val="auto"/>
          <w:szCs w:val="32"/>
          <w:highlight w:val="none"/>
          <w:shd w:val="clear" w:color="auto" w:fill="FFFFFF"/>
        </w:rPr>
        <w:t>总体战</w:t>
      </w:r>
      <w:r>
        <w:rPr>
          <w:rFonts w:hint="default" w:ascii="Times New Roman" w:hAnsi="Times New Roman" w:cs="Times New Roman"/>
          <w:b w:val="0"/>
          <w:bCs w:val="0"/>
          <w:color w:val="040404"/>
          <w:szCs w:val="32"/>
          <w:highlight w:val="none"/>
          <w:shd w:val="clear" w:color="auto" w:fill="FFFFFF"/>
        </w:rPr>
        <w:t>，推动全面从严治党向纵深发展</w:t>
      </w:r>
      <w:r>
        <w:rPr>
          <w:rFonts w:hint="eastAsia" w:ascii="Times New Roman" w:hAnsi="Times New Roman" w:cs="Times New Roman"/>
          <w:b w:val="0"/>
          <w:bCs w:val="0"/>
          <w:color w:val="040404"/>
          <w:szCs w:val="32"/>
          <w:highlight w:val="none"/>
          <w:shd w:val="clear" w:color="auto" w:fill="FFFFFF"/>
          <w:lang w:eastAsia="zh-CN"/>
        </w:rPr>
        <w:t>；</w:t>
      </w:r>
      <w:r>
        <w:rPr>
          <w:rFonts w:hint="default" w:ascii="Times New Roman" w:hAnsi="Times New Roman" w:cs="Times New Roman"/>
          <w:b w:val="0"/>
          <w:bCs w:val="0"/>
          <w:color w:val="040404"/>
          <w:szCs w:val="32"/>
          <w:highlight w:val="none"/>
          <w:shd w:val="clear" w:color="auto" w:fill="FFFFFF"/>
        </w:rPr>
        <w:t>着力整治形式主义突出问题，持续为基层减负赋能</w:t>
      </w:r>
      <w:r>
        <w:rPr>
          <w:rFonts w:hint="eastAsia" w:ascii="Times New Roman" w:hAnsi="Times New Roman" w:cs="Times New Roman"/>
          <w:b w:val="0"/>
          <w:bCs w:val="0"/>
          <w:color w:val="040404"/>
          <w:szCs w:val="32"/>
          <w:highlight w:val="none"/>
          <w:shd w:val="clear" w:color="auto" w:fill="FFFFFF"/>
          <w:lang w:eastAsia="zh-CN"/>
        </w:rPr>
        <w:t>。</w:t>
      </w:r>
      <w:r>
        <w:rPr>
          <w:rFonts w:hint="default" w:ascii="Times New Roman" w:hAnsi="Times New Roman" w:cs="Times New Roman"/>
          <w:b w:val="0"/>
          <w:bCs w:val="0"/>
          <w:color w:val="auto"/>
          <w:szCs w:val="32"/>
          <w:highlight w:val="none"/>
          <w:shd w:val="clear" w:color="auto" w:fill="FFFFFF"/>
        </w:rPr>
        <w:t>坚持新时代好干部标准，</w:t>
      </w:r>
      <w:r>
        <w:rPr>
          <w:rFonts w:hint="default" w:ascii="Times New Roman" w:hAnsi="Times New Roman" w:cs="Times New Roman"/>
          <w:b w:val="0"/>
          <w:bCs w:val="0"/>
          <w:color w:val="040404"/>
          <w:szCs w:val="32"/>
          <w:highlight w:val="none"/>
          <w:shd w:val="clear" w:color="auto" w:fill="FFFFFF"/>
        </w:rPr>
        <w:t>坚持严管与厚爱结合、激励与约束并重，全面激发干部队伍干事创业活力</w:t>
      </w:r>
      <w:r>
        <w:rPr>
          <w:rFonts w:hint="eastAsia" w:ascii="Times New Roman" w:hAnsi="Times New Roman" w:cs="Times New Roman"/>
          <w:b w:val="0"/>
          <w:bCs w:val="0"/>
          <w:color w:val="040404"/>
          <w:szCs w:val="32"/>
          <w:highlight w:val="none"/>
          <w:shd w:val="clear" w:color="auto" w:fill="FFFFFF"/>
          <w:lang w:eastAsia="zh-CN"/>
        </w:rPr>
        <w:t>，确保各项决策部署落实到位</w:t>
      </w:r>
      <w:r>
        <w:rPr>
          <w:rFonts w:hint="default" w:ascii="Times New Roman" w:hAnsi="Times New Roman" w:cs="Times New Roman"/>
          <w:b w:val="0"/>
          <w:bCs w:val="0"/>
          <w:color w:val="040404"/>
          <w:szCs w:val="32"/>
          <w:highlight w:val="none"/>
          <w:shd w:val="clear" w:color="auto" w:fill="FFFFFF"/>
        </w:rPr>
        <w:t>。</w:t>
      </w:r>
    </w:p>
    <w:p w14:paraId="43E1CB16">
      <w:pPr>
        <w:pStyle w:val="3"/>
        <w:bidi w:val="0"/>
        <w:rPr>
          <w:rFonts w:hint="default" w:ascii="Times New Roman" w:hAnsi="Times New Roman" w:cs="Times New Roman"/>
          <w:sz w:val="32"/>
          <w:szCs w:val="22"/>
          <w:highlight w:val="none"/>
        </w:rPr>
      </w:pPr>
      <w:bookmarkStart w:id="295" w:name="_Toc2851"/>
      <w:bookmarkStart w:id="296" w:name="_Toc10728_WPSOffice_Level2"/>
      <w:r>
        <w:rPr>
          <w:rFonts w:hint="default" w:ascii="Times New Roman" w:hAnsi="Times New Roman" w:cs="Times New Roman"/>
          <w:sz w:val="32"/>
          <w:szCs w:val="22"/>
          <w:highlight w:val="none"/>
        </w:rPr>
        <w:t xml:space="preserve">第二节 </w:t>
      </w:r>
      <w:r>
        <w:rPr>
          <w:rFonts w:hint="default" w:ascii="Times New Roman" w:hAnsi="Times New Roman" w:cs="Times New Roman"/>
          <w:sz w:val="32"/>
          <w:szCs w:val="22"/>
          <w:highlight w:val="none"/>
          <w:lang w:val="en-US" w:eastAsia="zh-CN"/>
        </w:rPr>
        <w:t xml:space="preserve"> </w:t>
      </w:r>
      <w:bookmarkEnd w:id="293"/>
      <w:bookmarkEnd w:id="294"/>
      <w:bookmarkEnd w:id="295"/>
      <w:bookmarkEnd w:id="296"/>
      <w:r>
        <w:rPr>
          <w:rFonts w:hint="default" w:ascii="Times New Roman" w:hAnsi="Times New Roman" w:cs="Times New Roman"/>
          <w:sz w:val="32"/>
          <w:szCs w:val="22"/>
          <w:highlight w:val="none"/>
        </w:rPr>
        <w:t>健全规划衔接协调机制</w:t>
      </w:r>
    </w:p>
    <w:p w14:paraId="260FD4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color w:val="040404"/>
          <w:szCs w:val="32"/>
          <w:highlight w:val="none"/>
          <w:shd w:val="clear" w:color="auto" w:fill="FFFFFF"/>
          <w:lang w:val="en-US" w:eastAsia="zh-CN"/>
        </w:rPr>
      </w:pPr>
      <w:bookmarkStart w:id="297" w:name="_Toc13860"/>
      <w:bookmarkStart w:id="298" w:name="_Toc10143"/>
      <w:bookmarkStart w:id="299" w:name="_Toc7014_WPSOffice_Level2"/>
      <w:bookmarkStart w:id="300" w:name="_Toc7645"/>
      <w:r>
        <w:rPr>
          <w:rFonts w:hint="default" w:ascii="Times New Roman" w:hAnsi="Times New Roman" w:cs="Times New Roman"/>
          <w:b w:val="0"/>
          <w:bCs w:val="0"/>
          <w:color w:val="040404"/>
          <w:szCs w:val="32"/>
          <w:highlight w:val="none"/>
          <w:shd w:val="clear" w:color="auto" w:fill="FFFFFF"/>
          <w:lang w:val="en-US" w:eastAsia="zh-CN"/>
        </w:rPr>
        <w:t>构建以发展规划为统领、国土空间规划为基础、专项规划为支撑的全县统一规划体系，明确各类规划功能定位，实现规划间有机衔接、相互协调。健全专项规划与发展规划的衔接协调机制，确保各级各类规划目标方向一致、空间布局合理、任务部署协同。维护规划权威性和严肃性，未经法定程序批准，不得擅自调整变更。发挥年度计划对发展规划的支撑落实作用，将规划确定的主要目标和重点任务分解到各年度计划中，科学设置年度目标，统筹做好综合平衡，形成层次分明、衔接有序的规划实施体系。</w:t>
      </w:r>
    </w:p>
    <w:p w14:paraId="2517EEB9">
      <w:pPr>
        <w:pStyle w:val="3"/>
        <w:bidi w:val="0"/>
        <w:ind w:firstLine="640" w:firstLineChars="200"/>
        <w:jc w:val="center"/>
        <w:rPr>
          <w:rFonts w:hint="default" w:ascii="Times New Roman" w:hAnsi="Times New Roman" w:cs="Times New Roman"/>
          <w:sz w:val="32"/>
          <w:szCs w:val="22"/>
          <w:highlight w:val="none"/>
        </w:rPr>
      </w:pPr>
      <w:r>
        <w:rPr>
          <w:rFonts w:hint="default" w:ascii="Times New Roman" w:hAnsi="Times New Roman" w:cs="Times New Roman"/>
          <w:sz w:val="32"/>
          <w:szCs w:val="22"/>
          <w:highlight w:val="none"/>
        </w:rPr>
        <w:t xml:space="preserve">第三节 </w:t>
      </w:r>
      <w:r>
        <w:rPr>
          <w:rFonts w:hint="default" w:ascii="Times New Roman" w:hAnsi="Times New Roman" w:cs="Times New Roman"/>
          <w:sz w:val="32"/>
          <w:szCs w:val="22"/>
          <w:highlight w:val="none"/>
          <w:lang w:val="en-US" w:eastAsia="zh-CN"/>
        </w:rPr>
        <w:t xml:space="preserve"> </w:t>
      </w:r>
      <w:bookmarkEnd w:id="297"/>
      <w:bookmarkEnd w:id="298"/>
      <w:bookmarkEnd w:id="299"/>
      <w:bookmarkEnd w:id="300"/>
      <w:r>
        <w:rPr>
          <w:rFonts w:hint="default" w:ascii="Times New Roman" w:hAnsi="Times New Roman" w:cs="Times New Roman"/>
          <w:sz w:val="32"/>
          <w:szCs w:val="22"/>
          <w:highlight w:val="none"/>
          <w:lang w:val="en-US" w:eastAsia="zh-CN"/>
        </w:rPr>
        <w:t>夯实</w:t>
      </w:r>
      <w:r>
        <w:rPr>
          <w:rFonts w:hint="default" w:ascii="Times New Roman" w:hAnsi="Times New Roman" w:cs="Times New Roman"/>
          <w:sz w:val="32"/>
          <w:szCs w:val="22"/>
          <w:highlight w:val="none"/>
        </w:rPr>
        <w:t>项目支撑和要素保障</w:t>
      </w:r>
    </w:p>
    <w:p w14:paraId="1273DF99">
      <w:pPr>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 w:val="0"/>
          <w:bCs w:val="0"/>
          <w:color w:val="040404"/>
          <w:kern w:val="2"/>
          <w:sz w:val="32"/>
          <w:szCs w:val="32"/>
          <w:highlight w:val="none"/>
          <w:shd w:val="clear" w:color="auto" w:fill="FFFFFF"/>
          <w:lang w:val="en-US" w:eastAsia="zh-CN" w:bidi="ar-SA"/>
        </w:rPr>
      </w:pPr>
      <w:bookmarkStart w:id="301" w:name="_Toc10413"/>
      <w:bookmarkStart w:id="302" w:name="_Toc16296"/>
      <w:r>
        <w:rPr>
          <w:rFonts w:hint="default" w:ascii="Times New Roman" w:hAnsi="Times New Roman" w:eastAsia="仿宋_GB2312" w:cs="Times New Roman"/>
          <w:b w:val="0"/>
          <w:bCs w:val="0"/>
          <w:color w:val="040404"/>
          <w:kern w:val="2"/>
          <w:sz w:val="32"/>
          <w:szCs w:val="32"/>
          <w:highlight w:val="none"/>
          <w:shd w:val="clear" w:color="auto" w:fill="FFFFFF"/>
          <w:lang w:val="en-US" w:eastAsia="zh-CN" w:bidi="ar-SA"/>
        </w:rPr>
        <w:t>坚持规划引领项目、项目支撑规划，聚焦产业升级、民生改善、生态保护、基础设施等重点方向，谋划实施一批打基础、利长远、增后劲的重大项目。加强项目布局与规划方向的精准对接，优化投资结构和区域分布，确保项目时序与规划进度协调同步。健全重点项目储备库和滚动推进机制，围绕规划重点任务持续策划储备优质项目，完善前期论证、开工建设、竣工投产各环节衔接机制，强化项目全生命周期管理。加强土地、资金、能耗等要素资源县级统筹配置，优先保障重大项目实施需求，强化项目监管和绩效评价，确保投资规模稳定增长，以高质量项目支撑规划目标顺利实现。</w:t>
      </w:r>
    </w:p>
    <w:p w14:paraId="28113BD2">
      <w:pPr>
        <w:pStyle w:val="3"/>
        <w:bidi w:val="0"/>
        <w:rPr>
          <w:rFonts w:hint="default" w:ascii="Times New Roman" w:hAnsi="Times New Roman" w:eastAsia="黑体" w:cs="Times New Roman"/>
          <w:sz w:val="32"/>
          <w:szCs w:val="22"/>
          <w:highlight w:val="none"/>
          <w:lang w:eastAsia="zh-CN"/>
        </w:rPr>
      </w:pPr>
      <w:bookmarkStart w:id="303" w:name="_Toc14310_WPSOffice_Level2"/>
      <w:bookmarkStart w:id="304" w:name="_Toc23797"/>
      <w:r>
        <w:rPr>
          <w:rFonts w:hint="default" w:ascii="Times New Roman" w:hAnsi="Times New Roman" w:cs="Times New Roman"/>
          <w:sz w:val="32"/>
          <w:szCs w:val="22"/>
          <w:highlight w:val="none"/>
        </w:rPr>
        <w:t xml:space="preserve">第四节 </w:t>
      </w:r>
      <w:r>
        <w:rPr>
          <w:rFonts w:hint="default" w:ascii="Times New Roman" w:hAnsi="Times New Roman" w:cs="Times New Roman"/>
          <w:sz w:val="32"/>
          <w:szCs w:val="22"/>
          <w:highlight w:val="none"/>
          <w:lang w:val="en-US" w:eastAsia="zh-CN"/>
        </w:rPr>
        <w:t xml:space="preserve"> </w:t>
      </w:r>
      <w:bookmarkEnd w:id="301"/>
      <w:bookmarkEnd w:id="302"/>
      <w:bookmarkEnd w:id="303"/>
      <w:r>
        <w:rPr>
          <w:rFonts w:hint="default" w:ascii="Times New Roman" w:hAnsi="Times New Roman" w:cs="Times New Roman"/>
          <w:sz w:val="32"/>
          <w:szCs w:val="22"/>
          <w:highlight w:val="none"/>
          <w:lang w:eastAsia="zh-CN"/>
        </w:rPr>
        <w:t>汇聚</w:t>
      </w:r>
      <w:r>
        <w:rPr>
          <w:rFonts w:hint="default" w:ascii="Times New Roman" w:hAnsi="Times New Roman" w:cs="Times New Roman"/>
          <w:sz w:val="32"/>
          <w:szCs w:val="22"/>
          <w:highlight w:val="none"/>
          <w:lang w:val="en-US" w:eastAsia="zh-CN"/>
        </w:rPr>
        <w:t>规划</w:t>
      </w:r>
      <w:r>
        <w:rPr>
          <w:rFonts w:hint="default" w:ascii="Times New Roman" w:hAnsi="Times New Roman" w:cs="Times New Roman"/>
          <w:sz w:val="32"/>
          <w:szCs w:val="22"/>
          <w:highlight w:val="none"/>
          <w:lang w:eastAsia="zh-CN"/>
        </w:rPr>
        <w:t>实施合力</w:t>
      </w:r>
      <w:bookmarkEnd w:id="304"/>
    </w:p>
    <w:p w14:paraId="6CC506CC">
      <w:pPr>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b w:val="0"/>
          <w:bCs w:val="0"/>
          <w:highlight w:val="none"/>
          <w:lang w:val="en-US" w:eastAsia="zh-CN"/>
        </w:rPr>
      </w:pP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县</w:t>
      </w:r>
      <w:r>
        <w:rPr>
          <w:rFonts w:hint="eastAsia" w:ascii="Times New Roman" w:hAnsi="Times New Roman" w:cs="Times New Roman"/>
          <w:b w:val="0"/>
          <w:bCs w:val="0"/>
          <w:color w:val="auto"/>
          <w:kern w:val="2"/>
          <w:sz w:val="32"/>
          <w:szCs w:val="32"/>
          <w:highlight w:val="none"/>
          <w:shd w:val="clear" w:color="auto" w:fill="FFFFFF"/>
          <w:lang w:val="en-US" w:eastAsia="zh-CN" w:bidi="ar-SA"/>
        </w:rPr>
        <w:t>人民</w:t>
      </w:r>
      <w:r>
        <w:rPr>
          <w:rFonts w:hint="default" w:ascii="Times New Roman" w:hAnsi="Times New Roman" w:eastAsia="仿宋_GB2312" w:cs="Times New Roman"/>
          <w:b w:val="0"/>
          <w:bCs w:val="0"/>
          <w:color w:val="auto"/>
          <w:kern w:val="2"/>
          <w:sz w:val="32"/>
          <w:szCs w:val="32"/>
          <w:highlight w:val="none"/>
          <w:shd w:val="clear" w:color="auto" w:fill="FFFFFF"/>
          <w:lang w:val="en-US" w:eastAsia="zh-CN" w:bidi="ar-SA"/>
        </w:rPr>
        <w:t>政府</w:t>
      </w:r>
      <w:r>
        <w:rPr>
          <w:rFonts w:hint="default" w:ascii="Times New Roman" w:hAnsi="Times New Roman" w:eastAsia="仿宋_GB2312" w:cs="Times New Roman"/>
          <w:b w:val="0"/>
          <w:bCs w:val="0"/>
          <w:color w:val="040404"/>
          <w:kern w:val="2"/>
          <w:sz w:val="32"/>
          <w:szCs w:val="32"/>
          <w:highlight w:val="none"/>
          <w:shd w:val="clear" w:color="auto" w:fill="FFFFFF"/>
          <w:lang w:val="en-US" w:eastAsia="zh-CN" w:bidi="ar-SA"/>
        </w:rPr>
        <w:t>统筹负责“十五五”规划组织实施，县发展改革局承担规划实施的综合协调和督促检查职能，各部门按照职责分工落实各项目标任务，形成上下贯通、条块结合的实施责任体系。充分调动企业、社会组织、人民群众等各方力量参与规划实施的积极性和主动性，汇聚全社会共建共享的强大合力。建立规划实施动态监测机制，对指标进度、政策效果、项目成效进行跟踪评估，配套建立目标责任制和统计监测制度，健全规划中期评估和动态调整机制，确保规划适应形势变化、始终科学有效。依法依规向县人大报告、向县政协通报规划实施情况，主动接受人大监督、政协监督和社会各界监督，推动规划实施公开透明。广泛开展规划宣传解读，及时发布实施进展，营造社会各界关心规划、支持规划、参与规划的良好氛围。</w:t>
      </w:r>
    </w:p>
    <w:sectPr>
      <w:footnotePr>
        <w:numFmt w:val="decimal"/>
      </w:footnotePr>
      <w:pgSz w:w="11906" w:h="16838"/>
      <w:pgMar w:top="1984" w:right="1587" w:bottom="1701" w:left="1587" w:header="851" w:footer="1389"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文星简小标宋">
    <w:altName w:val="宋体"/>
    <w:panose1 w:val="02010609000101010101"/>
    <w:charset w:val="86"/>
    <w:family w:val="modern"/>
    <w:pitch w:val="default"/>
    <w:sig w:usb0="00000000" w:usb1="00000000" w:usb2="0000001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3214">
    <w:pPr>
      <w:pStyle w:val="8"/>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outlineLvl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DA7C7">
                          <w:pPr>
                            <w:pStyle w:val="8"/>
                            <w:keepNext w:val="0"/>
                            <w:keepLines w:val="0"/>
                            <w:pageBreakBefore w:val="0"/>
                            <w:widowControl w:val="0"/>
                            <w:kinsoku/>
                            <w:wordWrap/>
                            <w:overflowPunct/>
                            <w:topLinePunct w:val="0"/>
                            <w:bidi w:val="0"/>
                            <w:adjustRightInd/>
                            <w:snapToGrid w:val="0"/>
                            <w:spacing w:line="240" w:lineRule="auto"/>
                            <w:ind w:left="320" w:leftChars="100" w:right="320" w:rightChars="100" w:firstLine="0" w:firstLineChars="0"/>
                            <w:textAlignment w:val="auto"/>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4DA7C7">
                    <w:pPr>
                      <w:pStyle w:val="8"/>
                      <w:keepNext w:val="0"/>
                      <w:keepLines w:val="0"/>
                      <w:pageBreakBefore w:val="0"/>
                      <w:widowControl w:val="0"/>
                      <w:kinsoku/>
                      <w:wordWrap/>
                      <w:overflowPunct/>
                      <w:topLinePunct w:val="0"/>
                      <w:bidi w:val="0"/>
                      <w:adjustRightInd/>
                      <w:snapToGrid w:val="0"/>
                      <w:spacing w:line="240" w:lineRule="auto"/>
                      <w:ind w:left="320" w:leftChars="100" w:right="320" w:rightChars="100" w:firstLine="0" w:firstLineChars="0"/>
                      <w:textAlignment w:val="auto"/>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ZjY1NzlmNWJkMDY1ODE0N2JkNzdhMGJkZjFmNjYifQ=="/>
  </w:docVars>
  <w:rsids>
    <w:rsidRoot w:val="76E22E3C"/>
    <w:rsid w:val="000218C9"/>
    <w:rsid w:val="00046CA0"/>
    <w:rsid w:val="00072C34"/>
    <w:rsid w:val="000B44D3"/>
    <w:rsid w:val="00121F55"/>
    <w:rsid w:val="001570FF"/>
    <w:rsid w:val="00405784"/>
    <w:rsid w:val="00423C6D"/>
    <w:rsid w:val="00612345"/>
    <w:rsid w:val="007007DA"/>
    <w:rsid w:val="00773916"/>
    <w:rsid w:val="008E6404"/>
    <w:rsid w:val="00991ADF"/>
    <w:rsid w:val="00991C5A"/>
    <w:rsid w:val="00A95A9A"/>
    <w:rsid w:val="00AB1812"/>
    <w:rsid w:val="00B26BB1"/>
    <w:rsid w:val="00B701B7"/>
    <w:rsid w:val="00B76409"/>
    <w:rsid w:val="00B95CDD"/>
    <w:rsid w:val="00C603FA"/>
    <w:rsid w:val="00D348C5"/>
    <w:rsid w:val="00D5063D"/>
    <w:rsid w:val="00E645F8"/>
    <w:rsid w:val="00F05477"/>
    <w:rsid w:val="00F9257D"/>
    <w:rsid w:val="00FB4431"/>
    <w:rsid w:val="00FE4037"/>
    <w:rsid w:val="01014C24"/>
    <w:rsid w:val="011E3D92"/>
    <w:rsid w:val="01211AD4"/>
    <w:rsid w:val="01415735"/>
    <w:rsid w:val="014632E9"/>
    <w:rsid w:val="016C0FA1"/>
    <w:rsid w:val="0175017E"/>
    <w:rsid w:val="017D4F5C"/>
    <w:rsid w:val="017D6F17"/>
    <w:rsid w:val="0183453D"/>
    <w:rsid w:val="01852063"/>
    <w:rsid w:val="018926C4"/>
    <w:rsid w:val="0192652E"/>
    <w:rsid w:val="019404F8"/>
    <w:rsid w:val="019E5991"/>
    <w:rsid w:val="01A050EF"/>
    <w:rsid w:val="01A17E1F"/>
    <w:rsid w:val="01AE15BA"/>
    <w:rsid w:val="01C0309B"/>
    <w:rsid w:val="01C14D7B"/>
    <w:rsid w:val="01E46D89"/>
    <w:rsid w:val="01E6443F"/>
    <w:rsid w:val="01E943A0"/>
    <w:rsid w:val="01EA0F4B"/>
    <w:rsid w:val="01EC0334"/>
    <w:rsid w:val="01EC0BC9"/>
    <w:rsid w:val="01FF3BC3"/>
    <w:rsid w:val="020016E9"/>
    <w:rsid w:val="021358C1"/>
    <w:rsid w:val="021F0CFD"/>
    <w:rsid w:val="022A49B8"/>
    <w:rsid w:val="02300221"/>
    <w:rsid w:val="02317AF5"/>
    <w:rsid w:val="02326E3B"/>
    <w:rsid w:val="02331ABF"/>
    <w:rsid w:val="0241242E"/>
    <w:rsid w:val="02477318"/>
    <w:rsid w:val="024A1251"/>
    <w:rsid w:val="024F1F6E"/>
    <w:rsid w:val="025F388A"/>
    <w:rsid w:val="02691984"/>
    <w:rsid w:val="026A3B24"/>
    <w:rsid w:val="027F4D04"/>
    <w:rsid w:val="028265A2"/>
    <w:rsid w:val="0288005D"/>
    <w:rsid w:val="02902A6D"/>
    <w:rsid w:val="02936A01"/>
    <w:rsid w:val="02A62291"/>
    <w:rsid w:val="02AF383B"/>
    <w:rsid w:val="02B250DA"/>
    <w:rsid w:val="02B7449E"/>
    <w:rsid w:val="02CE6FDE"/>
    <w:rsid w:val="02DA4630"/>
    <w:rsid w:val="02E20138"/>
    <w:rsid w:val="02E80AFB"/>
    <w:rsid w:val="02E96621"/>
    <w:rsid w:val="02FC0103"/>
    <w:rsid w:val="03036481"/>
    <w:rsid w:val="0305345B"/>
    <w:rsid w:val="03086AA8"/>
    <w:rsid w:val="031F2043"/>
    <w:rsid w:val="0321400D"/>
    <w:rsid w:val="03215DBB"/>
    <w:rsid w:val="03262CEC"/>
    <w:rsid w:val="033755DF"/>
    <w:rsid w:val="03483348"/>
    <w:rsid w:val="034866F6"/>
    <w:rsid w:val="034C108A"/>
    <w:rsid w:val="03574ACE"/>
    <w:rsid w:val="037C6C1B"/>
    <w:rsid w:val="0385634A"/>
    <w:rsid w:val="03922815"/>
    <w:rsid w:val="039447DF"/>
    <w:rsid w:val="0397607D"/>
    <w:rsid w:val="039C3694"/>
    <w:rsid w:val="039E565E"/>
    <w:rsid w:val="03A32C74"/>
    <w:rsid w:val="03B94246"/>
    <w:rsid w:val="03C86237"/>
    <w:rsid w:val="03DB31E4"/>
    <w:rsid w:val="03E017D2"/>
    <w:rsid w:val="03E33071"/>
    <w:rsid w:val="03F4527E"/>
    <w:rsid w:val="03F82FC0"/>
    <w:rsid w:val="03FF3CB7"/>
    <w:rsid w:val="040E27E3"/>
    <w:rsid w:val="04282AC1"/>
    <w:rsid w:val="042E253E"/>
    <w:rsid w:val="043E1FEF"/>
    <w:rsid w:val="04495416"/>
    <w:rsid w:val="044C1E90"/>
    <w:rsid w:val="044E2BE0"/>
    <w:rsid w:val="04722D72"/>
    <w:rsid w:val="047900FF"/>
    <w:rsid w:val="047B7894"/>
    <w:rsid w:val="047D5273"/>
    <w:rsid w:val="048D195A"/>
    <w:rsid w:val="04926F71"/>
    <w:rsid w:val="049D76C3"/>
    <w:rsid w:val="04A42800"/>
    <w:rsid w:val="04AB0032"/>
    <w:rsid w:val="04B270C1"/>
    <w:rsid w:val="04BA65BD"/>
    <w:rsid w:val="04C11604"/>
    <w:rsid w:val="04C85EC4"/>
    <w:rsid w:val="04CE5ACF"/>
    <w:rsid w:val="04D05CEB"/>
    <w:rsid w:val="04D330E5"/>
    <w:rsid w:val="04E452F2"/>
    <w:rsid w:val="04E56FAB"/>
    <w:rsid w:val="04EB0520"/>
    <w:rsid w:val="04ED0EE6"/>
    <w:rsid w:val="04F217BD"/>
    <w:rsid w:val="04FA4B16"/>
    <w:rsid w:val="04FC007E"/>
    <w:rsid w:val="050156D8"/>
    <w:rsid w:val="05025778"/>
    <w:rsid w:val="050E1035"/>
    <w:rsid w:val="05137986"/>
    <w:rsid w:val="051756C8"/>
    <w:rsid w:val="0523406D"/>
    <w:rsid w:val="05340028"/>
    <w:rsid w:val="05412745"/>
    <w:rsid w:val="05485436"/>
    <w:rsid w:val="055406CA"/>
    <w:rsid w:val="055B4EF8"/>
    <w:rsid w:val="0563090D"/>
    <w:rsid w:val="05681A7F"/>
    <w:rsid w:val="057B5C57"/>
    <w:rsid w:val="057E12A3"/>
    <w:rsid w:val="05924D4E"/>
    <w:rsid w:val="05972365"/>
    <w:rsid w:val="05A84572"/>
    <w:rsid w:val="05AC22B4"/>
    <w:rsid w:val="05C869C2"/>
    <w:rsid w:val="05D67331"/>
    <w:rsid w:val="05D830A9"/>
    <w:rsid w:val="05D90BCF"/>
    <w:rsid w:val="05DB2AA7"/>
    <w:rsid w:val="05E530D0"/>
    <w:rsid w:val="05EC445F"/>
    <w:rsid w:val="05F61781"/>
    <w:rsid w:val="05FD2B10"/>
    <w:rsid w:val="060077E8"/>
    <w:rsid w:val="06023C82"/>
    <w:rsid w:val="060519C4"/>
    <w:rsid w:val="060914B4"/>
    <w:rsid w:val="06110369"/>
    <w:rsid w:val="062959A9"/>
    <w:rsid w:val="06320490"/>
    <w:rsid w:val="06345E06"/>
    <w:rsid w:val="0639341C"/>
    <w:rsid w:val="063D6CE4"/>
    <w:rsid w:val="06510766"/>
    <w:rsid w:val="065A3ABE"/>
    <w:rsid w:val="06712BB6"/>
    <w:rsid w:val="067B120F"/>
    <w:rsid w:val="067F1777"/>
    <w:rsid w:val="06856661"/>
    <w:rsid w:val="068648B3"/>
    <w:rsid w:val="06A74829"/>
    <w:rsid w:val="06AC1E40"/>
    <w:rsid w:val="06AD62E4"/>
    <w:rsid w:val="06B07B82"/>
    <w:rsid w:val="06B238FA"/>
    <w:rsid w:val="06B56F46"/>
    <w:rsid w:val="06B84C89"/>
    <w:rsid w:val="06C13B3D"/>
    <w:rsid w:val="06D80E87"/>
    <w:rsid w:val="06DF5D71"/>
    <w:rsid w:val="06E45A7E"/>
    <w:rsid w:val="06EE06AA"/>
    <w:rsid w:val="06FC6923"/>
    <w:rsid w:val="07177C01"/>
    <w:rsid w:val="071874D5"/>
    <w:rsid w:val="071C6FC5"/>
    <w:rsid w:val="072B0FB7"/>
    <w:rsid w:val="072B545A"/>
    <w:rsid w:val="072D11D3"/>
    <w:rsid w:val="0736320D"/>
    <w:rsid w:val="073836D3"/>
    <w:rsid w:val="07585B24"/>
    <w:rsid w:val="075E6FD6"/>
    <w:rsid w:val="076247AC"/>
    <w:rsid w:val="07893F2F"/>
    <w:rsid w:val="079923C4"/>
    <w:rsid w:val="079B25E0"/>
    <w:rsid w:val="079E79DA"/>
    <w:rsid w:val="07A019A5"/>
    <w:rsid w:val="07AD40C1"/>
    <w:rsid w:val="07B0770E"/>
    <w:rsid w:val="07C5765D"/>
    <w:rsid w:val="07C74EE1"/>
    <w:rsid w:val="07C83030"/>
    <w:rsid w:val="07D01B5E"/>
    <w:rsid w:val="07D96C64"/>
    <w:rsid w:val="07DE24CD"/>
    <w:rsid w:val="07EC30CD"/>
    <w:rsid w:val="07F43A9E"/>
    <w:rsid w:val="07F876BE"/>
    <w:rsid w:val="07F95559"/>
    <w:rsid w:val="07FB134B"/>
    <w:rsid w:val="07FB307F"/>
    <w:rsid w:val="07FD6DF7"/>
    <w:rsid w:val="07FE2B6F"/>
    <w:rsid w:val="08053C42"/>
    <w:rsid w:val="081B54CF"/>
    <w:rsid w:val="082500FC"/>
    <w:rsid w:val="082C4FE6"/>
    <w:rsid w:val="082D6FB0"/>
    <w:rsid w:val="0834033F"/>
    <w:rsid w:val="083B16CD"/>
    <w:rsid w:val="084222E2"/>
    <w:rsid w:val="084542FA"/>
    <w:rsid w:val="0846765B"/>
    <w:rsid w:val="08517143"/>
    <w:rsid w:val="08534C69"/>
    <w:rsid w:val="086A6259"/>
    <w:rsid w:val="086F1377"/>
    <w:rsid w:val="0878647D"/>
    <w:rsid w:val="087E49FE"/>
    <w:rsid w:val="0882554E"/>
    <w:rsid w:val="08892439"/>
    <w:rsid w:val="088F3C8B"/>
    <w:rsid w:val="089808CE"/>
    <w:rsid w:val="089B216C"/>
    <w:rsid w:val="089E3A0A"/>
    <w:rsid w:val="08AF79C5"/>
    <w:rsid w:val="08B35707"/>
    <w:rsid w:val="08B651F8"/>
    <w:rsid w:val="08C41AD3"/>
    <w:rsid w:val="08C83CF3"/>
    <w:rsid w:val="08C90A87"/>
    <w:rsid w:val="08CD35BB"/>
    <w:rsid w:val="08D15B8E"/>
    <w:rsid w:val="08D72F06"/>
    <w:rsid w:val="08DD1482"/>
    <w:rsid w:val="08E04C90"/>
    <w:rsid w:val="08E541E4"/>
    <w:rsid w:val="08F00701"/>
    <w:rsid w:val="08F5187C"/>
    <w:rsid w:val="08F85810"/>
    <w:rsid w:val="09016473"/>
    <w:rsid w:val="09067F2D"/>
    <w:rsid w:val="09175C96"/>
    <w:rsid w:val="091837BC"/>
    <w:rsid w:val="091A12E3"/>
    <w:rsid w:val="091D0DD3"/>
    <w:rsid w:val="093D1475"/>
    <w:rsid w:val="09410F65"/>
    <w:rsid w:val="09412D13"/>
    <w:rsid w:val="09417656"/>
    <w:rsid w:val="09471181"/>
    <w:rsid w:val="094B3B92"/>
    <w:rsid w:val="09565DE8"/>
    <w:rsid w:val="095C5D9F"/>
    <w:rsid w:val="095F763D"/>
    <w:rsid w:val="0963712E"/>
    <w:rsid w:val="0966277A"/>
    <w:rsid w:val="098826F0"/>
    <w:rsid w:val="0989441D"/>
    <w:rsid w:val="098D41AA"/>
    <w:rsid w:val="099E7723"/>
    <w:rsid w:val="09B41737"/>
    <w:rsid w:val="09B47989"/>
    <w:rsid w:val="09C45C93"/>
    <w:rsid w:val="09D04097"/>
    <w:rsid w:val="09DA6CC4"/>
    <w:rsid w:val="09E33DCA"/>
    <w:rsid w:val="0A0A75A9"/>
    <w:rsid w:val="0A177036"/>
    <w:rsid w:val="0A2D14EA"/>
    <w:rsid w:val="0A374DBB"/>
    <w:rsid w:val="0A413560"/>
    <w:rsid w:val="0A633027"/>
    <w:rsid w:val="0A6A629A"/>
    <w:rsid w:val="0A6D18E6"/>
    <w:rsid w:val="0A75628C"/>
    <w:rsid w:val="0A762E91"/>
    <w:rsid w:val="0A80786B"/>
    <w:rsid w:val="0A83110A"/>
    <w:rsid w:val="0A8A2498"/>
    <w:rsid w:val="0AB063A2"/>
    <w:rsid w:val="0AB53C55"/>
    <w:rsid w:val="0AC27AB4"/>
    <w:rsid w:val="0AD656DD"/>
    <w:rsid w:val="0AD83203"/>
    <w:rsid w:val="0AE0655C"/>
    <w:rsid w:val="0AE55FEA"/>
    <w:rsid w:val="0AED28DC"/>
    <w:rsid w:val="0AF049F1"/>
    <w:rsid w:val="0AFF7ECA"/>
    <w:rsid w:val="0B2428ED"/>
    <w:rsid w:val="0B301291"/>
    <w:rsid w:val="0B381EF4"/>
    <w:rsid w:val="0B3D7BE0"/>
    <w:rsid w:val="0B462863"/>
    <w:rsid w:val="0B494101"/>
    <w:rsid w:val="0B495EAF"/>
    <w:rsid w:val="0B50723E"/>
    <w:rsid w:val="0B5A00BC"/>
    <w:rsid w:val="0B5F56D3"/>
    <w:rsid w:val="0B6E3B68"/>
    <w:rsid w:val="0B6E5916"/>
    <w:rsid w:val="0B73117E"/>
    <w:rsid w:val="0B756CA4"/>
    <w:rsid w:val="0B865355"/>
    <w:rsid w:val="0B907F82"/>
    <w:rsid w:val="0B980BE5"/>
    <w:rsid w:val="0BA37CB5"/>
    <w:rsid w:val="0BA916F2"/>
    <w:rsid w:val="0BAB6B6A"/>
    <w:rsid w:val="0BBF414C"/>
    <w:rsid w:val="0BC35C62"/>
    <w:rsid w:val="0BCD088E"/>
    <w:rsid w:val="0BEF6A57"/>
    <w:rsid w:val="0BF24799"/>
    <w:rsid w:val="0BF7590B"/>
    <w:rsid w:val="0C012C2E"/>
    <w:rsid w:val="0C060244"/>
    <w:rsid w:val="0C077491"/>
    <w:rsid w:val="0C083FBC"/>
    <w:rsid w:val="0C0B7609"/>
    <w:rsid w:val="0C236700"/>
    <w:rsid w:val="0C2C216E"/>
    <w:rsid w:val="0C5745FC"/>
    <w:rsid w:val="0C5773B0"/>
    <w:rsid w:val="0C5B757D"/>
    <w:rsid w:val="0C5F3856"/>
    <w:rsid w:val="0C632FA1"/>
    <w:rsid w:val="0C662A91"/>
    <w:rsid w:val="0C67530F"/>
    <w:rsid w:val="0C680516"/>
    <w:rsid w:val="0C83197D"/>
    <w:rsid w:val="0C9475FE"/>
    <w:rsid w:val="0C9D2956"/>
    <w:rsid w:val="0CA737D5"/>
    <w:rsid w:val="0CA916C6"/>
    <w:rsid w:val="0CAE6912"/>
    <w:rsid w:val="0CB11F5E"/>
    <w:rsid w:val="0CB12B14"/>
    <w:rsid w:val="0CB63A18"/>
    <w:rsid w:val="0CC10939"/>
    <w:rsid w:val="0CD67C16"/>
    <w:rsid w:val="0CDA7707"/>
    <w:rsid w:val="0CEC2F96"/>
    <w:rsid w:val="0CFC6D53"/>
    <w:rsid w:val="0D020A0B"/>
    <w:rsid w:val="0D072C02"/>
    <w:rsid w:val="0D1D5845"/>
    <w:rsid w:val="0D246BD4"/>
    <w:rsid w:val="0D2A3ABE"/>
    <w:rsid w:val="0D2D7BCF"/>
    <w:rsid w:val="0D3037CB"/>
    <w:rsid w:val="0D307327"/>
    <w:rsid w:val="0D475C85"/>
    <w:rsid w:val="0D4D3563"/>
    <w:rsid w:val="0D556D8D"/>
    <w:rsid w:val="0D5A25F6"/>
    <w:rsid w:val="0D5A43A4"/>
    <w:rsid w:val="0D6214AA"/>
    <w:rsid w:val="0D6A0331"/>
    <w:rsid w:val="0D705975"/>
    <w:rsid w:val="0D7511DD"/>
    <w:rsid w:val="0D821B4C"/>
    <w:rsid w:val="0D837D9E"/>
    <w:rsid w:val="0D98311E"/>
    <w:rsid w:val="0D991370"/>
    <w:rsid w:val="0DB937C0"/>
    <w:rsid w:val="0DBC505E"/>
    <w:rsid w:val="0DBE2B84"/>
    <w:rsid w:val="0DC01F09"/>
    <w:rsid w:val="0DCB34F3"/>
    <w:rsid w:val="0DCE747E"/>
    <w:rsid w:val="0DD34156"/>
    <w:rsid w:val="0DE819AF"/>
    <w:rsid w:val="0DF26CD2"/>
    <w:rsid w:val="0DFC36AD"/>
    <w:rsid w:val="0DFE5677"/>
    <w:rsid w:val="0E0A5DCA"/>
    <w:rsid w:val="0E0E518E"/>
    <w:rsid w:val="0E2055DA"/>
    <w:rsid w:val="0E341099"/>
    <w:rsid w:val="0E3512B7"/>
    <w:rsid w:val="0E370B89"/>
    <w:rsid w:val="0E372937"/>
    <w:rsid w:val="0E3A5F83"/>
    <w:rsid w:val="0E4017EB"/>
    <w:rsid w:val="0E43308A"/>
    <w:rsid w:val="0E5815BF"/>
    <w:rsid w:val="0E5F06F5"/>
    <w:rsid w:val="0E605773"/>
    <w:rsid w:val="0E76520D"/>
    <w:rsid w:val="0E7C47EE"/>
    <w:rsid w:val="0E811E04"/>
    <w:rsid w:val="0E883192"/>
    <w:rsid w:val="0E8F4578"/>
    <w:rsid w:val="0E96765D"/>
    <w:rsid w:val="0E9733D5"/>
    <w:rsid w:val="0EA11190"/>
    <w:rsid w:val="0EA578A0"/>
    <w:rsid w:val="0EA92D37"/>
    <w:rsid w:val="0EAA135B"/>
    <w:rsid w:val="0EAB09C1"/>
    <w:rsid w:val="0EBC34B0"/>
    <w:rsid w:val="0EC046DA"/>
    <w:rsid w:val="0EC51CF1"/>
    <w:rsid w:val="0ECF2B6F"/>
    <w:rsid w:val="0ED4462A"/>
    <w:rsid w:val="0EE303C9"/>
    <w:rsid w:val="0EEE56EB"/>
    <w:rsid w:val="0EEF3211"/>
    <w:rsid w:val="0F032819"/>
    <w:rsid w:val="0F0942D3"/>
    <w:rsid w:val="0F1A68C7"/>
    <w:rsid w:val="0F1E7653"/>
    <w:rsid w:val="0F1E7DD1"/>
    <w:rsid w:val="0F227143"/>
    <w:rsid w:val="0F2927B1"/>
    <w:rsid w:val="0F296B04"/>
    <w:rsid w:val="0F2F4D56"/>
    <w:rsid w:val="0F346E76"/>
    <w:rsid w:val="0F3477A2"/>
    <w:rsid w:val="0F384BB8"/>
    <w:rsid w:val="0F4277E5"/>
    <w:rsid w:val="0F4876BF"/>
    <w:rsid w:val="0F4A19C8"/>
    <w:rsid w:val="0F53554E"/>
    <w:rsid w:val="0F554A8F"/>
    <w:rsid w:val="0F5B4403"/>
    <w:rsid w:val="0F640839"/>
    <w:rsid w:val="0F711E78"/>
    <w:rsid w:val="0F73602D"/>
    <w:rsid w:val="0F7B0E72"/>
    <w:rsid w:val="0F824086"/>
    <w:rsid w:val="0F825E34"/>
    <w:rsid w:val="0F8751F8"/>
    <w:rsid w:val="0F966B3F"/>
    <w:rsid w:val="0FB6157B"/>
    <w:rsid w:val="0FB97EAE"/>
    <w:rsid w:val="0FBA737B"/>
    <w:rsid w:val="0FBA7927"/>
    <w:rsid w:val="0FC63F72"/>
    <w:rsid w:val="0FD9675F"/>
    <w:rsid w:val="0FDA17CC"/>
    <w:rsid w:val="0FE10DAC"/>
    <w:rsid w:val="0FED14FF"/>
    <w:rsid w:val="0FF04BD8"/>
    <w:rsid w:val="0FFF7484"/>
    <w:rsid w:val="100675D1"/>
    <w:rsid w:val="10167193"/>
    <w:rsid w:val="102179FC"/>
    <w:rsid w:val="102E271A"/>
    <w:rsid w:val="10390BE8"/>
    <w:rsid w:val="104B151B"/>
    <w:rsid w:val="105C6685"/>
    <w:rsid w:val="1065378B"/>
    <w:rsid w:val="106B4B1A"/>
    <w:rsid w:val="106F460A"/>
    <w:rsid w:val="10790FE5"/>
    <w:rsid w:val="10873860"/>
    <w:rsid w:val="10881228"/>
    <w:rsid w:val="108A31F2"/>
    <w:rsid w:val="108C51BC"/>
    <w:rsid w:val="108F0808"/>
    <w:rsid w:val="109F66ED"/>
    <w:rsid w:val="10A2678D"/>
    <w:rsid w:val="10AA73F0"/>
    <w:rsid w:val="10AD0C8E"/>
    <w:rsid w:val="10AF0EAA"/>
    <w:rsid w:val="10C304B2"/>
    <w:rsid w:val="10C5247C"/>
    <w:rsid w:val="10C761F4"/>
    <w:rsid w:val="10CF6E57"/>
    <w:rsid w:val="10E02E12"/>
    <w:rsid w:val="10E30C50"/>
    <w:rsid w:val="10FB40F0"/>
    <w:rsid w:val="11180818"/>
    <w:rsid w:val="11286567"/>
    <w:rsid w:val="113B0990"/>
    <w:rsid w:val="113D393B"/>
    <w:rsid w:val="114710E3"/>
    <w:rsid w:val="114A1CAE"/>
    <w:rsid w:val="11553DDE"/>
    <w:rsid w:val="115832F0"/>
    <w:rsid w:val="11691059"/>
    <w:rsid w:val="11794960"/>
    <w:rsid w:val="117A18FA"/>
    <w:rsid w:val="117D15F2"/>
    <w:rsid w:val="11844295"/>
    <w:rsid w:val="118539B9"/>
    <w:rsid w:val="118714DF"/>
    <w:rsid w:val="118C679D"/>
    <w:rsid w:val="11934328"/>
    <w:rsid w:val="119500A0"/>
    <w:rsid w:val="11965BC6"/>
    <w:rsid w:val="11A025A1"/>
    <w:rsid w:val="11A26319"/>
    <w:rsid w:val="11A74823"/>
    <w:rsid w:val="11C646FD"/>
    <w:rsid w:val="11CE35B2"/>
    <w:rsid w:val="11DF131B"/>
    <w:rsid w:val="11E06E41"/>
    <w:rsid w:val="11EE3F7A"/>
    <w:rsid w:val="11F03528"/>
    <w:rsid w:val="11F8062F"/>
    <w:rsid w:val="120C39FD"/>
    <w:rsid w:val="120D5E88"/>
    <w:rsid w:val="120E1C01"/>
    <w:rsid w:val="120F683F"/>
    <w:rsid w:val="12136E0C"/>
    <w:rsid w:val="12176D07"/>
    <w:rsid w:val="12370063"/>
    <w:rsid w:val="123F625E"/>
    <w:rsid w:val="124F61F1"/>
    <w:rsid w:val="12505591"/>
    <w:rsid w:val="1255711F"/>
    <w:rsid w:val="125D38F9"/>
    <w:rsid w:val="128123D2"/>
    <w:rsid w:val="12865C3B"/>
    <w:rsid w:val="128A572B"/>
    <w:rsid w:val="12A047F2"/>
    <w:rsid w:val="12A165D1"/>
    <w:rsid w:val="12AE4934"/>
    <w:rsid w:val="12B427A8"/>
    <w:rsid w:val="12C80001"/>
    <w:rsid w:val="12E32EDE"/>
    <w:rsid w:val="12F64B6E"/>
    <w:rsid w:val="12F94930"/>
    <w:rsid w:val="130848A2"/>
    <w:rsid w:val="131E2317"/>
    <w:rsid w:val="132723B5"/>
    <w:rsid w:val="132A2A6A"/>
    <w:rsid w:val="133B7A1B"/>
    <w:rsid w:val="13441D7E"/>
    <w:rsid w:val="136E0C11"/>
    <w:rsid w:val="137A66BA"/>
    <w:rsid w:val="137D703E"/>
    <w:rsid w:val="13873A19"/>
    <w:rsid w:val="138A52B7"/>
    <w:rsid w:val="1392577C"/>
    <w:rsid w:val="13995120"/>
    <w:rsid w:val="13A043DC"/>
    <w:rsid w:val="13A740BB"/>
    <w:rsid w:val="13A9004F"/>
    <w:rsid w:val="13BB7B66"/>
    <w:rsid w:val="13DA623E"/>
    <w:rsid w:val="13DF5603"/>
    <w:rsid w:val="13E250F3"/>
    <w:rsid w:val="14005579"/>
    <w:rsid w:val="14011A1D"/>
    <w:rsid w:val="1404150D"/>
    <w:rsid w:val="14096B23"/>
    <w:rsid w:val="14157276"/>
    <w:rsid w:val="14196F70"/>
    <w:rsid w:val="141F6347"/>
    <w:rsid w:val="14357310"/>
    <w:rsid w:val="143D2CE1"/>
    <w:rsid w:val="14444988"/>
    <w:rsid w:val="144638D4"/>
    <w:rsid w:val="1448764C"/>
    <w:rsid w:val="14661880"/>
    <w:rsid w:val="147A532B"/>
    <w:rsid w:val="14922545"/>
    <w:rsid w:val="14977C8B"/>
    <w:rsid w:val="14A14FAE"/>
    <w:rsid w:val="14A5684C"/>
    <w:rsid w:val="14B22D17"/>
    <w:rsid w:val="14BB749D"/>
    <w:rsid w:val="14CB3DD9"/>
    <w:rsid w:val="14CB45F0"/>
    <w:rsid w:val="14D077A5"/>
    <w:rsid w:val="14DB04C0"/>
    <w:rsid w:val="14DE3B0C"/>
    <w:rsid w:val="14E530ED"/>
    <w:rsid w:val="14EE06E6"/>
    <w:rsid w:val="14F450DE"/>
    <w:rsid w:val="14FA6627"/>
    <w:rsid w:val="14FC21E4"/>
    <w:rsid w:val="15032E79"/>
    <w:rsid w:val="150A13F4"/>
    <w:rsid w:val="15170DCC"/>
    <w:rsid w:val="15204125"/>
    <w:rsid w:val="152534E9"/>
    <w:rsid w:val="15374C7E"/>
    <w:rsid w:val="153C6A85"/>
    <w:rsid w:val="15437E13"/>
    <w:rsid w:val="1546345F"/>
    <w:rsid w:val="15501D64"/>
    <w:rsid w:val="15545B7C"/>
    <w:rsid w:val="157A4F46"/>
    <w:rsid w:val="15875F52"/>
    <w:rsid w:val="158A77F0"/>
    <w:rsid w:val="158E5F6C"/>
    <w:rsid w:val="15A06CAE"/>
    <w:rsid w:val="15A81931"/>
    <w:rsid w:val="15AE256F"/>
    <w:rsid w:val="15B4486D"/>
    <w:rsid w:val="15B825AF"/>
    <w:rsid w:val="15C537F1"/>
    <w:rsid w:val="15C70A44"/>
    <w:rsid w:val="15CF16A7"/>
    <w:rsid w:val="15D31197"/>
    <w:rsid w:val="15E3035A"/>
    <w:rsid w:val="15F5110D"/>
    <w:rsid w:val="15F5735F"/>
    <w:rsid w:val="1602382A"/>
    <w:rsid w:val="16032655"/>
    <w:rsid w:val="161A6DC6"/>
    <w:rsid w:val="16337E88"/>
    <w:rsid w:val="166149F5"/>
    <w:rsid w:val="168129A1"/>
    <w:rsid w:val="1683496B"/>
    <w:rsid w:val="16850115"/>
    <w:rsid w:val="168E6429"/>
    <w:rsid w:val="169721C5"/>
    <w:rsid w:val="169841A2"/>
    <w:rsid w:val="169E17A5"/>
    <w:rsid w:val="16A14DF1"/>
    <w:rsid w:val="16A82AB7"/>
    <w:rsid w:val="16AE5760"/>
    <w:rsid w:val="16B20DAC"/>
    <w:rsid w:val="16B34B25"/>
    <w:rsid w:val="16BE3BF5"/>
    <w:rsid w:val="16CB00C0"/>
    <w:rsid w:val="16CB1C1B"/>
    <w:rsid w:val="16CB4564"/>
    <w:rsid w:val="16CF5E02"/>
    <w:rsid w:val="16D36F75"/>
    <w:rsid w:val="16DE1BA1"/>
    <w:rsid w:val="16DF591A"/>
    <w:rsid w:val="16E3540A"/>
    <w:rsid w:val="16EB0762"/>
    <w:rsid w:val="16EB42BE"/>
    <w:rsid w:val="16F2564D"/>
    <w:rsid w:val="16F52B53"/>
    <w:rsid w:val="17004A3B"/>
    <w:rsid w:val="17025D96"/>
    <w:rsid w:val="170830C2"/>
    <w:rsid w:val="17103D25"/>
    <w:rsid w:val="171C1BA1"/>
    <w:rsid w:val="1720040C"/>
    <w:rsid w:val="172779EC"/>
    <w:rsid w:val="173739A8"/>
    <w:rsid w:val="1740460A"/>
    <w:rsid w:val="17451C21"/>
    <w:rsid w:val="174C5C47"/>
    <w:rsid w:val="17521041"/>
    <w:rsid w:val="175D340E"/>
    <w:rsid w:val="177644D0"/>
    <w:rsid w:val="177F771A"/>
    <w:rsid w:val="17873518"/>
    <w:rsid w:val="178939B5"/>
    <w:rsid w:val="179761F4"/>
    <w:rsid w:val="17A54D6D"/>
    <w:rsid w:val="17B52061"/>
    <w:rsid w:val="17B9260F"/>
    <w:rsid w:val="17BD5C5B"/>
    <w:rsid w:val="17CC40F0"/>
    <w:rsid w:val="17D3547E"/>
    <w:rsid w:val="17DB07D7"/>
    <w:rsid w:val="17DB1E48"/>
    <w:rsid w:val="17DE784B"/>
    <w:rsid w:val="17E7717C"/>
    <w:rsid w:val="17F55D8B"/>
    <w:rsid w:val="17F92A0B"/>
    <w:rsid w:val="17FF44C5"/>
    <w:rsid w:val="18003D99"/>
    <w:rsid w:val="180A4C18"/>
    <w:rsid w:val="18133ACD"/>
    <w:rsid w:val="18324601"/>
    <w:rsid w:val="18383533"/>
    <w:rsid w:val="18414ADE"/>
    <w:rsid w:val="184437E3"/>
    <w:rsid w:val="184E0FA9"/>
    <w:rsid w:val="18511C71"/>
    <w:rsid w:val="185B536B"/>
    <w:rsid w:val="18644328"/>
    <w:rsid w:val="18846779"/>
    <w:rsid w:val="188C387F"/>
    <w:rsid w:val="18935362"/>
    <w:rsid w:val="189D5A8C"/>
    <w:rsid w:val="18A0319B"/>
    <w:rsid w:val="18A961DF"/>
    <w:rsid w:val="18B9004B"/>
    <w:rsid w:val="18BD067E"/>
    <w:rsid w:val="18BD7EDC"/>
    <w:rsid w:val="18CB084B"/>
    <w:rsid w:val="18DD0E2A"/>
    <w:rsid w:val="18E13BCB"/>
    <w:rsid w:val="18E84F59"/>
    <w:rsid w:val="18ED07C2"/>
    <w:rsid w:val="18EF0616"/>
    <w:rsid w:val="18F74CEA"/>
    <w:rsid w:val="1901601B"/>
    <w:rsid w:val="19081158"/>
    <w:rsid w:val="190D49C0"/>
    <w:rsid w:val="19197809"/>
    <w:rsid w:val="1921046B"/>
    <w:rsid w:val="192C753C"/>
    <w:rsid w:val="193463F1"/>
    <w:rsid w:val="19445F08"/>
    <w:rsid w:val="194505FE"/>
    <w:rsid w:val="19495328"/>
    <w:rsid w:val="194A79C2"/>
    <w:rsid w:val="196547FC"/>
    <w:rsid w:val="197F5EF4"/>
    <w:rsid w:val="1998697F"/>
    <w:rsid w:val="199E1ABC"/>
    <w:rsid w:val="19AC5F87"/>
    <w:rsid w:val="19B117EF"/>
    <w:rsid w:val="19B1359D"/>
    <w:rsid w:val="19B412DF"/>
    <w:rsid w:val="19B45D42"/>
    <w:rsid w:val="19CE05F3"/>
    <w:rsid w:val="19D61256"/>
    <w:rsid w:val="19E716B5"/>
    <w:rsid w:val="19FE255B"/>
    <w:rsid w:val="19FE7678"/>
    <w:rsid w:val="1A0A53A3"/>
    <w:rsid w:val="1A0C2EC9"/>
    <w:rsid w:val="1A1A7B89"/>
    <w:rsid w:val="1A1F2BFD"/>
    <w:rsid w:val="1A352420"/>
    <w:rsid w:val="1A402B73"/>
    <w:rsid w:val="1A420699"/>
    <w:rsid w:val="1A450189"/>
    <w:rsid w:val="1A5D2682"/>
    <w:rsid w:val="1A5F56EF"/>
    <w:rsid w:val="1A693E78"/>
    <w:rsid w:val="1A6B4094"/>
    <w:rsid w:val="1A6C5716"/>
    <w:rsid w:val="1A6E76E0"/>
    <w:rsid w:val="1A705206"/>
    <w:rsid w:val="1A727EB3"/>
    <w:rsid w:val="1A78230D"/>
    <w:rsid w:val="1A7840BB"/>
    <w:rsid w:val="1A7F5449"/>
    <w:rsid w:val="1A8011C2"/>
    <w:rsid w:val="1A8213DE"/>
    <w:rsid w:val="1A9058A9"/>
    <w:rsid w:val="1A905D10"/>
    <w:rsid w:val="1A952EBF"/>
    <w:rsid w:val="1A974E89"/>
    <w:rsid w:val="1A9C249F"/>
    <w:rsid w:val="1AA6711B"/>
    <w:rsid w:val="1AAB26E2"/>
    <w:rsid w:val="1ADA2FC8"/>
    <w:rsid w:val="1ADC0036"/>
    <w:rsid w:val="1AE259D8"/>
    <w:rsid w:val="1AE31E7C"/>
    <w:rsid w:val="1AF5395E"/>
    <w:rsid w:val="1AF76F18"/>
    <w:rsid w:val="1B041DF3"/>
    <w:rsid w:val="1B210BF7"/>
    <w:rsid w:val="1B2C060A"/>
    <w:rsid w:val="1B2D239B"/>
    <w:rsid w:val="1B3E5305"/>
    <w:rsid w:val="1B407591"/>
    <w:rsid w:val="1B607A85"/>
    <w:rsid w:val="1B612DA1"/>
    <w:rsid w:val="1B617245"/>
    <w:rsid w:val="1B693822"/>
    <w:rsid w:val="1B6E4972"/>
    <w:rsid w:val="1B707488"/>
    <w:rsid w:val="1B770817"/>
    <w:rsid w:val="1B7A3E63"/>
    <w:rsid w:val="1B824429"/>
    <w:rsid w:val="1B9273FE"/>
    <w:rsid w:val="1BA07D6D"/>
    <w:rsid w:val="1BA57132"/>
    <w:rsid w:val="1BA62EAA"/>
    <w:rsid w:val="1BA66FED"/>
    <w:rsid w:val="1BBC0A6C"/>
    <w:rsid w:val="1BBF7E22"/>
    <w:rsid w:val="1BC17CE4"/>
    <w:rsid w:val="1BC616CD"/>
    <w:rsid w:val="1BC81072"/>
    <w:rsid w:val="1BD25A4D"/>
    <w:rsid w:val="1BD73063"/>
    <w:rsid w:val="1BD80078"/>
    <w:rsid w:val="1BF956CF"/>
    <w:rsid w:val="1C0540A5"/>
    <w:rsid w:val="1C0632F8"/>
    <w:rsid w:val="1C200EAE"/>
    <w:rsid w:val="1C2F10F1"/>
    <w:rsid w:val="1C334F74"/>
    <w:rsid w:val="1C3B1844"/>
    <w:rsid w:val="1C4B6BE5"/>
    <w:rsid w:val="1C4C6724"/>
    <w:rsid w:val="1C672639"/>
    <w:rsid w:val="1C6C7C4F"/>
    <w:rsid w:val="1C763230"/>
    <w:rsid w:val="1C8E6EB6"/>
    <w:rsid w:val="1C9157E6"/>
    <w:rsid w:val="1C931680"/>
    <w:rsid w:val="1C9978FC"/>
    <w:rsid w:val="1C9C0237"/>
    <w:rsid w:val="1CA7512B"/>
    <w:rsid w:val="1CAE0268"/>
    <w:rsid w:val="1CB05D8E"/>
    <w:rsid w:val="1CBD6643"/>
    <w:rsid w:val="1CC932F4"/>
    <w:rsid w:val="1CCC7816"/>
    <w:rsid w:val="1CDD56D6"/>
    <w:rsid w:val="1CE43C8A"/>
    <w:rsid w:val="1CEB5018"/>
    <w:rsid w:val="1CF2284B"/>
    <w:rsid w:val="1CF80CCE"/>
    <w:rsid w:val="1D0D1432"/>
    <w:rsid w:val="1D0D4EA6"/>
    <w:rsid w:val="1D1D0BA2"/>
    <w:rsid w:val="1D216C8C"/>
    <w:rsid w:val="1D2422D8"/>
    <w:rsid w:val="1D28001A"/>
    <w:rsid w:val="1D306ECF"/>
    <w:rsid w:val="1D3F5364"/>
    <w:rsid w:val="1D655CE4"/>
    <w:rsid w:val="1D6752EC"/>
    <w:rsid w:val="1D7019C1"/>
    <w:rsid w:val="1D70376F"/>
    <w:rsid w:val="1D743260"/>
    <w:rsid w:val="1D7E7D12"/>
    <w:rsid w:val="1D886D0B"/>
    <w:rsid w:val="1D921938"/>
    <w:rsid w:val="1D9B703F"/>
    <w:rsid w:val="1DA559B7"/>
    <w:rsid w:val="1DBC69B5"/>
    <w:rsid w:val="1DC13FCB"/>
    <w:rsid w:val="1DD81FFF"/>
    <w:rsid w:val="1DD9642B"/>
    <w:rsid w:val="1DDB48FA"/>
    <w:rsid w:val="1DDF4451"/>
    <w:rsid w:val="1DF75C3F"/>
    <w:rsid w:val="1DF86605"/>
    <w:rsid w:val="1E0B5246"/>
    <w:rsid w:val="1E0C16EA"/>
    <w:rsid w:val="1E1265D5"/>
    <w:rsid w:val="1E1E141D"/>
    <w:rsid w:val="1E2440A4"/>
    <w:rsid w:val="1E2702D2"/>
    <w:rsid w:val="1E2C7696"/>
    <w:rsid w:val="1E2D1660"/>
    <w:rsid w:val="1E37428D"/>
    <w:rsid w:val="1E4029A0"/>
    <w:rsid w:val="1E4B75AE"/>
    <w:rsid w:val="1E4C1AE7"/>
    <w:rsid w:val="1E546BED"/>
    <w:rsid w:val="1E650DFA"/>
    <w:rsid w:val="1E7B6870"/>
    <w:rsid w:val="1E827BFE"/>
    <w:rsid w:val="1E901A2B"/>
    <w:rsid w:val="1E9138F9"/>
    <w:rsid w:val="1E9D0594"/>
    <w:rsid w:val="1EA85B2C"/>
    <w:rsid w:val="1EAF2075"/>
    <w:rsid w:val="1EB61656"/>
    <w:rsid w:val="1EBD7344"/>
    <w:rsid w:val="1EBF675C"/>
    <w:rsid w:val="1EC51899"/>
    <w:rsid w:val="1EC9288D"/>
    <w:rsid w:val="1ECB5101"/>
    <w:rsid w:val="1ECE4BF1"/>
    <w:rsid w:val="1ED16490"/>
    <w:rsid w:val="1ED33FB6"/>
    <w:rsid w:val="1EF0755B"/>
    <w:rsid w:val="1EF4136A"/>
    <w:rsid w:val="1F1E1BC6"/>
    <w:rsid w:val="1F262338"/>
    <w:rsid w:val="1F2E5690"/>
    <w:rsid w:val="1F30178C"/>
    <w:rsid w:val="1F3031B6"/>
    <w:rsid w:val="1F356A1F"/>
    <w:rsid w:val="1F372797"/>
    <w:rsid w:val="1F4D40E8"/>
    <w:rsid w:val="1F576995"/>
    <w:rsid w:val="1F645556"/>
    <w:rsid w:val="1F666BD8"/>
    <w:rsid w:val="1F6B68E4"/>
    <w:rsid w:val="1F75506D"/>
    <w:rsid w:val="1F7E2174"/>
    <w:rsid w:val="1F9000F9"/>
    <w:rsid w:val="1F996FAD"/>
    <w:rsid w:val="1F9C1D8C"/>
    <w:rsid w:val="1FA3607E"/>
    <w:rsid w:val="1FB65DB1"/>
    <w:rsid w:val="1FD955FC"/>
    <w:rsid w:val="1FDA1374"/>
    <w:rsid w:val="1FE16BA6"/>
    <w:rsid w:val="1FE50445"/>
    <w:rsid w:val="1FEF6BCD"/>
    <w:rsid w:val="1FF73572"/>
    <w:rsid w:val="1FF73CD4"/>
    <w:rsid w:val="200363D7"/>
    <w:rsid w:val="20097AE7"/>
    <w:rsid w:val="200A7EAB"/>
    <w:rsid w:val="20126D60"/>
    <w:rsid w:val="202C22A0"/>
    <w:rsid w:val="202F37BE"/>
    <w:rsid w:val="203025A9"/>
    <w:rsid w:val="20370574"/>
    <w:rsid w:val="20375D57"/>
    <w:rsid w:val="203A616A"/>
    <w:rsid w:val="203E5DA7"/>
    <w:rsid w:val="204C2272"/>
    <w:rsid w:val="2056731D"/>
    <w:rsid w:val="205C7301"/>
    <w:rsid w:val="205C7FDB"/>
    <w:rsid w:val="206C21A8"/>
    <w:rsid w:val="207215AC"/>
    <w:rsid w:val="20783067"/>
    <w:rsid w:val="207D067D"/>
    <w:rsid w:val="2080016D"/>
    <w:rsid w:val="20857532"/>
    <w:rsid w:val="20914128"/>
    <w:rsid w:val="20994D8B"/>
    <w:rsid w:val="20A35C0A"/>
    <w:rsid w:val="20A543F0"/>
    <w:rsid w:val="20BF07A2"/>
    <w:rsid w:val="20C22534"/>
    <w:rsid w:val="20C242E2"/>
    <w:rsid w:val="20C4005A"/>
    <w:rsid w:val="20C462AC"/>
    <w:rsid w:val="20C61230"/>
    <w:rsid w:val="20D02EA3"/>
    <w:rsid w:val="20D64231"/>
    <w:rsid w:val="20DB53A4"/>
    <w:rsid w:val="20DF30E6"/>
    <w:rsid w:val="20E029BA"/>
    <w:rsid w:val="20F14BC7"/>
    <w:rsid w:val="20FD356C"/>
    <w:rsid w:val="2100305C"/>
    <w:rsid w:val="210743EB"/>
    <w:rsid w:val="210A7A37"/>
    <w:rsid w:val="21182154"/>
    <w:rsid w:val="211D3C0E"/>
    <w:rsid w:val="212B14B4"/>
    <w:rsid w:val="213A656E"/>
    <w:rsid w:val="213E5926"/>
    <w:rsid w:val="21562C7C"/>
    <w:rsid w:val="21667363"/>
    <w:rsid w:val="218872DA"/>
    <w:rsid w:val="219F450F"/>
    <w:rsid w:val="21A34113"/>
    <w:rsid w:val="21A92086"/>
    <w:rsid w:val="21B005DE"/>
    <w:rsid w:val="21B300CF"/>
    <w:rsid w:val="21BC51D5"/>
    <w:rsid w:val="21C347B6"/>
    <w:rsid w:val="21C36564"/>
    <w:rsid w:val="21C4408A"/>
    <w:rsid w:val="21D20555"/>
    <w:rsid w:val="21E5472C"/>
    <w:rsid w:val="2206628A"/>
    <w:rsid w:val="220A4E04"/>
    <w:rsid w:val="221B77BC"/>
    <w:rsid w:val="222334A6"/>
    <w:rsid w:val="222F3BF9"/>
    <w:rsid w:val="224551CB"/>
    <w:rsid w:val="22460F43"/>
    <w:rsid w:val="224F1BA5"/>
    <w:rsid w:val="225749E9"/>
    <w:rsid w:val="226C09A9"/>
    <w:rsid w:val="22705A00"/>
    <w:rsid w:val="2271206B"/>
    <w:rsid w:val="227635D6"/>
    <w:rsid w:val="227C6712"/>
    <w:rsid w:val="2288155B"/>
    <w:rsid w:val="229D5007"/>
    <w:rsid w:val="22AF0896"/>
    <w:rsid w:val="22B83BEE"/>
    <w:rsid w:val="22BD1205"/>
    <w:rsid w:val="22C02AA3"/>
    <w:rsid w:val="22C14878"/>
    <w:rsid w:val="22CC1448"/>
    <w:rsid w:val="22CC58EC"/>
    <w:rsid w:val="22DD68AA"/>
    <w:rsid w:val="22DE117B"/>
    <w:rsid w:val="22F83FEB"/>
    <w:rsid w:val="22F97D63"/>
    <w:rsid w:val="22FB1D2D"/>
    <w:rsid w:val="22FD5AA5"/>
    <w:rsid w:val="230706D2"/>
    <w:rsid w:val="23144B9D"/>
    <w:rsid w:val="23152DEF"/>
    <w:rsid w:val="23270D74"/>
    <w:rsid w:val="232B2612"/>
    <w:rsid w:val="232C1EE7"/>
    <w:rsid w:val="233174FD"/>
    <w:rsid w:val="23403BE4"/>
    <w:rsid w:val="23403FBD"/>
    <w:rsid w:val="23492A98"/>
    <w:rsid w:val="234A5081"/>
    <w:rsid w:val="234C07DB"/>
    <w:rsid w:val="235167AB"/>
    <w:rsid w:val="235A4CA6"/>
    <w:rsid w:val="235B59DD"/>
    <w:rsid w:val="235B7D92"/>
    <w:rsid w:val="2361715C"/>
    <w:rsid w:val="236553F8"/>
    <w:rsid w:val="23711FEF"/>
    <w:rsid w:val="23865A9B"/>
    <w:rsid w:val="238969DB"/>
    <w:rsid w:val="239F090A"/>
    <w:rsid w:val="23AD74CB"/>
    <w:rsid w:val="23AE5B30"/>
    <w:rsid w:val="23B229FE"/>
    <w:rsid w:val="23B51EDC"/>
    <w:rsid w:val="23C6058D"/>
    <w:rsid w:val="23C87E61"/>
    <w:rsid w:val="23CE13A5"/>
    <w:rsid w:val="23D83E1C"/>
    <w:rsid w:val="23E12CD1"/>
    <w:rsid w:val="23E34C9B"/>
    <w:rsid w:val="23EB7FF4"/>
    <w:rsid w:val="23F01166"/>
    <w:rsid w:val="23F0560A"/>
    <w:rsid w:val="240115C5"/>
    <w:rsid w:val="24024409"/>
    <w:rsid w:val="240D1D18"/>
    <w:rsid w:val="241D458E"/>
    <w:rsid w:val="24233A89"/>
    <w:rsid w:val="24280900"/>
    <w:rsid w:val="242A0B1C"/>
    <w:rsid w:val="242F6132"/>
    <w:rsid w:val="2434508F"/>
    <w:rsid w:val="24374FE7"/>
    <w:rsid w:val="24480FA2"/>
    <w:rsid w:val="245631DD"/>
    <w:rsid w:val="245C4A4D"/>
    <w:rsid w:val="247268A5"/>
    <w:rsid w:val="24741D97"/>
    <w:rsid w:val="24765B0F"/>
    <w:rsid w:val="247753E3"/>
    <w:rsid w:val="247B4ED4"/>
    <w:rsid w:val="2483647E"/>
    <w:rsid w:val="24877D1C"/>
    <w:rsid w:val="248A3369"/>
    <w:rsid w:val="248A709C"/>
    <w:rsid w:val="24904744"/>
    <w:rsid w:val="2492046F"/>
    <w:rsid w:val="249266C1"/>
    <w:rsid w:val="24A835B0"/>
    <w:rsid w:val="24AA57B9"/>
    <w:rsid w:val="24AF4B7D"/>
    <w:rsid w:val="24B44889"/>
    <w:rsid w:val="24D867EC"/>
    <w:rsid w:val="24DC16EA"/>
    <w:rsid w:val="24DC37FC"/>
    <w:rsid w:val="24DE5462"/>
    <w:rsid w:val="24EC7B7F"/>
    <w:rsid w:val="24F07BEB"/>
    <w:rsid w:val="24F42ED8"/>
    <w:rsid w:val="24F609FE"/>
    <w:rsid w:val="24F66C50"/>
    <w:rsid w:val="24F84776"/>
    <w:rsid w:val="25034EC9"/>
    <w:rsid w:val="25055DB0"/>
    <w:rsid w:val="25290DD3"/>
    <w:rsid w:val="252C08C4"/>
    <w:rsid w:val="25300A81"/>
    <w:rsid w:val="25331C52"/>
    <w:rsid w:val="25333A00"/>
    <w:rsid w:val="254B6F9C"/>
    <w:rsid w:val="254C65F9"/>
    <w:rsid w:val="25535E50"/>
    <w:rsid w:val="25542049"/>
    <w:rsid w:val="2556149D"/>
    <w:rsid w:val="25592D3B"/>
    <w:rsid w:val="25692076"/>
    <w:rsid w:val="257007B0"/>
    <w:rsid w:val="25861D82"/>
    <w:rsid w:val="258B72BA"/>
    <w:rsid w:val="259C77F7"/>
    <w:rsid w:val="25AB3597"/>
    <w:rsid w:val="25AE12D9"/>
    <w:rsid w:val="25B6018D"/>
    <w:rsid w:val="25B849F4"/>
    <w:rsid w:val="25BA5ED0"/>
    <w:rsid w:val="25BC1C48"/>
    <w:rsid w:val="25BF5294"/>
    <w:rsid w:val="25C354DF"/>
    <w:rsid w:val="25C428AA"/>
    <w:rsid w:val="25CE3729"/>
    <w:rsid w:val="25E371D4"/>
    <w:rsid w:val="25E76599"/>
    <w:rsid w:val="25ED1E01"/>
    <w:rsid w:val="25F0369F"/>
    <w:rsid w:val="25F063AE"/>
    <w:rsid w:val="25F34F3E"/>
    <w:rsid w:val="26031D06"/>
    <w:rsid w:val="260B3AE0"/>
    <w:rsid w:val="260E3B25"/>
    <w:rsid w:val="2610789E"/>
    <w:rsid w:val="26153106"/>
    <w:rsid w:val="26243349"/>
    <w:rsid w:val="26393298"/>
    <w:rsid w:val="267F67D1"/>
    <w:rsid w:val="268169ED"/>
    <w:rsid w:val="26833959"/>
    <w:rsid w:val="26962499"/>
    <w:rsid w:val="26BE19EF"/>
    <w:rsid w:val="26BE379D"/>
    <w:rsid w:val="26C30DB4"/>
    <w:rsid w:val="26CF1507"/>
    <w:rsid w:val="26D92385"/>
    <w:rsid w:val="26E225DA"/>
    <w:rsid w:val="26ED37EA"/>
    <w:rsid w:val="26F61189"/>
    <w:rsid w:val="27135897"/>
    <w:rsid w:val="271565FB"/>
    <w:rsid w:val="271D1333"/>
    <w:rsid w:val="271E5FEA"/>
    <w:rsid w:val="27280C17"/>
    <w:rsid w:val="272F1FA5"/>
    <w:rsid w:val="272F63F6"/>
    <w:rsid w:val="273B4DEE"/>
    <w:rsid w:val="2745141A"/>
    <w:rsid w:val="274D7F8B"/>
    <w:rsid w:val="27565784"/>
    <w:rsid w:val="275F3860"/>
    <w:rsid w:val="2763460A"/>
    <w:rsid w:val="27802801"/>
    <w:rsid w:val="27822A1D"/>
    <w:rsid w:val="278E13C2"/>
    <w:rsid w:val="279531C6"/>
    <w:rsid w:val="279A7D67"/>
    <w:rsid w:val="279B588D"/>
    <w:rsid w:val="279C59A3"/>
    <w:rsid w:val="279F35CF"/>
    <w:rsid w:val="27A42993"/>
    <w:rsid w:val="27A6495D"/>
    <w:rsid w:val="27B6468A"/>
    <w:rsid w:val="27D74B17"/>
    <w:rsid w:val="27E2526A"/>
    <w:rsid w:val="27EE1E60"/>
    <w:rsid w:val="28010E6E"/>
    <w:rsid w:val="280276BA"/>
    <w:rsid w:val="280B2A12"/>
    <w:rsid w:val="28186EDD"/>
    <w:rsid w:val="28335AC5"/>
    <w:rsid w:val="28341F69"/>
    <w:rsid w:val="283E4B96"/>
    <w:rsid w:val="28481571"/>
    <w:rsid w:val="2849353B"/>
    <w:rsid w:val="284B6D55"/>
    <w:rsid w:val="284D6B87"/>
    <w:rsid w:val="286D0FD7"/>
    <w:rsid w:val="28724840"/>
    <w:rsid w:val="287265EE"/>
    <w:rsid w:val="28773C04"/>
    <w:rsid w:val="287F0D0A"/>
    <w:rsid w:val="288307FB"/>
    <w:rsid w:val="289136FA"/>
    <w:rsid w:val="2895453F"/>
    <w:rsid w:val="28AF15F0"/>
    <w:rsid w:val="28BA5B25"/>
    <w:rsid w:val="28D728F5"/>
    <w:rsid w:val="28D9666D"/>
    <w:rsid w:val="28DC7131"/>
    <w:rsid w:val="28E05C4D"/>
    <w:rsid w:val="29001E4B"/>
    <w:rsid w:val="29162311"/>
    <w:rsid w:val="2916341D"/>
    <w:rsid w:val="291C4627"/>
    <w:rsid w:val="291C7356"/>
    <w:rsid w:val="291E49C7"/>
    <w:rsid w:val="292255DA"/>
    <w:rsid w:val="29253660"/>
    <w:rsid w:val="2927387C"/>
    <w:rsid w:val="295D54F0"/>
    <w:rsid w:val="295E3016"/>
    <w:rsid w:val="29763734"/>
    <w:rsid w:val="29891E41"/>
    <w:rsid w:val="29916F47"/>
    <w:rsid w:val="29932CBF"/>
    <w:rsid w:val="299A1A9C"/>
    <w:rsid w:val="29AB7503"/>
    <w:rsid w:val="29B80978"/>
    <w:rsid w:val="29C25353"/>
    <w:rsid w:val="29F37C02"/>
    <w:rsid w:val="29F37D72"/>
    <w:rsid w:val="29FA446F"/>
    <w:rsid w:val="2A025DDB"/>
    <w:rsid w:val="2A13795C"/>
    <w:rsid w:val="2A15204E"/>
    <w:rsid w:val="2A1738F0"/>
    <w:rsid w:val="2A320FD5"/>
    <w:rsid w:val="2A44220C"/>
    <w:rsid w:val="2A5306A1"/>
    <w:rsid w:val="2A5F0DF4"/>
    <w:rsid w:val="2A663F30"/>
    <w:rsid w:val="2A704DAF"/>
    <w:rsid w:val="2A781EB5"/>
    <w:rsid w:val="2A7C7BF7"/>
    <w:rsid w:val="2A8C168B"/>
    <w:rsid w:val="2A9071FF"/>
    <w:rsid w:val="2AA36F32"/>
    <w:rsid w:val="2AA50EFC"/>
    <w:rsid w:val="2AAB228B"/>
    <w:rsid w:val="2AAD6841"/>
    <w:rsid w:val="2AC670C5"/>
    <w:rsid w:val="2ACD2201"/>
    <w:rsid w:val="2AE31A25"/>
    <w:rsid w:val="2AED63FF"/>
    <w:rsid w:val="2AEF3F25"/>
    <w:rsid w:val="2AF552B4"/>
    <w:rsid w:val="2B147E30"/>
    <w:rsid w:val="2B342280"/>
    <w:rsid w:val="2B3B360F"/>
    <w:rsid w:val="2B417007"/>
    <w:rsid w:val="2B4A5600"/>
    <w:rsid w:val="2B5244B4"/>
    <w:rsid w:val="2B54647E"/>
    <w:rsid w:val="2B5B15BB"/>
    <w:rsid w:val="2B5B5A5F"/>
    <w:rsid w:val="2B68600A"/>
    <w:rsid w:val="2B6A5CA2"/>
    <w:rsid w:val="2B6C5576"/>
    <w:rsid w:val="2B7803BF"/>
    <w:rsid w:val="2B7D59D5"/>
    <w:rsid w:val="2B824D9A"/>
    <w:rsid w:val="2B8332F5"/>
    <w:rsid w:val="2B980A61"/>
    <w:rsid w:val="2B9B22FF"/>
    <w:rsid w:val="2BAB460C"/>
    <w:rsid w:val="2BB313F7"/>
    <w:rsid w:val="2BBF5FEE"/>
    <w:rsid w:val="2BC25ADE"/>
    <w:rsid w:val="2BC5112A"/>
    <w:rsid w:val="2BC730F4"/>
    <w:rsid w:val="2BCA7C74"/>
    <w:rsid w:val="2BCC24B9"/>
    <w:rsid w:val="2BDA4BD6"/>
    <w:rsid w:val="2BDC00EE"/>
    <w:rsid w:val="2BE55328"/>
    <w:rsid w:val="2BEE0681"/>
    <w:rsid w:val="2BF21662"/>
    <w:rsid w:val="2BFC0F7D"/>
    <w:rsid w:val="2C1856FE"/>
    <w:rsid w:val="2C22032B"/>
    <w:rsid w:val="2C245E51"/>
    <w:rsid w:val="2C2B5431"/>
    <w:rsid w:val="2C2E6CCF"/>
    <w:rsid w:val="2C3D5164"/>
    <w:rsid w:val="2C4604BD"/>
    <w:rsid w:val="2C5543D8"/>
    <w:rsid w:val="2C610E53"/>
    <w:rsid w:val="2C626979"/>
    <w:rsid w:val="2C661368"/>
    <w:rsid w:val="2C661D37"/>
    <w:rsid w:val="2C6E3570"/>
    <w:rsid w:val="2C732934"/>
    <w:rsid w:val="2C770676"/>
    <w:rsid w:val="2C7E7C57"/>
    <w:rsid w:val="2C7F752B"/>
    <w:rsid w:val="2C853BBB"/>
    <w:rsid w:val="2C892158"/>
    <w:rsid w:val="2C9034E6"/>
    <w:rsid w:val="2C90798A"/>
    <w:rsid w:val="2C962341"/>
    <w:rsid w:val="2C98683F"/>
    <w:rsid w:val="2CA376BD"/>
    <w:rsid w:val="2CAC2DE6"/>
    <w:rsid w:val="2CB02C71"/>
    <w:rsid w:val="2CB27900"/>
    <w:rsid w:val="2CB82A3D"/>
    <w:rsid w:val="2CBB2F24"/>
    <w:rsid w:val="2CBE44F7"/>
    <w:rsid w:val="2CC225E4"/>
    <w:rsid w:val="2CC3566A"/>
    <w:rsid w:val="2CC45DDB"/>
    <w:rsid w:val="2CC855F5"/>
    <w:rsid w:val="2CD21D51"/>
    <w:rsid w:val="2CD64F51"/>
    <w:rsid w:val="2CE86BF5"/>
    <w:rsid w:val="2CEE1009"/>
    <w:rsid w:val="2CEF2903"/>
    <w:rsid w:val="2D016192"/>
    <w:rsid w:val="2D03015C"/>
    <w:rsid w:val="2D0F08AF"/>
    <w:rsid w:val="2D2A393B"/>
    <w:rsid w:val="2D376058"/>
    <w:rsid w:val="2D3E1194"/>
    <w:rsid w:val="2D616C31"/>
    <w:rsid w:val="2D636E4D"/>
    <w:rsid w:val="2D68139D"/>
    <w:rsid w:val="2D7B23E8"/>
    <w:rsid w:val="2D8F13DB"/>
    <w:rsid w:val="2DA27975"/>
    <w:rsid w:val="2DA30834"/>
    <w:rsid w:val="2DA3256D"/>
    <w:rsid w:val="2DAA05D8"/>
    <w:rsid w:val="2DB24153"/>
    <w:rsid w:val="2DB43204"/>
    <w:rsid w:val="2DCA0C7A"/>
    <w:rsid w:val="2DCD2AB1"/>
    <w:rsid w:val="2DCF214E"/>
    <w:rsid w:val="2DD438A6"/>
    <w:rsid w:val="2DDD2772"/>
    <w:rsid w:val="2DF456CB"/>
    <w:rsid w:val="2E045F3A"/>
    <w:rsid w:val="2E052A10"/>
    <w:rsid w:val="2E075A2A"/>
    <w:rsid w:val="2E1A39AF"/>
    <w:rsid w:val="2E204D3E"/>
    <w:rsid w:val="2E232138"/>
    <w:rsid w:val="2E2B796A"/>
    <w:rsid w:val="2E314855"/>
    <w:rsid w:val="2E5642BC"/>
    <w:rsid w:val="2E79695D"/>
    <w:rsid w:val="2E821554"/>
    <w:rsid w:val="2E876B6B"/>
    <w:rsid w:val="2E9574DA"/>
    <w:rsid w:val="2E9A1EAA"/>
    <w:rsid w:val="2EA430DF"/>
    <w:rsid w:val="2EA94D33"/>
    <w:rsid w:val="2EBD258D"/>
    <w:rsid w:val="2EC21951"/>
    <w:rsid w:val="2EC35DF5"/>
    <w:rsid w:val="2EC658E5"/>
    <w:rsid w:val="2EC851B9"/>
    <w:rsid w:val="2EDF69A7"/>
    <w:rsid w:val="2EE50403"/>
    <w:rsid w:val="2EED4C20"/>
    <w:rsid w:val="2EF625AA"/>
    <w:rsid w:val="2EF7461E"/>
    <w:rsid w:val="2F177EEF"/>
    <w:rsid w:val="2F300FB0"/>
    <w:rsid w:val="2F34284F"/>
    <w:rsid w:val="2F4A02C4"/>
    <w:rsid w:val="2F594063"/>
    <w:rsid w:val="2F61116A"/>
    <w:rsid w:val="2F650C5A"/>
    <w:rsid w:val="2F6E0DA7"/>
    <w:rsid w:val="2F703CEE"/>
    <w:rsid w:val="2F7964B4"/>
    <w:rsid w:val="2F904933"/>
    <w:rsid w:val="2F932EA5"/>
    <w:rsid w:val="2FBE65BC"/>
    <w:rsid w:val="2FC17E5A"/>
    <w:rsid w:val="2FD656B4"/>
    <w:rsid w:val="2FE9188B"/>
    <w:rsid w:val="2FED0C50"/>
    <w:rsid w:val="2FF15555"/>
    <w:rsid w:val="2FF16992"/>
    <w:rsid w:val="30110DE2"/>
    <w:rsid w:val="30236551"/>
    <w:rsid w:val="30241D2F"/>
    <w:rsid w:val="302C79CA"/>
    <w:rsid w:val="304C1E1A"/>
    <w:rsid w:val="305667F5"/>
    <w:rsid w:val="305B02AF"/>
    <w:rsid w:val="30640F12"/>
    <w:rsid w:val="306727B0"/>
    <w:rsid w:val="30801AC4"/>
    <w:rsid w:val="30874C00"/>
    <w:rsid w:val="308A649E"/>
    <w:rsid w:val="30915A7F"/>
    <w:rsid w:val="30A47560"/>
    <w:rsid w:val="30A9726C"/>
    <w:rsid w:val="30B11C7D"/>
    <w:rsid w:val="30B6207A"/>
    <w:rsid w:val="30DA11D4"/>
    <w:rsid w:val="30FA1876"/>
    <w:rsid w:val="30FD7461"/>
    <w:rsid w:val="31085D41"/>
    <w:rsid w:val="312468F3"/>
    <w:rsid w:val="31295CB7"/>
    <w:rsid w:val="312A77B9"/>
    <w:rsid w:val="31385CA0"/>
    <w:rsid w:val="31462D0D"/>
    <w:rsid w:val="3152520E"/>
    <w:rsid w:val="315471D8"/>
    <w:rsid w:val="317038E6"/>
    <w:rsid w:val="3175507A"/>
    <w:rsid w:val="317654D5"/>
    <w:rsid w:val="31807FCD"/>
    <w:rsid w:val="31824FEE"/>
    <w:rsid w:val="31853836"/>
    <w:rsid w:val="318555E4"/>
    <w:rsid w:val="31A11CF2"/>
    <w:rsid w:val="31A87524"/>
    <w:rsid w:val="31AA329C"/>
    <w:rsid w:val="31B639EF"/>
    <w:rsid w:val="31B71515"/>
    <w:rsid w:val="31C375C7"/>
    <w:rsid w:val="31D200FD"/>
    <w:rsid w:val="31E0281A"/>
    <w:rsid w:val="31E542D4"/>
    <w:rsid w:val="31E62D56"/>
    <w:rsid w:val="31EE13DB"/>
    <w:rsid w:val="31F462C5"/>
    <w:rsid w:val="31F75DB5"/>
    <w:rsid w:val="31FE0EF2"/>
    <w:rsid w:val="320A5AE9"/>
    <w:rsid w:val="32120C7D"/>
    <w:rsid w:val="32150675"/>
    <w:rsid w:val="32171FB4"/>
    <w:rsid w:val="321B3925"/>
    <w:rsid w:val="321E3342"/>
    <w:rsid w:val="32236C2E"/>
    <w:rsid w:val="322C5A5F"/>
    <w:rsid w:val="32342B66"/>
    <w:rsid w:val="324C6101"/>
    <w:rsid w:val="324C6BBB"/>
    <w:rsid w:val="32513718"/>
    <w:rsid w:val="325154C6"/>
    <w:rsid w:val="32544A65"/>
    <w:rsid w:val="326E42CA"/>
    <w:rsid w:val="326F1DF0"/>
    <w:rsid w:val="32730BD8"/>
    <w:rsid w:val="327D7A65"/>
    <w:rsid w:val="32827D75"/>
    <w:rsid w:val="32A45C11"/>
    <w:rsid w:val="32AC0EAB"/>
    <w:rsid w:val="32BA1751"/>
    <w:rsid w:val="32BF4B25"/>
    <w:rsid w:val="32C263C3"/>
    <w:rsid w:val="32C5265C"/>
    <w:rsid w:val="32D00AE0"/>
    <w:rsid w:val="32D06D32"/>
    <w:rsid w:val="32D847D3"/>
    <w:rsid w:val="32DC7485"/>
    <w:rsid w:val="32E91BA2"/>
    <w:rsid w:val="32EB3B6C"/>
    <w:rsid w:val="32F13E3E"/>
    <w:rsid w:val="330469DC"/>
    <w:rsid w:val="33053EEB"/>
    <w:rsid w:val="330C5891"/>
    <w:rsid w:val="33122EA7"/>
    <w:rsid w:val="331E5285"/>
    <w:rsid w:val="332130EA"/>
    <w:rsid w:val="332D5F33"/>
    <w:rsid w:val="33301D0B"/>
    <w:rsid w:val="3341378C"/>
    <w:rsid w:val="3341553A"/>
    <w:rsid w:val="33453FAD"/>
    <w:rsid w:val="334C147C"/>
    <w:rsid w:val="335D7E9A"/>
    <w:rsid w:val="3362241C"/>
    <w:rsid w:val="337C1562"/>
    <w:rsid w:val="338027AA"/>
    <w:rsid w:val="33923FE8"/>
    <w:rsid w:val="339E473B"/>
    <w:rsid w:val="33B43F5E"/>
    <w:rsid w:val="33C00B55"/>
    <w:rsid w:val="33C46A54"/>
    <w:rsid w:val="33CF6FEA"/>
    <w:rsid w:val="33DC5E8C"/>
    <w:rsid w:val="33E278B0"/>
    <w:rsid w:val="33E80674"/>
    <w:rsid w:val="33EC7635"/>
    <w:rsid w:val="33EF143A"/>
    <w:rsid w:val="33F24A86"/>
    <w:rsid w:val="33F8431A"/>
    <w:rsid w:val="34062573"/>
    <w:rsid w:val="34076784"/>
    <w:rsid w:val="340802B7"/>
    <w:rsid w:val="340C5B48"/>
    <w:rsid w:val="341047F2"/>
    <w:rsid w:val="341113B0"/>
    <w:rsid w:val="34142C4F"/>
    <w:rsid w:val="342A4220"/>
    <w:rsid w:val="34452E08"/>
    <w:rsid w:val="344A6670"/>
    <w:rsid w:val="344C23E9"/>
    <w:rsid w:val="346A78B1"/>
    <w:rsid w:val="346F60D7"/>
    <w:rsid w:val="34757B91"/>
    <w:rsid w:val="3481329F"/>
    <w:rsid w:val="34897199"/>
    <w:rsid w:val="3498562E"/>
    <w:rsid w:val="349F708D"/>
    <w:rsid w:val="34A02734"/>
    <w:rsid w:val="34A75871"/>
    <w:rsid w:val="34A83397"/>
    <w:rsid w:val="34D10B40"/>
    <w:rsid w:val="34DB551B"/>
    <w:rsid w:val="34E940DB"/>
    <w:rsid w:val="34FA1E45"/>
    <w:rsid w:val="35026CE6"/>
    <w:rsid w:val="351B1DBB"/>
    <w:rsid w:val="35245113"/>
    <w:rsid w:val="35325A82"/>
    <w:rsid w:val="35352E7D"/>
    <w:rsid w:val="35377B8C"/>
    <w:rsid w:val="353B26AA"/>
    <w:rsid w:val="353F1F4D"/>
    <w:rsid w:val="35470E02"/>
    <w:rsid w:val="354D466A"/>
    <w:rsid w:val="35577297"/>
    <w:rsid w:val="35616AE7"/>
    <w:rsid w:val="35647C06"/>
    <w:rsid w:val="356C2617"/>
    <w:rsid w:val="357065AB"/>
    <w:rsid w:val="357C6CFE"/>
    <w:rsid w:val="357E2A76"/>
    <w:rsid w:val="358931C8"/>
    <w:rsid w:val="35926521"/>
    <w:rsid w:val="35A41DB0"/>
    <w:rsid w:val="35A65B28"/>
    <w:rsid w:val="35A67C6E"/>
    <w:rsid w:val="35C83CF1"/>
    <w:rsid w:val="35CD57AB"/>
    <w:rsid w:val="35CD7559"/>
    <w:rsid w:val="35CF1523"/>
    <w:rsid w:val="35D00488"/>
    <w:rsid w:val="35D94150"/>
    <w:rsid w:val="35E40A6B"/>
    <w:rsid w:val="35EF5721"/>
    <w:rsid w:val="35FB2318"/>
    <w:rsid w:val="35FF0B2E"/>
    <w:rsid w:val="3608233F"/>
    <w:rsid w:val="36257395"/>
    <w:rsid w:val="36280C33"/>
    <w:rsid w:val="36356EAC"/>
    <w:rsid w:val="36372206"/>
    <w:rsid w:val="36455341"/>
    <w:rsid w:val="364A6DFC"/>
    <w:rsid w:val="364D41F6"/>
    <w:rsid w:val="36566F2F"/>
    <w:rsid w:val="3660217B"/>
    <w:rsid w:val="36653C36"/>
    <w:rsid w:val="366A4DA8"/>
    <w:rsid w:val="367125DA"/>
    <w:rsid w:val="36721EAF"/>
    <w:rsid w:val="36826596"/>
    <w:rsid w:val="369176BB"/>
    <w:rsid w:val="36941E25"/>
    <w:rsid w:val="36952065"/>
    <w:rsid w:val="36976112"/>
    <w:rsid w:val="36A95955"/>
    <w:rsid w:val="36AF6C5F"/>
    <w:rsid w:val="36B3004D"/>
    <w:rsid w:val="36C16336"/>
    <w:rsid w:val="36CA1CEB"/>
    <w:rsid w:val="36DD37CC"/>
    <w:rsid w:val="36E508D2"/>
    <w:rsid w:val="36F62AE0"/>
    <w:rsid w:val="37113475"/>
    <w:rsid w:val="37144D14"/>
    <w:rsid w:val="371C0798"/>
    <w:rsid w:val="373553B6"/>
    <w:rsid w:val="373F6235"/>
    <w:rsid w:val="375021F0"/>
    <w:rsid w:val="376932B2"/>
    <w:rsid w:val="378F1248"/>
    <w:rsid w:val="378F2212"/>
    <w:rsid w:val="3796672C"/>
    <w:rsid w:val="37991DE9"/>
    <w:rsid w:val="37A771A2"/>
    <w:rsid w:val="37B1127B"/>
    <w:rsid w:val="37B63BE4"/>
    <w:rsid w:val="37BC5AD7"/>
    <w:rsid w:val="37C130EE"/>
    <w:rsid w:val="37C74898"/>
    <w:rsid w:val="37C87FD8"/>
    <w:rsid w:val="37CA01F4"/>
    <w:rsid w:val="37CB5D1A"/>
    <w:rsid w:val="37D83F93"/>
    <w:rsid w:val="37E1109A"/>
    <w:rsid w:val="37E34E12"/>
    <w:rsid w:val="37F039D3"/>
    <w:rsid w:val="37FC2378"/>
    <w:rsid w:val="38044D88"/>
    <w:rsid w:val="380A05F1"/>
    <w:rsid w:val="38156F95"/>
    <w:rsid w:val="381B5C47"/>
    <w:rsid w:val="38237904"/>
    <w:rsid w:val="382947EF"/>
    <w:rsid w:val="382B190D"/>
    <w:rsid w:val="383E473E"/>
    <w:rsid w:val="384855BD"/>
    <w:rsid w:val="384A33A8"/>
    <w:rsid w:val="38593326"/>
    <w:rsid w:val="385950D4"/>
    <w:rsid w:val="386121DB"/>
    <w:rsid w:val="38613F89"/>
    <w:rsid w:val="3862667F"/>
    <w:rsid w:val="386341A5"/>
    <w:rsid w:val="387D4274"/>
    <w:rsid w:val="38862056"/>
    <w:rsid w:val="388C36FB"/>
    <w:rsid w:val="38975BFC"/>
    <w:rsid w:val="38995E18"/>
    <w:rsid w:val="389D38E3"/>
    <w:rsid w:val="38A0235A"/>
    <w:rsid w:val="38A5656B"/>
    <w:rsid w:val="38A85CA4"/>
    <w:rsid w:val="38AE2389"/>
    <w:rsid w:val="38CC58A6"/>
    <w:rsid w:val="38CE513F"/>
    <w:rsid w:val="38D273C9"/>
    <w:rsid w:val="38DB3D3B"/>
    <w:rsid w:val="38E2747C"/>
    <w:rsid w:val="38E54BBA"/>
    <w:rsid w:val="38F31085"/>
    <w:rsid w:val="38F60B75"/>
    <w:rsid w:val="3902576C"/>
    <w:rsid w:val="390908A8"/>
    <w:rsid w:val="390A2872"/>
    <w:rsid w:val="390A4620"/>
    <w:rsid w:val="390C2146"/>
    <w:rsid w:val="390E4ECC"/>
    <w:rsid w:val="392367F2"/>
    <w:rsid w:val="392A34F7"/>
    <w:rsid w:val="393671C3"/>
    <w:rsid w:val="393B2A2C"/>
    <w:rsid w:val="3942025E"/>
    <w:rsid w:val="39545D88"/>
    <w:rsid w:val="395576E0"/>
    <w:rsid w:val="396E2E01"/>
    <w:rsid w:val="397D29BD"/>
    <w:rsid w:val="398048E2"/>
    <w:rsid w:val="398C14D9"/>
    <w:rsid w:val="39965EB4"/>
    <w:rsid w:val="399B34CA"/>
    <w:rsid w:val="399C171C"/>
    <w:rsid w:val="399D5494"/>
    <w:rsid w:val="39AD1B7B"/>
    <w:rsid w:val="39BB7346"/>
    <w:rsid w:val="39C173D5"/>
    <w:rsid w:val="39C80763"/>
    <w:rsid w:val="39CB0253"/>
    <w:rsid w:val="39D54C2E"/>
    <w:rsid w:val="39DC721F"/>
    <w:rsid w:val="39FA6443"/>
    <w:rsid w:val="39FF3A59"/>
    <w:rsid w:val="3A03179B"/>
    <w:rsid w:val="3A032FBE"/>
    <w:rsid w:val="3A0B0650"/>
    <w:rsid w:val="3A1E65D5"/>
    <w:rsid w:val="3A2B484E"/>
    <w:rsid w:val="3A371445"/>
    <w:rsid w:val="3A4F49E1"/>
    <w:rsid w:val="3A5231F6"/>
    <w:rsid w:val="3A557B1D"/>
    <w:rsid w:val="3A667F7C"/>
    <w:rsid w:val="3A6C5593"/>
    <w:rsid w:val="3A775CE5"/>
    <w:rsid w:val="3A7B54AA"/>
    <w:rsid w:val="3A7D0F55"/>
    <w:rsid w:val="3A804B9A"/>
    <w:rsid w:val="3A836438"/>
    <w:rsid w:val="3A850402"/>
    <w:rsid w:val="3A9248CD"/>
    <w:rsid w:val="3A946897"/>
    <w:rsid w:val="3A9B5E78"/>
    <w:rsid w:val="3AA349B2"/>
    <w:rsid w:val="3AAA1C17"/>
    <w:rsid w:val="3AC243BE"/>
    <w:rsid w:val="3ACB3087"/>
    <w:rsid w:val="3AD13648"/>
    <w:rsid w:val="3AD43138"/>
    <w:rsid w:val="3AD76784"/>
    <w:rsid w:val="3AE570F3"/>
    <w:rsid w:val="3AE65890"/>
    <w:rsid w:val="3AE81BFA"/>
    <w:rsid w:val="3AF015B2"/>
    <w:rsid w:val="3AF85078"/>
    <w:rsid w:val="3B070E17"/>
    <w:rsid w:val="3B07350D"/>
    <w:rsid w:val="3B084B8F"/>
    <w:rsid w:val="3B2C2F74"/>
    <w:rsid w:val="3B2C5C00"/>
    <w:rsid w:val="3B36794F"/>
    <w:rsid w:val="3B455DE4"/>
    <w:rsid w:val="3B4C0F20"/>
    <w:rsid w:val="3B502344"/>
    <w:rsid w:val="3B504272"/>
    <w:rsid w:val="3B5109E4"/>
    <w:rsid w:val="3B620744"/>
    <w:rsid w:val="3B64270E"/>
    <w:rsid w:val="3B691AD2"/>
    <w:rsid w:val="3B693880"/>
    <w:rsid w:val="3B6C511E"/>
    <w:rsid w:val="3B732951"/>
    <w:rsid w:val="3B805738"/>
    <w:rsid w:val="3B911029"/>
    <w:rsid w:val="3B922D1B"/>
    <w:rsid w:val="3B934DA1"/>
    <w:rsid w:val="3B9D7195"/>
    <w:rsid w:val="3B9F72A2"/>
    <w:rsid w:val="3BAC19BF"/>
    <w:rsid w:val="3BC60A9D"/>
    <w:rsid w:val="3BCC2061"/>
    <w:rsid w:val="3BDF1D94"/>
    <w:rsid w:val="3BE92C13"/>
    <w:rsid w:val="3BEE647B"/>
    <w:rsid w:val="3BF24DEC"/>
    <w:rsid w:val="3BF75330"/>
    <w:rsid w:val="3C065573"/>
    <w:rsid w:val="3C095063"/>
    <w:rsid w:val="3C120B77"/>
    <w:rsid w:val="3C2541D5"/>
    <w:rsid w:val="3C29524E"/>
    <w:rsid w:val="3C5207B8"/>
    <w:rsid w:val="3C575DCE"/>
    <w:rsid w:val="3C577B7C"/>
    <w:rsid w:val="3C5C5193"/>
    <w:rsid w:val="3C5E715D"/>
    <w:rsid w:val="3C616320"/>
    <w:rsid w:val="3C6329C5"/>
    <w:rsid w:val="3C7921E9"/>
    <w:rsid w:val="3C7A386B"/>
    <w:rsid w:val="3C835B1D"/>
    <w:rsid w:val="3C860462"/>
    <w:rsid w:val="3CA07775"/>
    <w:rsid w:val="3CA15E50"/>
    <w:rsid w:val="3CAB7EC8"/>
    <w:rsid w:val="3CAC611A"/>
    <w:rsid w:val="3CAD59EE"/>
    <w:rsid w:val="3CB60D47"/>
    <w:rsid w:val="3CC50F8A"/>
    <w:rsid w:val="3CC64D02"/>
    <w:rsid w:val="3CC66AB0"/>
    <w:rsid w:val="3CD75F5F"/>
    <w:rsid w:val="3CE753A4"/>
    <w:rsid w:val="3CF57B37"/>
    <w:rsid w:val="3CF64B22"/>
    <w:rsid w:val="3CF67395"/>
    <w:rsid w:val="3CF96EA3"/>
    <w:rsid w:val="3D153143"/>
    <w:rsid w:val="3D1E4B3E"/>
    <w:rsid w:val="3D255ECD"/>
    <w:rsid w:val="3D314871"/>
    <w:rsid w:val="3D474095"/>
    <w:rsid w:val="3D4C16AB"/>
    <w:rsid w:val="3D4C3459"/>
    <w:rsid w:val="3D4F5EBD"/>
    <w:rsid w:val="3D6C3AFB"/>
    <w:rsid w:val="3D70539A"/>
    <w:rsid w:val="3D7B7E8E"/>
    <w:rsid w:val="3D840E45"/>
    <w:rsid w:val="3D8E5820"/>
    <w:rsid w:val="3D8F3346"/>
    <w:rsid w:val="3D9365A7"/>
    <w:rsid w:val="3D9F17DB"/>
    <w:rsid w:val="3DA037A5"/>
    <w:rsid w:val="3DA20EAA"/>
    <w:rsid w:val="3DC46860"/>
    <w:rsid w:val="3DE713D4"/>
    <w:rsid w:val="3DEA33A6"/>
    <w:rsid w:val="3DEA67CE"/>
    <w:rsid w:val="3DEE4511"/>
    <w:rsid w:val="3DF02707"/>
    <w:rsid w:val="3E014244"/>
    <w:rsid w:val="3E166B56"/>
    <w:rsid w:val="3E246184"/>
    <w:rsid w:val="3E263CAA"/>
    <w:rsid w:val="3E2D5039"/>
    <w:rsid w:val="3E35213F"/>
    <w:rsid w:val="3E3C527C"/>
    <w:rsid w:val="3E594080"/>
    <w:rsid w:val="3E6F2281"/>
    <w:rsid w:val="3E7C1B1C"/>
    <w:rsid w:val="3E974BA8"/>
    <w:rsid w:val="3E9962AC"/>
    <w:rsid w:val="3E9A33D1"/>
    <w:rsid w:val="3EA80B63"/>
    <w:rsid w:val="3EAE5A4E"/>
    <w:rsid w:val="3EB05C6A"/>
    <w:rsid w:val="3EC84D62"/>
    <w:rsid w:val="3ECB6600"/>
    <w:rsid w:val="3ECC2AA4"/>
    <w:rsid w:val="3ED43706"/>
    <w:rsid w:val="3ED6747E"/>
    <w:rsid w:val="3ED92ACB"/>
    <w:rsid w:val="3EF21DDE"/>
    <w:rsid w:val="3EF73899"/>
    <w:rsid w:val="3EFD0EAF"/>
    <w:rsid w:val="3F065ED2"/>
    <w:rsid w:val="3F171845"/>
    <w:rsid w:val="3F1E4982"/>
    <w:rsid w:val="3F2611E6"/>
    <w:rsid w:val="3F2A5A1C"/>
    <w:rsid w:val="3F32667F"/>
    <w:rsid w:val="3F457ABB"/>
    <w:rsid w:val="3F4D5267"/>
    <w:rsid w:val="3F4F0FDF"/>
    <w:rsid w:val="3F4F271E"/>
    <w:rsid w:val="3F5E4797"/>
    <w:rsid w:val="3F6D40F6"/>
    <w:rsid w:val="3F6F1D61"/>
    <w:rsid w:val="3F731171"/>
    <w:rsid w:val="3F746C97"/>
    <w:rsid w:val="3F7A2500"/>
    <w:rsid w:val="3F9240AD"/>
    <w:rsid w:val="3FA30576"/>
    <w:rsid w:val="3FA869F0"/>
    <w:rsid w:val="3FAE3F57"/>
    <w:rsid w:val="3FB84DD6"/>
    <w:rsid w:val="3FC624D0"/>
    <w:rsid w:val="3FCC4F7F"/>
    <w:rsid w:val="3FD55988"/>
    <w:rsid w:val="3FE52986"/>
    <w:rsid w:val="3FF658FE"/>
    <w:rsid w:val="3FFE2BEB"/>
    <w:rsid w:val="3FFE65EB"/>
    <w:rsid w:val="40073668"/>
    <w:rsid w:val="400D0083"/>
    <w:rsid w:val="400E2C48"/>
    <w:rsid w:val="4021297B"/>
    <w:rsid w:val="402814CD"/>
    <w:rsid w:val="40322DDA"/>
    <w:rsid w:val="40345961"/>
    <w:rsid w:val="40356427"/>
    <w:rsid w:val="40386F69"/>
    <w:rsid w:val="404448BC"/>
    <w:rsid w:val="40491ED2"/>
    <w:rsid w:val="404F578A"/>
    <w:rsid w:val="405F6D3D"/>
    <w:rsid w:val="4061721C"/>
    <w:rsid w:val="40646D0C"/>
    <w:rsid w:val="406B6A21"/>
    <w:rsid w:val="407B73DA"/>
    <w:rsid w:val="4090365D"/>
    <w:rsid w:val="409749EB"/>
    <w:rsid w:val="40A610D2"/>
    <w:rsid w:val="40A86BF9"/>
    <w:rsid w:val="40AC7BA9"/>
    <w:rsid w:val="40B7508E"/>
    <w:rsid w:val="40CC5C49"/>
    <w:rsid w:val="40CF687B"/>
    <w:rsid w:val="40D7128C"/>
    <w:rsid w:val="40D82DFB"/>
    <w:rsid w:val="40E83499"/>
    <w:rsid w:val="40F47F9D"/>
    <w:rsid w:val="40F70F22"/>
    <w:rsid w:val="40FA6747"/>
    <w:rsid w:val="40FC5196"/>
    <w:rsid w:val="41126768"/>
    <w:rsid w:val="41173D7E"/>
    <w:rsid w:val="411918A4"/>
    <w:rsid w:val="411E5666"/>
    <w:rsid w:val="412169AB"/>
    <w:rsid w:val="413761CE"/>
    <w:rsid w:val="415804E6"/>
    <w:rsid w:val="41597EF3"/>
    <w:rsid w:val="41636FC4"/>
    <w:rsid w:val="416845DA"/>
    <w:rsid w:val="416A75C7"/>
    <w:rsid w:val="416F5968"/>
    <w:rsid w:val="418036D2"/>
    <w:rsid w:val="418238EE"/>
    <w:rsid w:val="41847666"/>
    <w:rsid w:val="41A05B22"/>
    <w:rsid w:val="41A25D3E"/>
    <w:rsid w:val="41B041FE"/>
    <w:rsid w:val="41B25AE9"/>
    <w:rsid w:val="41B63597"/>
    <w:rsid w:val="41BC374E"/>
    <w:rsid w:val="41C45CB4"/>
    <w:rsid w:val="41C55588"/>
    <w:rsid w:val="41C602F1"/>
    <w:rsid w:val="41CB4AA1"/>
    <w:rsid w:val="41D103D1"/>
    <w:rsid w:val="41D13F2D"/>
    <w:rsid w:val="41D32AAF"/>
    <w:rsid w:val="41D37CA5"/>
    <w:rsid w:val="41D61543"/>
    <w:rsid w:val="41D659E7"/>
    <w:rsid w:val="41DB2FFE"/>
    <w:rsid w:val="41E00614"/>
    <w:rsid w:val="41F74280"/>
    <w:rsid w:val="41FA7928"/>
    <w:rsid w:val="42075BA1"/>
    <w:rsid w:val="420E33D3"/>
    <w:rsid w:val="42100EF9"/>
    <w:rsid w:val="421270F0"/>
    <w:rsid w:val="42132798"/>
    <w:rsid w:val="4214021C"/>
    <w:rsid w:val="42162288"/>
    <w:rsid w:val="42221304"/>
    <w:rsid w:val="42366486"/>
    <w:rsid w:val="423C1CEE"/>
    <w:rsid w:val="42440BA3"/>
    <w:rsid w:val="424566C9"/>
    <w:rsid w:val="42725710"/>
    <w:rsid w:val="427A6373"/>
    <w:rsid w:val="427F1BDB"/>
    <w:rsid w:val="42982C9D"/>
    <w:rsid w:val="429D6505"/>
    <w:rsid w:val="42AD6748"/>
    <w:rsid w:val="42AE7254"/>
    <w:rsid w:val="42B9763D"/>
    <w:rsid w:val="42BF647C"/>
    <w:rsid w:val="42C21922"/>
    <w:rsid w:val="42EB7271"/>
    <w:rsid w:val="42EC1C13"/>
    <w:rsid w:val="42EC4206"/>
    <w:rsid w:val="42ED4D97"/>
    <w:rsid w:val="4303280C"/>
    <w:rsid w:val="430521E2"/>
    <w:rsid w:val="43056584"/>
    <w:rsid w:val="430F39CF"/>
    <w:rsid w:val="43120CA1"/>
    <w:rsid w:val="43144A19"/>
    <w:rsid w:val="43170066"/>
    <w:rsid w:val="431E13F4"/>
    <w:rsid w:val="432509D4"/>
    <w:rsid w:val="432F53AF"/>
    <w:rsid w:val="43301127"/>
    <w:rsid w:val="43324E9F"/>
    <w:rsid w:val="433504EC"/>
    <w:rsid w:val="434326C2"/>
    <w:rsid w:val="434F5597"/>
    <w:rsid w:val="43592C8A"/>
    <w:rsid w:val="435E5C94"/>
    <w:rsid w:val="436332AB"/>
    <w:rsid w:val="43665029"/>
    <w:rsid w:val="43741014"/>
    <w:rsid w:val="4379311B"/>
    <w:rsid w:val="43860D47"/>
    <w:rsid w:val="43880F63"/>
    <w:rsid w:val="438D657A"/>
    <w:rsid w:val="43AC1405"/>
    <w:rsid w:val="43AC6A00"/>
    <w:rsid w:val="43B43B06"/>
    <w:rsid w:val="43B9736F"/>
    <w:rsid w:val="43C05D23"/>
    <w:rsid w:val="43D30430"/>
    <w:rsid w:val="43D45F57"/>
    <w:rsid w:val="43D47D05"/>
    <w:rsid w:val="43D9356D"/>
    <w:rsid w:val="43DE0B83"/>
    <w:rsid w:val="43E3619A"/>
    <w:rsid w:val="43E37074"/>
    <w:rsid w:val="43EC504E"/>
    <w:rsid w:val="440F5D26"/>
    <w:rsid w:val="44103433"/>
    <w:rsid w:val="44110F59"/>
    <w:rsid w:val="44116432"/>
    <w:rsid w:val="44202F4A"/>
    <w:rsid w:val="442230BD"/>
    <w:rsid w:val="4436451B"/>
    <w:rsid w:val="44366C11"/>
    <w:rsid w:val="443864E5"/>
    <w:rsid w:val="443F6F60"/>
    <w:rsid w:val="444035EC"/>
    <w:rsid w:val="44406DAA"/>
    <w:rsid w:val="444430DC"/>
    <w:rsid w:val="44446C38"/>
    <w:rsid w:val="444529B0"/>
    <w:rsid w:val="44465A1E"/>
    <w:rsid w:val="444B6B5C"/>
    <w:rsid w:val="444F55DD"/>
    <w:rsid w:val="44501A81"/>
    <w:rsid w:val="445552E9"/>
    <w:rsid w:val="445A2900"/>
    <w:rsid w:val="44625310"/>
    <w:rsid w:val="44801C3A"/>
    <w:rsid w:val="44913E48"/>
    <w:rsid w:val="44937495"/>
    <w:rsid w:val="44972B79"/>
    <w:rsid w:val="449E078A"/>
    <w:rsid w:val="44A91191"/>
    <w:rsid w:val="44AD5B3A"/>
    <w:rsid w:val="44C47D79"/>
    <w:rsid w:val="44D02189"/>
    <w:rsid w:val="44D04970"/>
    <w:rsid w:val="44D32311"/>
    <w:rsid w:val="44D50382"/>
    <w:rsid w:val="44F025AE"/>
    <w:rsid w:val="44F20D8A"/>
    <w:rsid w:val="44F3065E"/>
    <w:rsid w:val="450A60D4"/>
    <w:rsid w:val="450E7246"/>
    <w:rsid w:val="451627E9"/>
    <w:rsid w:val="45165B01"/>
    <w:rsid w:val="45195E8E"/>
    <w:rsid w:val="45246A6A"/>
    <w:rsid w:val="45321187"/>
    <w:rsid w:val="45390767"/>
    <w:rsid w:val="4541586E"/>
    <w:rsid w:val="455410FD"/>
    <w:rsid w:val="45561319"/>
    <w:rsid w:val="455E01CE"/>
    <w:rsid w:val="45660E30"/>
    <w:rsid w:val="456652D4"/>
    <w:rsid w:val="45682DFA"/>
    <w:rsid w:val="456B28EB"/>
    <w:rsid w:val="45765517"/>
    <w:rsid w:val="4577303D"/>
    <w:rsid w:val="457F5E93"/>
    <w:rsid w:val="45815C6A"/>
    <w:rsid w:val="45861242"/>
    <w:rsid w:val="459E05CA"/>
    <w:rsid w:val="45AB2CE7"/>
    <w:rsid w:val="45B70A77"/>
    <w:rsid w:val="45B7168C"/>
    <w:rsid w:val="45C85647"/>
    <w:rsid w:val="45C97720"/>
    <w:rsid w:val="45DA351F"/>
    <w:rsid w:val="45F60406"/>
    <w:rsid w:val="46050649"/>
    <w:rsid w:val="460D74FE"/>
    <w:rsid w:val="461B7E6D"/>
    <w:rsid w:val="462854DA"/>
    <w:rsid w:val="462F3918"/>
    <w:rsid w:val="46314293"/>
    <w:rsid w:val="4636508B"/>
    <w:rsid w:val="463D149D"/>
    <w:rsid w:val="463F7FFF"/>
    <w:rsid w:val="46405B25"/>
    <w:rsid w:val="46454EEA"/>
    <w:rsid w:val="46476EB4"/>
    <w:rsid w:val="464A5E88"/>
    <w:rsid w:val="46592743"/>
    <w:rsid w:val="465D2233"/>
    <w:rsid w:val="466435C2"/>
    <w:rsid w:val="4665733A"/>
    <w:rsid w:val="46843C64"/>
    <w:rsid w:val="468477C0"/>
    <w:rsid w:val="4685178A"/>
    <w:rsid w:val="468A6DA0"/>
    <w:rsid w:val="46A936CA"/>
    <w:rsid w:val="46B67767"/>
    <w:rsid w:val="46C91677"/>
    <w:rsid w:val="46D36999"/>
    <w:rsid w:val="46E464B1"/>
    <w:rsid w:val="46EB3CE3"/>
    <w:rsid w:val="46F030A7"/>
    <w:rsid w:val="46F5246C"/>
    <w:rsid w:val="47060B1D"/>
    <w:rsid w:val="4723522B"/>
    <w:rsid w:val="4728624E"/>
    <w:rsid w:val="47321912"/>
    <w:rsid w:val="473A5BAA"/>
    <w:rsid w:val="47431D24"/>
    <w:rsid w:val="47470193"/>
    <w:rsid w:val="475B1488"/>
    <w:rsid w:val="476735B7"/>
    <w:rsid w:val="476C7E86"/>
    <w:rsid w:val="476D7C3C"/>
    <w:rsid w:val="47745A86"/>
    <w:rsid w:val="47794E4B"/>
    <w:rsid w:val="477C2B8D"/>
    <w:rsid w:val="47A67C0A"/>
    <w:rsid w:val="47BE31A6"/>
    <w:rsid w:val="47CB7671"/>
    <w:rsid w:val="47CE5C82"/>
    <w:rsid w:val="47D209FF"/>
    <w:rsid w:val="47E56984"/>
    <w:rsid w:val="47EB576D"/>
    <w:rsid w:val="47F00E85"/>
    <w:rsid w:val="47FB3C9E"/>
    <w:rsid w:val="48061AE1"/>
    <w:rsid w:val="480C3F11"/>
    <w:rsid w:val="480F755D"/>
    <w:rsid w:val="48194880"/>
    <w:rsid w:val="48220454"/>
    <w:rsid w:val="483F42E6"/>
    <w:rsid w:val="48425B85"/>
    <w:rsid w:val="48547666"/>
    <w:rsid w:val="48621D83"/>
    <w:rsid w:val="48684EBF"/>
    <w:rsid w:val="486C0E54"/>
    <w:rsid w:val="487C1595"/>
    <w:rsid w:val="487D6D04"/>
    <w:rsid w:val="488E2B78"/>
    <w:rsid w:val="48A26623"/>
    <w:rsid w:val="48A51C70"/>
    <w:rsid w:val="48AE6D76"/>
    <w:rsid w:val="48B21D51"/>
    <w:rsid w:val="48BF0F83"/>
    <w:rsid w:val="48C77E38"/>
    <w:rsid w:val="48CC544E"/>
    <w:rsid w:val="48D12A65"/>
    <w:rsid w:val="48D2515B"/>
    <w:rsid w:val="48D80297"/>
    <w:rsid w:val="48DD3AFF"/>
    <w:rsid w:val="48F84495"/>
    <w:rsid w:val="49060960"/>
    <w:rsid w:val="490F790E"/>
    <w:rsid w:val="491F5EC6"/>
    <w:rsid w:val="49227764"/>
    <w:rsid w:val="49396F88"/>
    <w:rsid w:val="493D2782"/>
    <w:rsid w:val="493F20C4"/>
    <w:rsid w:val="49437E06"/>
    <w:rsid w:val="494E0559"/>
    <w:rsid w:val="49555444"/>
    <w:rsid w:val="496164DE"/>
    <w:rsid w:val="49647D7D"/>
    <w:rsid w:val="496E58E1"/>
    <w:rsid w:val="49753D38"/>
    <w:rsid w:val="497A75A0"/>
    <w:rsid w:val="49800DE3"/>
    <w:rsid w:val="49814E36"/>
    <w:rsid w:val="49836455"/>
    <w:rsid w:val="498551B9"/>
    <w:rsid w:val="49867CF3"/>
    <w:rsid w:val="498875C7"/>
    <w:rsid w:val="498E09ED"/>
    <w:rsid w:val="49920446"/>
    <w:rsid w:val="499C7517"/>
    <w:rsid w:val="49B77EAC"/>
    <w:rsid w:val="49B93C25"/>
    <w:rsid w:val="49C37F7C"/>
    <w:rsid w:val="49CF169A"/>
    <w:rsid w:val="49D071C0"/>
    <w:rsid w:val="49D97E23"/>
    <w:rsid w:val="49EF62DE"/>
    <w:rsid w:val="49F475BF"/>
    <w:rsid w:val="49F66C27"/>
    <w:rsid w:val="4A162E25"/>
    <w:rsid w:val="4A3239D7"/>
    <w:rsid w:val="4A390FEE"/>
    <w:rsid w:val="4A404346"/>
    <w:rsid w:val="4A541B9F"/>
    <w:rsid w:val="4A561D5A"/>
    <w:rsid w:val="4A595408"/>
    <w:rsid w:val="4A5B1180"/>
    <w:rsid w:val="4A5E5DDF"/>
    <w:rsid w:val="4A600544"/>
    <w:rsid w:val="4A630034"/>
    <w:rsid w:val="4A631DE2"/>
    <w:rsid w:val="4A6C513B"/>
    <w:rsid w:val="4A742241"/>
    <w:rsid w:val="4A7D4C52"/>
    <w:rsid w:val="4A7F4E6E"/>
    <w:rsid w:val="4A842484"/>
    <w:rsid w:val="4A852A8D"/>
    <w:rsid w:val="4A9459DD"/>
    <w:rsid w:val="4A9F106C"/>
    <w:rsid w:val="4AA15C2A"/>
    <w:rsid w:val="4AA448D5"/>
    <w:rsid w:val="4AAE12AF"/>
    <w:rsid w:val="4AB8212E"/>
    <w:rsid w:val="4AB91FA2"/>
    <w:rsid w:val="4ACC7988"/>
    <w:rsid w:val="4AD8457E"/>
    <w:rsid w:val="4AE01685"/>
    <w:rsid w:val="4AEE5B50"/>
    <w:rsid w:val="4AF07B1A"/>
    <w:rsid w:val="4AFB1B32"/>
    <w:rsid w:val="4B045373"/>
    <w:rsid w:val="4B133808"/>
    <w:rsid w:val="4B141629"/>
    <w:rsid w:val="4B245A16"/>
    <w:rsid w:val="4B2E2E06"/>
    <w:rsid w:val="4B3317B5"/>
    <w:rsid w:val="4B481704"/>
    <w:rsid w:val="4B4C2876"/>
    <w:rsid w:val="4B50680B"/>
    <w:rsid w:val="4B5160DF"/>
    <w:rsid w:val="4B5C51AF"/>
    <w:rsid w:val="4B645E12"/>
    <w:rsid w:val="4B6A3F42"/>
    <w:rsid w:val="4B6C4CC7"/>
    <w:rsid w:val="4B7A64BC"/>
    <w:rsid w:val="4B7F2C4C"/>
    <w:rsid w:val="4B877630"/>
    <w:rsid w:val="4B887D52"/>
    <w:rsid w:val="4B8D7117"/>
    <w:rsid w:val="4B983D0E"/>
    <w:rsid w:val="4BA10E14"/>
    <w:rsid w:val="4BA45743"/>
    <w:rsid w:val="4BAB3A41"/>
    <w:rsid w:val="4BB24DCF"/>
    <w:rsid w:val="4BB74194"/>
    <w:rsid w:val="4BB9615E"/>
    <w:rsid w:val="4BBA3C84"/>
    <w:rsid w:val="4BC1398E"/>
    <w:rsid w:val="4BC863A1"/>
    <w:rsid w:val="4BCF3BD3"/>
    <w:rsid w:val="4BD42F98"/>
    <w:rsid w:val="4BD44D46"/>
    <w:rsid w:val="4BD66E16"/>
    <w:rsid w:val="4BD96800"/>
    <w:rsid w:val="4BE3142D"/>
    <w:rsid w:val="4BF4623D"/>
    <w:rsid w:val="4BFC429C"/>
    <w:rsid w:val="4C0A0767"/>
    <w:rsid w:val="4C121D12"/>
    <w:rsid w:val="4C1823D7"/>
    <w:rsid w:val="4C235CCD"/>
    <w:rsid w:val="4C2D08FA"/>
    <w:rsid w:val="4C2D26A8"/>
    <w:rsid w:val="4C2F6420"/>
    <w:rsid w:val="4C30291D"/>
    <w:rsid w:val="4C39104D"/>
    <w:rsid w:val="4C422A48"/>
    <w:rsid w:val="4C4719BC"/>
    <w:rsid w:val="4C4D0B1A"/>
    <w:rsid w:val="4C545E87"/>
    <w:rsid w:val="4C602A7D"/>
    <w:rsid w:val="4C6205A3"/>
    <w:rsid w:val="4C6E4F29"/>
    <w:rsid w:val="4C76404F"/>
    <w:rsid w:val="4C7D5CAE"/>
    <w:rsid w:val="4C810F06"/>
    <w:rsid w:val="4C8229F4"/>
    <w:rsid w:val="4C83676C"/>
    <w:rsid w:val="4C883D82"/>
    <w:rsid w:val="4C8F3727"/>
    <w:rsid w:val="4C9149E5"/>
    <w:rsid w:val="4C9170DB"/>
    <w:rsid w:val="4C927B5A"/>
    <w:rsid w:val="4C940979"/>
    <w:rsid w:val="4CA201D5"/>
    <w:rsid w:val="4CAF57B3"/>
    <w:rsid w:val="4CB23416"/>
    <w:rsid w:val="4CBF726A"/>
    <w:rsid w:val="4CD40D75"/>
    <w:rsid w:val="4CDA4BB7"/>
    <w:rsid w:val="4CDB5302"/>
    <w:rsid w:val="4CE81179"/>
    <w:rsid w:val="4CEA1816"/>
    <w:rsid w:val="4CEF795D"/>
    <w:rsid w:val="4CF02454"/>
    <w:rsid w:val="4CF17B79"/>
    <w:rsid w:val="4CF5766A"/>
    <w:rsid w:val="4CFA6A2E"/>
    <w:rsid w:val="4D0478AD"/>
    <w:rsid w:val="4D0553D3"/>
    <w:rsid w:val="4D091A60"/>
    <w:rsid w:val="4D0F7FFF"/>
    <w:rsid w:val="4D111FCA"/>
    <w:rsid w:val="4D155616"/>
    <w:rsid w:val="4D1675E0"/>
    <w:rsid w:val="4D1A0E7E"/>
    <w:rsid w:val="4D1D096E"/>
    <w:rsid w:val="4D1F0243"/>
    <w:rsid w:val="4D330A1C"/>
    <w:rsid w:val="4D3857A8"/>
    <w:rsid w:val="4D3D4B44"/>
    <w:rsid w:val="4D3F568F"/>
    <w:rsid w:val="4D423F31"/>
    <w:rsid w:val="4D471547"/>
    <w:rsid w:val="4D477799"/>
    <w:rsid w:val="4D4C6EB0"/>
    <w:rsid w:val="4D4E0B28"/>
    <w:rsid w:val="4D565246"/>
    <w:rsid w:val="4D573E80"/>
    <w:rsid w:val="4D5A571F"/>
    <w:rsid w:val="4D6245D3"/>
    <w:rsid w:val="4D7A36CB"/>
    <w:rsid w:val="4D88228C"/>
    <w:rsid w:val="4D8C33FE"/>
    <w:rsid w:val="4D8E7176"/>
    <w:rsid w:val="4D902EEE"/>
    <w:rsid w:val="4D9329DF"/>
    <w:rsid w:val="4D9B61E3"/>
    <w:rsid w:val="4D9F1383"/>
    <w:rsid w:val="4DB53968"/>
    <w:rsid w:val="4DB841F3"/>
    <w:rsid w:val="4DBD7A5B"/>
    <w:rsid w:val="4DC66910"/>
    <w:rsid w:val="4DC808DA"/>
    <w:rsid w:val="4DCC4263"/>
    <w:rsid w:val="4DD03C33"/>
    <w:rsid w:val="4DF01BDF"/>
    <w:rsid w:val="4DF93840"/>
    <w:rsid w:val="4E07740D"/>
    <w:rsid w:val="4E0D2791"/>
    <w:rsid w:val="4E143B1F"/>
    <w:rsid w:val="4E157897"/>
    <w:rsid w:val="4E161BEF"/>
    <w:rsid w:val="4E1C29D4"/>
    <w:rsid w:val="4E265601"/>
    <w:rsid w:val="4E3046D1"/>
    <w:rsid w:val="4E322AED"/>
    <w:rsid w:val="4E3366D9"/>
    <w:rsid w:val="4E4A7BBA"/>
    <w:rsid w:val="4E4D0DDF"/>
    <w:rsid w:val="4E636855"/>
    <w:rsid w:val="4E756AAA"/>
    <w:rsid w:val="4E8C77D5"/>
    <w:rsid w:val="4E8F3657"/>
    <w:rsid w:val="4E9702AC"/>
    <w:rsid w:val="4E9764FE"/>
    <w:rsid w:val="4E9A04D3"/>
    <w:rsid w:val="4EA40E15"/>
    <w:rsid w:val="4EA74993"/>
    <w:rsid w:val="4EAA4484"/>
    <w:rsid w:val="4EBC006F"/>
    <w:rsid w:val="4EBE7F2F"/>
    <w:rsid w:val="4EC70B92"/>
    <w:rsid w:val="4EC76DE4"/>
    <w:rsid w:val="4ECC7F56"/>
    <w:rsid w:val="4ECD1F20"/>
    <w:rsid w:val="4EDD2163"/>
    <w:rsid w:val="4EDF237F"/>
    <w:rsid w:val="4F005E52"/>
    <w:rsid w:val="4F041DE6"/>
    <w:rsid w:val="4F042CE7"/>
    <w:rsid w:val="4F043B94"/>
    <w:rsid w:val="4F0E056F"/>
    <w:rsid w:val="4F1162B1"/>
    <w:rsid w:val="4F1B712F"/>
    <w:rsid w:val="4F1F09CE"/>
    <w:rsid w:val="4F29184C"/>
    <w:rsid w:val="4F3D0E54"/>
    <w:rsid w:val="4F3F4BCC"/>
    <w:rsid w:val="4F42646A"/>
    <w:rsid w:val="4F516F6B"/>
    <w:rsid w:val="4F587A3C"/>
    <w:rsid w:val="4F5C39D0"/>
    <w:rsid w:val="4F5F526E"/>
    <w:rsid w:val="4F6F4D85"/>
    <w:rsid w:val="4F714FA1"/>
    <w:rsid w:val="4F766114"/>
    <w:rsid w:val="4F7A50FA"/>
    <w:rsid w:val="4F7B197C"/>
    <w:rsid w:val="4F820F5D"/>
    <w:rsid w:val="4F870321"/>
    <w:rsid w:val="4F9667B6"/>
    <w:rsid w:val="4FA15887"/>
    <w:rsid w:val="4FAD5FDA"/>
    <w:rsid w:val="4FB8672C"/>
    <w:rsid w:val="4FBC5330"/>
    <w:rsid w:val="4FC41575"/>
    <w:rsid w:val="4FC6709B"/>
    <w:rsid w:val="4FCB31FF"/>
    <w:rsid w:val="4FD176D0"/>
    <w:rsid w:val="4FD277EE"/>
    <w:rsid w:val="500243D3"/>
    <w:rsid w:val="50281B04"/>
    <w:rsid w:val="50355FCF"/>
    <w:rsid w:val="50357D7D"/>
    <w:rsid w:val="5043249A"/>
    <w:rsid w:val="50432DA5"/>
    <w:rsid w:val="504601DC"/>
    <w:rsid w:val="504D156B"/>
    <w:rsid w:val="50526B81"/>
    <w:rsid w:val="505E72D4"/>
    <w:rsid w:val="506A2AFE"/>
    <w:rsid w:val="50720FD1"/>
    <w:rsid w:val="50724B2D"/>
    <w:rsid w:val="50792360"/>
    <w:rsid w:val="50865D61"/>
    <w:rsid w:val="5086682B"/>
    <w:rsid w:val="508F1B83"/>
    <w:rsid w:val="509158B4"/>
    <w:rsid w:val="50970A38"/>
    <w:rsid w:val="509727E6"/>
    <w:rsid w:val="509B4084"/>
    <w:rsid w:val="509E1DC6"/>
    <w:rsid w:val="50AA4F48"/>
    <w:rsid w:val="50BC6E9F"/>
    <w:rsid w:val="50C05A6E"/>
    <w:rsid w:val="50C11611"/>
    <w:rsid w:val="50C64E79"/>
    <w:rsid w:val="50D07D33"/>
    <w:rsid w:val="510A120A"/>
    <w:rsid w:val="51204589"/>
    <w:rsid w:val="51312C3A"/>
    <w:rsid w:val="51422751"/>
    <w:rsid w:val="514B674C"/>
    <w:rsid w:val="514C1822"/>
    <w:rsid w:val="515051FF"/>
    <w:rsid w:val="51586419"/>
    <w:rsid w:val="51595CED"/>
    <w:rsid w:val="515E50B1"/>
    <w:rsid w:val="5160707C"/>
    <w:rsid w:val="516E3547"/>
    <w:rsid w:val="517D5E7F"/>
    <w:rsid w:val="5188605F"/>
    <w:rsid w:val="5188713C"/>
    <w:rsid w:val="518B635C"/>
    <w:rsid w:val="51940CA9"/>
    <w:rsid w:val="51983176"/>
    <w:rsid w:val="519E0618"/>
    <w:rsid w:val="51BA020E"/>
    <w:rsid w:val="51C031DD"/>
    <w:rsid w:val="51D5604D"/>
    <w:rsid w:val="51DA0BDC"/>
    <w:rsid w:val="51E11F6A"/>
    <w:rsid w:val="51EE4687"/>
    <w:rsid w:val="51F779E0"/>
    <w:rsid w:val="520B76B8"/>
    <w:rsid w:val="52157973"/>
    <w:rsid w:val="52187956"/>
    <w:rsid w:val="521A1920"/>
    <w:rsid w:val="522D0F80"/>
    <w:rsid w:val="52344790"/>
    <w:rsid w:val="52505342"/>
    <w:rsid w:val="52635075"/>
    <w:rsid w:val="52647C3F"/>
    <w:rsid w:val="527E1EAF"/>
    <w:rsid w:val="528172AA"/>
    <w:rsid w:val="528A2602"/>
    <w:rsid w:val="529E1C09"/>
    <w:rsid w:val="52AD009F"/>
    <w:rsid w:val="52B91E49"/>
    <w:rsid w:val="52C01E86"/>
    <w:rsid w:val="52CD6993"/>
    <w:rsid w:val="52DC0984"/>
    <w:rsid w:val="52DC5055"/>
    <w:rsid w:val="52E361B6"/>
    <w:rsid w:val="52F42171"/>
    <w:rsid w:val="52F932E4"/>
    <w:rsid w:val="530968C9"/>
    <w:rsid w:val="530F0D59"/>
    <w:rsid w:val="530F48B5"/>
    <w:rsid w:val="5311687F"/>
    <w:rsid w:val="53163E96"/>
    <w:rsid w:val="531D5224"/>
    <w:rsid w:val="532C06D7"/>
    <w:rsid w:val="53397B84"/>
    <w:rsid w:val="533B1B4E"/>
    <w:rsid w:val="53426A39"/>
    <w:rsid w:val="53487DC7"/>
    <w:rsid w:val="53607807"/>
    <w:rsid w:val="536F2569"/>
    <w:rsid w:val="53721A8F"/>
    <w:rsid w:val="5373753A"/>
    <w:rsid w:val="537A2677"/>
    <w:rsid w:val="537A6790"/>
    <w:rsid w:val="537B63EF"/>
    <w:rsid w:val="538232D9"/>
    <w:rsid w:val="538A3BCE"/>
    <w:rsid w:val="53933738"/>
    <w:rsid w:val="5394300C"/>
    <w:rsid w:val="53952A2F"/>
    <w:rsid w:val="53990623"/>
    <w:rsid w:val="539A0F3A"/>
    <w:rsid w:val="539A4AC7"/>
    <w:rsid w:val="53B35A5D"/>
    <w:rsid w:val="53BA0CC5"/>
    <w:rsid w:val="53C5766A"/>
    <w:rsid w:val="53D61877"/>
    <w:rsid w:val="53DE3845"/>
    <w:rsid w:val="53DF24DA"/>
    <w:rsid w:val="540006A2"/>
    <w:rsid w:val="54040192"/>
    <w:rsid w:val="54134879"/>
    <w:rsid w:val="54153E01"/>
    <w:rsid w:val="541C372E"/>
    <w:rsid w:val="542500C2"/>
    <w:rsid w:val="54257598"/>
    <w:rsid w:val="54324CFF"/>
    <w:rsid w:val="543A3BB4"/>
    <w:rsid w:val="543C3DD0"/>
    <w:rsid w:val="543F566E"/>
    <w:rsid w:val="543F741C"/>
    <w:rsid w:val="5452714F"/>
    <w:rsid w:val="545C1D7C"/>
    <w:rsid w:val="5462438A"/>
    <w:rsid w:val="546724CF"/>
    <w:rsid w:val="546D5D37"/>
    <w:rsid w:val="547C5F7A"/>
    <w:rsid w:val="54834BDB"/>
    <w:rsid w:val="54837309"/>
    <w:rsid w:val="548A4B3B"/>
    <w:rsid w:val="548D0188"/>
    <w:rsid w:val="54996B2C"/>
    <w:rsid w:val="549A0AF6"/>
    <w:rsid w:val="54AA676D"/>
    <w:rsid w:val="54AA6F8B"/>
    <w:rsid w:val="54C343AC"/>
    <w:rsid w:val="54C72F53"/>
    <w:rsid w:val="54CB0CB0"/>
    <w:rsid w:val="54EA382C"/>
    <w:rsid w:val="54EA7388"/>
    <w:rsid w:val="54EC75A4"/>
    <w:rsid w:val="54ED50CA"/>
    <w:rsid w:val="54FC70BB"/>
    <w:rsid w:val="54FE2E33"/>
    <w:rsid w:val="550D64AC"/>
    <w:rsid w:val="551C150B"/>
    <w:rsid w:val="552D788F"/>
    <w:rsid w:val="55342CF9"/>
    <w:rsid w:val="55432F3C"/>
    <w:rsid w:val="554F18E1"/>
    <w:rsid w:val="55592760"/>
    <w:rsid w:val="555B2034"/>
    <w:rsid w:val="55661FDF"/>
    <w:rsid w:val="556E7FB9"/>
    <w:rsid w:val="5572737D"/>
    <w:rsid w:val="557E57B0"/>
    <w:rsid w:val="55825812"/>
    <w:rsid w:val="558570B1"/>
    <w:rsid w:val="558766FA"/>
    <w:rsid w:val="558C6691"/>
    <w:rsid w:val="559519EA"/>
    <w:rsid w:val="559F0D49"/>
    <w:rsid w:val="55A61A15"/>
    <w:rsid w:val="55C0458D"/>
    <w:rsid w:val="55D122F6"/>
    <w:rsid w:val="55D44859"/>
    <w:rsid w:val="55E361F1"/>
    <w:rsid w:val="55E93AE3"/>
    <w:rsid w:val="55EE2EA8"/>
    <w:rsid w:val="55F54236"/>
    <w:rsid w:val="55F92C56"/>
    <w:rsid w:val="55FD133D"/>
    <w:rsid w:val="56002BDB"/>
    <w:rsid w:val="560426CB"/>
    <w:rsid w:val="56066443"/>
    <w:rsid w:val="56075D18"/>
    <w:rsid w:val="56085FC6"/>
    <w:rsid w:val="560C77D2"/>
    <w:rsid w:val="56170651"/>
    <w:rsid w:val="561B17C3"/>
    <w:rsid w:val="561B7A15"/>
    <w:rsid w:val="5621327D"/>
    <w:rsid w:val="5621502B"/>
    <w:rsid w:val="563E1843"/>
    <w:rsid w:val="564725B8"/>
    <w:rsid w:val="56521689"/>
    <w:rsid w:val="5664316A"/>
    <w:rsid w:val="566903DB"/>
    <w:rsid w:val="567134D2"/>
    <w:rsid w:val="56737851"/>
    <w:rsid w:val="56755377"/>
    <w:rsid w:val="56794E67"/>
    <w:rsid w:val="56835CE6"/>
    <w:rsid w:val="568630E0"/>
    <w:rsid w:val="5689497F"/>
    <w:rsid w:val="568B6949"/>
    <w:rsid w:val="569577C7"/>
    <w:rsid w:val="56A874FB"/>
    <w:rsid w:val="56AD68BF"/>
    <w:rsid w:val="56BA722E"/>
    <w:rsid w:val="56C67981"/>
    <w:rsid w:val="56CB143B"/>
    <w:rsid w:val="56CB31E9"/>
    <w:rsid w:val="56CD51B3"/>
    <w:rsid w:val="56CF2CD9"/>
    <w:rsid w:val="56D06A51"/>
    <w:rsid w:val="56D27207"/>
    <w:rsid w:val="56E85B49"/>
    <w:rsid w:val="56F91B04"/>
    <w:rsid w:val="56FA587C"/>
    <w:rsid w:val="56FE2E6A"/>
    <w:rsid w:val="570A3D11"/>
    <w:rsid w:val="570D55B0"/>
    <w:rsid w:val="5728063B"/>
    <w:rsid w:val="57323268"/>
    <w:rsid w:val="57390153"/>
    <w:rsid w:val="57454D4A"/>
    <w:rsid w:val="57776ECD"/>
    <w:rsid w:val="577B3BB7"/>
    <w:rsid w:val="577D2735"/>
    <w:rsid w:val="57831D16"/>
    <w:rsid w:val="5784407E"/>
    <w:rsid w:val="578A3156"/>
    <w:rsid w:val="57A001D2"/>
    <w:rsid w:val="57A37CC2"/>
    <w:rsid w:val="57AA1051"/>
    <w:rsid w:val="57B43C7D"/>
    <w:rsid w:val="57B91294"/>
    <w:rsid w:val="57CA34A1"/>
    <w:rsid w:val="57CF5C28"/>
    <w:rsid w:val="57D91936"/>
    <w:rsid w:val="58020E8D"/>
    <w:rsid w:val="580629ED"/>
    <w:rsid w:val="580C1D0B"/>
    <w:rsid w:val="58193523"/>
    <w:rsid w:val="582708F3"/>
    <w:rsid w:val="58313520"/>
    <w:rsid w:val="583152CE"/>
    <w:rsid w:val="584119B5"/>
    <w:rsid w:val="584B2834"/>
    <w:rsid w:val="585C67EF"/>
    <w:rsid w:val="58604F48"/>
    <w:rsid w:val="586B4C84"/>
    <w:rsid w:val="586F57F7"/>
    <w:rsid w:val="58761AFB"/>
    <w:rsid w:val="587B5F69"/>
    <w:rsid w:val="587F428B"/>
    <w:rsid w:val="58937D37"/>
    <w:rsid w:val="58A12453"/>
    <w:rsid w:val="58B959EF"/>
    <w:rsid w:val="58BA3515"/>
    <w:rsid w:val="58C15F70"/>
    <w:rsid w:val="58C6010C"/>
    <w:rsid w:val="58C85C32"/>
    <w:rsid w:val="58D2260D"/>
    <w:rsid w:val="58D75E75"/>
    <w:rsid w:val="58F22D53"/>
    <w:rsid w:val="58F44C79"/>
    <w:rsid w:val="59034EBC"/>
    <w:rsid w:val="590456AD"/>
    <w:rsid w:val="59050C34"/>
    <w:rsid w:val="591250FF"/>
    <w:rsid w:val="59147184"/>
    <w:rsid w:val="591C1ADA"/>
    <w:rsid w:val="59297022"/>
    <w:rsid w:val="593B28A8"/>
    <w:rsid w:val="59411541"/>
    <w:rsid w:val="59413C36"/>
    <w:rsid w:val="59464DA9"/>
    <w:rsid w:val="595B0854"/>
    <w:rsid w:val="595E20F3"/>
    <w:rsid w:val="596C0CB3"/>
    <w:rsid w:val="5979517E"/>
    <w:rsid w:val="597B2CA5"/>
    <w:rsid w:val="5999137D"/>
    <w:rsid w:val="59A31EB1"/>
    <w:rsid w:val="59A33FA9"/>
    <w:rsid w:val="59A55F73"/>
    <w:rsid w:val="59A57D21"/>
    <w:rsid w:val="59AB2256"/>
    <w:rsid w:val="59AC7302"/>
    <w:rsid w:val="59B974E0"/>
    <w:rsid w:val="59C4289D"/>
    <w:rsid w:val="59DC05CE"/>
    <w:rsid w:val="59E24A40"/>
    <w:rsid w:val="59E7658C"/>
    <w:rsid w:val="59E928DD"/>
    <w:rsid w:val="59F51775"/>
    <w:rsid w:val="59F81164"/>
    <w:rsid w:val="59FE7432"/>
    <w:rsid w:val="5A0233C6"/>
    <w:rsid w:val="5A0D3B48"/>
    <w:rsid w:val="5A0F515A"/>
    <w:rsid w:val="5A1D4970"/>
    <w:rsid w:val="5A1D6275"/>
    <w:rsid w:val="5A201A9E"/>
    <w:rsid w:val="5A276988"/>
    <w:rsid w:val="5A33417E"/>
    <w:rsid w:val="5A4D7CC1"/>
    <w:rsid w:val="5A730FF8"/>
    <w:rsid w:val="5A731BCE"/>
    <w:rsid w:val="5A841270"/>
    <w:rsid w:val="5A8E07B6"/>
    <w:rsid w:val="5A902780"/>
    <w:rsid w:val="5A9358D2"/>
    <w:rsid w:val="5A981634"/>
    <w:rsid w:val="5A9A1850"/>
    <w:rsid w:val="5AA513D6"/>
    <w:rsid w:val="5AB20948"/>
    <w:rsid w:val="5AB75F5E"/>
    <w:rsid w:val="5ABD6193"/>
    <w:rsid w:val="5ABE73D9"/>
    <w:rsid w:val="5AC051B0"/>
    <w:rsid w:val="5AC7692E"/>
    <w:rsid w:val="5ACB5664"/>
    <w:rsid w:val="5AD670DA"/>
    <w:rsid w:val="5AF427AB"/>
    <w:rsid w:val="5AFE384D"/>
    <w:rsid w:val="5B1038C0"/>
    <w:rsid w:val="5B174C4F"/>
    <w:rsid w:val="5B1769FD"/>
    <w:rsid w:val="5B207809"/>
    <w:rsid w:val="5B323837"/>
    <w:rsid w:val="5B465534"/>
    <w:rsid w:val="5B4F263B"/>
    <w:rsid w:val="5B503CBD"/>
    <w:rsid w:val="5B547C51"/>
    <w:rsid w:val="5B5E7273"/>
    <w:rsid w:val="5B7756EE"/>
    <w:rsid w:val="5BA9021C"/>
    <w:rsid w:val="5BB020A1"/>
    <w:rsid w:val="5BB054F9"/>
    <w:rsid w:val="5BB406F0"/>
    <w:rsid w:val="5BB71F8E"/>
    <w:rsid w:val="5BC24519"/>
    <w:rsid w:val="5BC85801"/>
    <w:rsid w:val="5BCC42CC"/>
    <w:rsid w:val="5BD10A5B"/>
    <w:rsid w:val="5BD90156"/>
    <w:rsid w:val="5BE64A40"/>
    <w:rsid w:val="5BF3746A"/>
    <w:rsid w:val="5C0A0310"/>
    <w:rsid w:val="5C136ECE"/>
    <w:rsid w:val="5C311D40"/>
    <w:rsid w:val="5C34538D"/>
    <w:rsid w:val="5C3632F2"/>
    <w:rsid w:val="5C58551F"/>
    <w:rsid w:val="5C5A1297"/>
    <w:rsid w:val="5C5F68AD"/>
    <w:rsid w:val="5C6739B4"/>
    <w:rsid w:val="5C6A0DAE"/>
    <w:rsid w:val="5CB00EB7"/>
    <w:rsid w:val="5CB07109"/>
    <w:rsid w:val="5CB70498"/>
    <w:rsid w:val="5CBD08FF"/>
    <w:rsid w:val="5CC543A9"/>
    <w:rsid w:val="5CD526CC"/>
    <w:rsid w:val="5CE15514"/>
    <w:rsid w:val="5CF07506"/>
    <w:rsid w:val="5CF214D0"/>
    <w:rsid w:val="5CFC40FC"/>
    <w:rsid w:val="5CFD7E74"/>
    <w:rsid w:val="5D07484F"/>
    <w:rsid w:val="5D096819"/>
    <w:rsid w:val="5D0F1005"/>
    <w:rsid w:val="5D1A6B11"/>
    <w:rsid w:val="5D2E6280"/>
    <w:rsid w:val="5D454F07"/>
    <w:rsid w:val="5D4B6E32"/>
    <w:rsid w:val="5D4F0619"/>
    <w:rsid w:val="5D5757D7"/>
    <w:rsid w:val="5D7719D5"/>
    <w:rsid w:val="5D7A51C0"/>
    <w:rsid w:val="5D881E34"/>
    <w:rsid w:val="5D9028E3"/>
    <w:rsid w:val="5D9562FF"/>
    <w:rsid w:val="5D9953D6"/>
    <w:rsid w:val="5D997B9D"/>
    <w:rsid w:val="5DA14CA4"/>
    <w:rsid w:val="5DA622BA"/>
    <w:rsid w:val="5DB1138B"/>
    <w:rsid w:val="5DC66FC3"/>
    <w:rsid w:val="5DCA1E50"/>
    <w:rsid w:val="5DCB1D21"/>
    <w:rsid w:val="5DCD3CEB"/>
    <w:rsid w:val="5DCD5A99"/>
    <w:rsid w:val="5DD40BD5"/>
    <w:rsid w:val="5DDA5938"/>
    <w:rsid w:val="5DDE7CA6"/>
    <w:rsid w:val="5E005E6E"/>
    <w:rsid w:val="5E0F330D"/>
    <w:rsid w:val="5E0F60B1"/>
    <w:rsid w:val="5E115985"/>
    <w:rsid w:val="5E1C257C"/>
    <w:rsid w:val="5E203E1A"/>
    <w:rsid w:val="5E207A91"/>
    <w:rsid w:val="5E287173"/>
    <w:rsid w:val="5E2F22B0"/>
    <w:rsid w:val="5E301C5D"/>
    <w:rsid w:val="5E316028"/>
    <w:rsid w:val="5E40626B"/>
    <w:rsid w:val="5E583259"/>
    <w:rsid w:val="5E656E71"/>
    <w:rsid w:val="5E680C22"/>
    <w:rsid w:val="5E6957C1"/>
    <w:rsid w:val="5E7005EF"/>
    <w:rsid w:val="5E7B3747"/>
    <w:rsid w:val="5E9F11E3"/>
    <w:rsid w:val="5EAE58CA"/>
    <w:rsid w:val="5EB506B9"/>
    <w:rsid w:val="5EB804F7"/>
    <w:rsid w:val="5EBB7FE7"/>
    <w:rsid w:val="5EBE53E1"/>
    <w:rsid w:val="5EC62C14"/>
    <w:rsid w:val="5EC7073A"/>
    <w:rsid w:val="5EC75E3A"/>
    <w:rsid w:val="5EEA3C7B"/>
    <w:rsid w:val="5F192012"/>
    <w:rsid w:val="5F1A6ABC"/>
    <w:rsid w:val="5F2E07B9"/>
    <w:rsid w:val="5F41229A"/>
    <w:rsid w:val="5F6661A5"/>
    <w:rsid w:val="5F7913A6"/>
    <w:rsid w:val="5F944AC0"/>
    <w:rsid w:val="5F9A7BFD"/>
    <w:rsid w:val="5F9C7819"/>
    <w:rsid w:val="5FA62A45"/>
    <w:rsid w:val="5FAA42E4"/>
    <w:rsid w:val="5FAC2886"/>
    <w:rsid w:val="5FDA624B"/>
    <w:rsid w:val="5FDE21DF"/>
    <w:rsid w:val="5FF7504F"/>
    <w:rsid w:val="5FF92B75"/>
    <w:rsid w:val="5FFE018B"/>
    <w:rsid w:val="600B6BEB"/>
    <w:rsid w:val="602A0F80"/>
    <w:rsid w:val="602D0A71"/>
    <w:rsid w:val="603E2C7E"/>
    <w:rsid w:val="6040276C"/>
    <w:rsid w:val="60455DBA"/>
    <w:rsid w:val="605B738C"/>
    <w:rsid w:val="605D3104"/>
    <w:rsid w:val="606077C2"/>
    <w:rsid w:val="6065591F"/>
    <w:rsid w:val="60730B79"/>
    <w:rsid w:val="607D5554"/>
    <w:rsid w:val="609C0C5E"/>
    <w:rsid w:val="609C5D62"/>
    <w:rsid w:val="60A26D69"/>
    <w:rsid w:val="60D94755"/>
    <w:rsid w:val="60D96503"/>
    <w:rsid w:val="60DB04CD"/>
    <w:rsid w:val="60E5134B"/>
    <w:rsid w:val="610B746A"/>
    <w:rsid w:val="61161AA3"/>
    <w:rsid w:val="6119096D"/>
    <w:rsid w:val="61195413"/>
    <w:rsid w:val="613100ED"/>
    <w:rsid w:val="613C540F"/>
    <w:rsid w:val="6170489A"/>
    <w:rsid w:val="617611C7"/>
    <w:rsid w:val="617A5F38"/>
    <w:rsid w:val="617D1584"/>
    <w:rsid w:val="617D2B01"/>
    <w:rsid w:val="619E1C26"/>
    <w:rsid w:val="619F599E"/>
    <w:rsid w:val="619F774C"/>
    <w:rsid w:val="61AA64EC"/>
    <w:rsid w:val="61B41449"/>
    <w:rsid w:val="61B414F7"/>
    <w:rsid w:val="61B52ACC"/>
    <w:rsid w:val="61B549B4"/>
    <w:rsid w:val="61B72CE8"/>
    <w:rsid w:val="61B9080E"/>
    <w:rsid w:val="61BA27D8"/>
    <w:rsid w:val="61D513C0"/>
    <w:rsid w:val="61EE5FDE"/>
    <w:rsid w:val="61F23D20"/>
    <w:rsid w:val="62031A89"/>
    <w:rsid w:val="62065A1D"/>
    <w:rsid w:val="620F6680"/>
    <w:rsid w:val="621023F8"/>
    <w:rsid w:val="62127F1E"/>
    <w:rsid w:val="621444A4"/>
    <w:rsid w:val="621C5BAF"/>
    <w:rsid w:val="62210161"/>
    <w:rsid w:val="622114E9"/>
    <w:rsid w:val="62361E5F"/>
    <w:rsid w:val="62377985"/>
    <w:rsid w:val="623B7475"/>
    <w:rsid w:val="623C31ED"/>
    <w:rsid w:val="625E3163"/>
    <w:rsid w:val="627110E9"/>
    <w:rsid w:val="627B3D15"/>
    <w:rsid w:val="628F77C1"/>
    <w:rsid w:val="629372B1"/>
    <w:rsid w:val="629E17B2"/>
    <w:rsid w:val="62B334AF"/>
    <w:rsid w:val="62B965EC"/>
    <w:rsid w:val="62BD2580"/>
    <w:rsid w:val="62C32E16"/>
    <w:rsid w:val="62CC27C3"/>
    <w:rsid w:val="62CC631F"/>
    <w:rsid w:val="62D96C8E"/>
    <w:rsid w:val="62E21FE6"/>
    <w:rsid w:val="62E83829"/>
    <w:rsid w:val="62EC4C13"/>
    <w:rsid w:val="62FE5D89"/>
    <w:rsid w:val="63021D41"/>
    <w:rsid w:val="63082571"/>
    <w:rsid w:val="631877B6"/>
    <w:rsid w:val="631D0B6B"/>
    <w:rsid w:val="631F0B45"/>
    <w:rsid w:val="63213671"/>
    <w:rsid w:val="632411E5"/>
    <w:rsid w:val="63406733"/>
    <w:rsid w:val="634560D1"/>
    <w:rsid w:val="634E353D"/>
    <w:rsid w:val="637013A0"/>
    <w:rsid w:val="63716EC6"/>
    <w:rsid w:val="63730E90"/>
    <w:rsid w:val="637C7D45"/>
    <w:rsid w:val="638E7A78"/>
    <w:rsid w:val="63961697"/>
    <w:rsid w:val="63A23524"/>
    <w:rsid w:val="63A252D2"/>
    <w:rsid w:val="63A454EE"/>
    <w:rsid w:val="63AB4186"/>
    <w:rsid w:val="63B374DF"/>
    <w:rsid w:val="63BB71C0"/>
    <w:rsid w:val="63C05ACE"/>
    <w:rsid w:val="63C17E4E"/>
    <w:rsid w:val="63C60FC0"/>
    <w:rsid w:val="63C811DC"/>
    <w:rsid w:val="63D03D9A"/>
    <w:rsid w:val="63D7141F"/>
    <w:rsid w:val="63D74F7B"/>
    <w:rsid w:val="63E1404C"/>
    <w:rsid w:val="63EA4A39"/>
    <w:rsid w:val="63F975E8"/>
    <w:rsid w:val="63FD075A"/>
    <w:rsid w:val="64175CC0"/>
    <w:rsid w:val="64287ECD"/>
    <w:rsid w:val="642E6B65"/>
    <w:rsid w:val="6449399F"/>
    <w:rsid w:val="646A5DEF"/>
    <w:rsid w:val="647C3D75"/>
    <w:rsid w:val="647C5B23"/>
    <w:rsid w:val="64835103"/>
    <w:rsid w:val="648844C8"/>
    <w:rsid w:val="64942E6C"/>
    <w:rsid w:val="64963458"/>
    <w:rsid w:val="64964E36"/>
    <w:rsid w:val="649B640A"/>
    <w:rsid w:val="649C7F73"/>
    <w:rsid w:val="64B20E2E"/>
    <w:rsid w:val="64B90B25"/>
    <w:rsid w:val="64BB2AEF"/>
    <w:rsid w:val="64BD6867"/>
    <w:rsid w:val="64BD6D2C"/>
    <w:rsid w:val="64BE438D"/>
    <w:rsid w:val="64CA0F84"/>
    <w:rsid w:val="64EA6F30"/>
    <w:rsid w:val="64F102BF"/>
    <w:rsid w:val="64F34037"/>
    <w:rsid w:val="650E70C3"/>
    <w:rsid w:val="65110903"/>
    <w:rsid w:val="65206DF6"/>
    <w:rsid w:val="6524104F"/>
    <w:rsid w:val="652B0AFB"/>
    <w:rsid w:val="652F2B95"/>
    <w:rsid w:val="653174D1"/>
    <w:rsid w:val="653D3504"/>
    <w:rsid w:val="65424FBE"/>
    <w:rsid w:val="65516B1E"/>
    <w:rsid w:val="655A40B6"/>
    <w:rsid w:val="655B7E2E"/>
    <w:rsid w:val="657456CE"/>
    <w:rsid w:val="65766A16"/>
    <w:rsid w:val="657C227E"/>
    <w:rsid w:val="657C2A83"/>
    <w:rsid w:val="65876E75"/>
    <w:rsid w:val="6592447D"/>
    <w:rsid w:val="659550EE"/>
    <w:rsid w:val="65984BDE"/>
    <w:rsid w:val="65A74E21"/>
    <w:rsid w:val="65B5753E"/>
    <w:rsid w:val="65C459D3"/>
    <w:rsid w:val="65C6174B"/>
    <w:rsid w:val="65C77271"/>
    <w:rsid w:val="65CE0600"/>
    <w:rsid w:val="65D97D17"/>
    <w:rsid w:val="65DD16A8"/>
    <w:rsid w:val="65DF0A5F"/>
    <w:rsid w:val="65DF37BF"/>
    <w:rsid w:val="65E41BD1"/>
    <w:rsid w:val="65F55B8D"/>
    <w:rsid w:val="65FC33BF"/>
    <w:rsid w:val="661D1C4F"/>
    <w:rsid w:val="66212E26"/>
    <w:rsid w:val="66224345"/>
    <w:rsid w:val="663E7534"/>
    <w:rsid w:val="66401AEA"/>
    <w:rsid w:val="66430FEE"/>
    <w:rsid w:val="66460B4F"/>
    <w:rsid w:val="665E1984"/>
    <w:rsid w:val="66611474"/>
    <w:rsid w:val="666F1DE3"/>
    <w:rsid w:val="6672542F"/>
    <w:rsid w:val="668313EA"/>
    <w:rsid w:val="668A09CB"/>
    <w:rsid w:val="669B0369"/>
    <w:rsid w:val="66A17AC3"/>
    <w:rsid w:val="66A6658B"/>
    <w:rsid w:val="66BB6DD6"/>
    <w:rsid w:val="66CE7576"/>
    <w:rsid w:val="66CF63DE"/>
    <w:rsid w:val="66E0683D"/>
    <w:rsid w:val="66EF68AF"/>
    <w:rsid w:val="66F43EFF"/>
    <w:rsid w:val="66FB71D3"/>
    <w:rsid w:val="66FD73EF"/>
    <w:rsid w:val="67006EDF"/>
    <w:rsid w:val="672C55DE"/>
    <w:rsid w:val="674212A6"/>
    <w:rsid w:val="67486190"/>
    <w:rsid w:val="67542D87"/>
    <w:rsid w:val="676236F6"/>
    <w:rsid w:val="676F196F"/>
    <w:rsid w:val="678A67A9"/>
    <w:rsid w:val="6796514D"/>
    <w:rsid w:val="67A468F0"/>
    <w:rsid w:val="67B657F0"/>
    <w:rsid w:val="67D24D72"/>
    <w:rsid w:val="67D77C40"/>
    <w:rsid w:val="67E8743B"/>
    <w:rsid w:val="67EB5499"/>
    <w:rsid w:val="67EE31DB"/>
    <w:rsid w:val="67FA392E"/>
    <w:rsid w:val="67FA7381"/>
    <w:rsid w:val="68077DF9"/>
    <w:rsid w:val="680B78E9"/>
    <w:rsid w:val="68152516"/>
    <w:rsid w:val="68190258"/>
    <w:rsid w:val="681A5D7E"/>
    <w:rsid w:val="682C2CE0"/>
    <w:rsid w:val="683055A2"/>
    <w:rsid w:val="683706DE"/>
    <w:rsid w:val="684828EC"/>
    <w:rsid w:val="6848469A"/>
    <w:rsid w:val="684A0494"/>
    <w:rsid w:val="68590208"/>
    <w:rsid w:val="68617509"/>
    <w:rsid w:val="687234C5"/>
    <w:rsid w:val="687A681D"/>
    <w:rsid w:val="688B27D8"/>
    <w:rsid w:val="68907DEF"/>
    <w:rsid w:val="689C49E5"/>
    <w:rsid w:val="689F6284"/>
    <w:rsid w:val="68A35D74"/>
    <w:rsid w:val="68AA7102"/>
    <w:rsid w:val="68B24209"/>
    <w:rsid w:val="68BB130F"/>
    <w:rsid w:val="68C33D20"/>
    <w:rsid w:val="68D23321"/>
    <w:rsid w:val="68D26659"/>
    <w:rsid w:val="68D45F2D"/>
    <w:rsid w:val="68D777CC"/>
    <w:rsid w:val="68F81586"/>
    <w:rsid w:val="68FD36D6"/>
    <w:rsid w:val="69087CA5"/>
    <w:rsid w:val="690B4CB3"/>
    <w:rsid w:val="690C3919"/>
    <w:rsid w:val="691B0000"/>
    <w:rsid w:val="691C78D4"/>
    <w:rsid w:val="692C7B17"/>
    <w:rsid w:val="693D7F76"/>
    <w:rsid w:val="69456E2B"/>
    <w:rsid w:val="69482477"/>
    <w:rsid w:val="694D7A8E"/>
    <w:rsid w:val="69584DB0"/>
    <w:rsid w:val="69601EB7"/>
    <w:rsid w:val="696279DD"/>
    <w:rsid w:val="69653029"/>
    <w:rsid w:val="696C35A9"/>
    <w:rsid w:val="696D0F78"/>
    <w:rsid w:val="69821E2D"/>
    <w:rsid w:val="69881A1D"/>
    <w:rsid w:val="69894F6A"/>
    <w:rsid w:val="698C6808"/>
    <w:rsid w:val="69994160"/>
    <w:rsid w:val="699F653B"/>
    <w:rsid w:val="69B33D95"/>
    <w:rsid w:val="69B55D5F"/>
    <w:rsid w:val="69B67D29"/>
    <w:rsid w:val="69D57881"/>
    <w:rsid w:val="69D87C9F"/>
    <w:rsid w:val="69E41AED"/>
    <w:rsid w:val="69E5416A"/>
    <w:rsid w:val="6A026ACA"/>
    <w:rsid w:val="6A0E546F"/>
    <w:rsid w:val="6A1B7B8C"/>
    <w:rsid w:val="6A301889"/>
    <w:rsid w:val="6A356EA0"/>
    <w:rsid w:val="6A3A4BE5"/>
    <w:rsid w:val="6A401D0B"/>
    <w:rsid w:val="6A4315BC"/>
    <w:rsid w:val="6A507835"/>
    <w:rsid w:val="6A570BC4"/>
    <w:rsid w:val="6A5B7870"/>
    <w:rsid w:val="6A664983"/>
    <w:rsid w:val="6A6D6639"/>
    <w:rsid w:val="6A773014"/>
    <w:rsid w:val="6A7D43A3"/>
    <w:rsid w:val="6A7E25F5"/>
    <w:rsid w:val="6A841BD5"/>
    <w:rsid w:val="6A902328"/>
    <w:rsid w:val="6A9040D6"/>
    <w:rsid w:val="6A96343D"/>
    <w:rsid w:val="6AA45DD3"/>
    <w:rsid w:val="6AA54025"/>
    <w:rsid w:val="6AA656A7"/>
    <w:rsid w:val="6AAD4C88"/>
    <w:rsid w:val="6AB2229E"/>
    <w:rsid w:val="6ABC311D"/>
    <w:rsid w:val="6AC36259"/>
    <w:rsid w:val="6AD0778C"/>
    <w:rsid w:val="6AE368FC"/>
    <w:rsid w:val="6AE9637D"/>
    <w:rsid w:val="6B047EB9"/>
    <w:rsid w:val="6B054AC4"/>
    <w:rsid w:val="6B0D274F"/>
    <w:rsid w:val="6B2A277C"/>
    <w:rsid w:val="6B2D6E6C"/>
    <w:rsid w:val="6B2F1B41"/>
    <w:rsid w:val="6B382482"/>
    <w:rsid w:val="6B3B04E6"/>
    <w:rsid w:val="6B3E1D84"/>
    <w:rsid w:val="6B4355EC"/>
    <w:rsid w:val="6B44607D"/>
    <w:rsid w:val="6B4F3F91"/>
    <w:rsid w:val="6B5A722E"/>
    <w:rsid w:val="6B5B0B88"/>
    <w:rsid w:val="6B684CD6"/>
    <w:rsid w:val="6B6F1F3D"/>
    <w:rsid w:val="6B785296"/>
    <w:rsid w:val="6B8312D6"/>
    <w:rsid w:val="6B851761"/>
    <w:rsid w:val="6B927388"/>
    <w:rsid w:val="6B9876E6"/>
    <w:rsid w:val="6BB424A0"/>
    <w:rsid w:val="6BBB5183"/>
    <w:rsid w:val="6BBF65E7"/>
    <w:rsid w:val="6BCC55E2"/>
    <w:rsid w:val="6BD12BF8"/>
    <w:rsid w:val="6BDB5825"/>
    <w:rsid w:val="6BE04BE9"/>
    <w:rsid w:val="6BE446D9"/>
    <w:rsid w:val="6BE56D52"/>
    <w:rsid w:val="6BE91CF0"/>
    <w:rsid w:val="6BEA3CBA"/>
    <w:rsid w:val="6BEC5C84"/>
    <w:rsid w:val="6BF6265F"/>
    <w:rsid w:val="6C16685D"/>
    <w:rsid w:val="6C1843BD"/>
    <w:rsid w:val="6C187A46"/>
    <w:rsid w:val="6C2076DB"/>
    <w:rsid w:val="6C21592D"/>
    <w:rsid w:val="6C2B67AC"/>
    <w:rsid w:val="6C3870FA"/>
    <w:rsid w:val="6C39469E"/>
    <w:rsid w:val="6C3A69EF"/>
    <w:rsid w:val="6C3C2767"/>
    <w:rsid w:val="6C3F5DB4"/>
    <w:rsid w:val="6C3F7B62"/>
    <w:rsid w:val="6C5630FD"/>
    <w:rsid w:val="6C57295E"/>
    <w:rsid w:val="6C6A134C"/>
    <w:rsid w:val="6C77554D"/>
    <w:rsid w:val="6C801A18"/>
    <w:rsid w:val="6C801D1E"/>
    <w:rsid w:val="6C8D4D71"/>
    <w:rsid w:val="6C924135"/>
    <w:rsid w:val="6C9C1458"/>
    <w:rsid w:val="6C9F4AA4"/>
    <w:rsid w:val="6CA125CA"/>
    <w:rsid w:val="6CA709F7"/>
    <w:rsid w:val="6CCC4204"/>
    <w:rsid w:val="6CD97B29"/>
    <w:rsid w:val="6CDF1345"/>
    <w:rsid w:val="6CE150BD"/>
    <w:rsid w:val="6CE4167D"/>
    <w:rsid w:val="6CF36344"/>
    <w:rsid w:val="6CF46B9E"/>
    <w:rsid w:val="6CFF4B44"/>
    <w:rsid w:val="6D0234C5"/>
    <w:rsid w:val="6D042B59"/>
    <w:rsid w:val="6D090170"/>
    <w:rsid w:val="6D147240"/>
    <w:rsid w:val="6D163255"/>
    <w:rsid w:val="6D176D30"/>
    <w:rsid w:val="6D1C60F5"/>
    <w:rsid w:val="6D205BE5"/>
    <w:rsid w:val="6D2452A0"/>
    <w:rsid w:val="6D3161C1"/>
    <w:rsid w:val="6D317DF2"/>
    <w:rsid w:val="6D367F25"/>
    <w:rsid w:val="6D433682"/>
    <w:rsid w:val="6D4573FA"/>
    <w:rsid w:val="6D4A2B16"/>
    <w:rsid w:val="6D57537F"/>
    <w:rsid w:val="6D7C3A5A"/>
    <w:rsid w:val="6D82064E"/>
    <w:rsid w:val="6D8536B7"/>
    <w:rsid w:val="6D8C327A"/>
    <w:rsid w:val="6D967C55"/>
    <w:rsid w:val="6D9E4D5C"/>
    <w:rsid w:val="6DA22A9E"/>
    <w:rsid w:val="6DA46F1D"/>
    <w:rsid w:val="6DA5433C"/>
    <w:rsid w:val="6DAC56CB"/>
    <w:rsid w:val="6DB85E1E"/>
    <w:rsid w:val="6DC26C9C"/>
    <w:rsid w:val="6DD10C8D"/>
    <w:rsid w:val="6DD30EA9"/>
    <w:rsid w:val="6DD51F33"/>
    <w:rsid w:val="6DEA7FA1"/>
    <w:rsid w:val="6DEC5AC7"/>
    <w:rsid w:val="6DF17581"/>
    <w:rsid w:val="6DF36E56"/>
    <w:rsid w:val="6DF42BCE"/>
    <w:rsid w:val="6E1051A7"/>
    <w:rsid w:val="6E11598F"/>
    <w:rsid w:val="6E1374F8"/>
    <w:rsid w:val="6E14501E"/>
    <w:rsid w:val="6E190816"/>
    <w:rsid w:val="6E1D0376"/>
    <w:rsid w:val="6E210F2F"/>
    <w:rsid w:val="6E2C680B"/>
    <w:rsid w:val="6E386F5E"/>
    <w:rsid w:val="6E3909E4"/>
    <w:rsid w:val="6E443B55"/>
    <w:rsid w:val="6E5518BE"/>
    <w:rsid w:val="6E557B10"/>
    <w:rsid w:val="6E685499"/>
    <w:rsid w:val="6E745E0C"/>
    <w:rsid w:val="6E804461"/>
    <w:rsid w:val="6E8421A4"/>
    <w:rsid w:val="6E900B48"/>
    <w:rsid w:val="6E930639"/>
    <w:rsid w:val="6E964D33"/>
    <w:rsid w:val="6E9D3265"/>
    <w:rsid w:val="6EA445F4"/>
    <w:rsid w:val="6EAE7221"/>
    <w:rsid w:val="6EB3303F"/>
    <w:rsid w:val="6EB5235D"/>
    <w:rsid w:val="6ECE1390"/>
    <w:rsid w:val="6EE27039"/>
    <w:rsid w:val="6EE90259"/>
    <w:rsid w:val="6EEE3AC1"/>
    <w:rsid w:val="6EF07839"/>
    <w:rsid w:val="6EF47329"/>
    <w:rsid w:val="6EF94687"/>
    <w:rsid w:val="6EFE3D04"/>
    <w:rsid w:val="6F0137F4"/>
    <w:rsid w:val="6F084B83"/>
    <w:rsid w:val="6F157AAF"/>
    <w:rsid w:val="6F2968A7"/>
    <w:rsid w:val="6F2D6397"/>
    <w:rsid w:val="6F2E3EBD"/>
    <w:rsid w:val="6F2F0361"/>
    <w:rsid w:val="6F3516F0"/>
    <w:rsid w:val="6F4B0F13"/>
    <w:rsid w:val="6F4E7BAF"/>
    <w:rsid w:val="6F5B1156"/>
    <w:rsid w:val="6F60676D"/>
    <w:rsid w:val="6F7E3097"/>
    <w:rsid w:val="6F811C8E"/>
    <w:rsid w:val="6FA348AB"/>
    <w:rsid w:val="6FB30DC2"/>
    <w:rsid w:val="6FB77FEC"/>
    <w:rsid w:val="6FBE3493"/>
    <w:rsid w:val="6FC22B43"/>
    <w:rsid w:val="6FC52A74"/>
    <w:rsid w:val="6FC7059A"/>
    <w:rsid w:val="6FC82564"/>
    <w:rsid w:val="6FCF744E"/>
    <w:rsid w:val="6FD46699"/>
    <w:rsid w:val="6FDC6A13"/>
    <w:rsid w:val="6FE0340A"/>
    <w:rsid w:val="6FE078AE"/>
    <w:rsid w:val="6FEC0000"/>
    <w:rsid w:val="6FEC1DAE"/>
    <w:rsid w:val="6FEF5D43"/>
    <w:rsid w:val="6FEF7AF1"/>
    <w:rsid w:val="6FFE5F86"/>
    <w:rsid w:val="70052E70"/>
    <w:rsid w:val="700F3CEF"/>
    <w:rsid w:val="70147557"/>
    <w:rsid w:val="70182BA3"/>
    <w:rsid w:val="70253512"/>
    <w:rsid w:val="702A0B29"/>
    <w:rsid w:val="703127B0"/>
    <w:rsid w:val="7036127C"/>
    <w:rsid w:val="703A6FBE"/>
    <w:rsid w:val="70441BEA"/>
    <w:rsid w:val="704439FA"/>
    <w:rsid w:val="704936A5"/>
    <w:rsid w:val="704D61EB"/>
    <w:rsid w:val="705F07D2"/>
    <w:rsid w:val="707324D0"/>
    <w:rsid w:val="7075449A"/>
    <w:rsid w:val="70757FF6"/>
    <w:rsid w:val="70765B1C"/>
    <w:rsid w:val="707A385E"/>
    <w:rsid w:val="7089584F"/>
    <w:rsid w:val="70A50689"/>
    <w:rsid w:val="70AE3A2A"/>
    <w:rsid w:val="70BD374B"/>
    <w:rsid w:val="70BD7BEF"/>
    <w:rsid w:val="70CC1D88"/>
    <w:rsid w:val="70DA60AB"/>
    <w:rsid w:val="70DB0321"/>
    <w:rsid w:val="70E231B1"/>
    <w:rsid w:val="70E74427"/>
    <w:rsid w:val="7104581E"/>
    <w:rsid w:val="710B6BAC"/>
    <w:rsid w:val="71182902"/>
    <w:rsid w:val="711D243B"/>
    <w:rsid w:val="711D5C6C"/>
    <w:rsid w:val="711E68DF"/>
    <w:rsid w:val="71211ADC"/>
    <w:rsid w:val="71211F2C"/>
    <w:rsid w:val="71235CA4"/>
    <w:rsid w:val="712612F0"/>
    <w:rsid w:val="712E63F7"/>
    <w:rsid w:val="71327FAE"/>
    <w:rsid w:val="714125CE"/>
    <w:rsid w:val="714B373D"/>
    <w:rsid w:val="71542301"/>
    <w:rsid w:val="71573B9F"/>
    <w:rsid w:val="715E0A8A"/>
    <w:rsid w:val="716B764B"/>
    <w:rsid w:val="717C3606"/>
    <w:rsid w:val="71950224"/>
    <w:rsid w:val="71A05546"/>
    <w:rsid w:val="71B66B18"/>
    <w:rsid w:val="71CB1E97"/>
    <w:rsid w:val="71DC4440"/>
    <w:rsid w:val="71E115C1"/>
    <w:rsid w:val="71F17B50"/>
    <w:rsid w:val="71F92EA9"/>
    <w:rsid w:val="71FB277D"/>
    <w:rsid w:val="72253C9E"/>
    <w:rsid w:val="72275556"/>
    <w:rsid w:val="722E5754"/>
    <w:rsid w:val="723E771D"/>
    <w:rsid w:val="724203AC"/>
    <w:rsid w:val="72457E9C"/>
    <w:rsid w:val="724F2AC9"/>
    <w:rsid w:val="72514A93"/>
    <w:rsid w:val="725325B9"/>
    <w:rsid w:val="72600832"/>
    <w:rsid w:val="72665484"/>
    <w:rsid w:val="72730565"/>
    <w:rsid w:val="727A2B5F"/>
    <w:rsid w:val="727A6A6D"/>
    <w:rsid w:val="72AB5F51"/>
    <w:rsid w:val="72AE5A41"/>
    <w:rsid w:val="72C47013"/>
    <w:rsid w:val="72C830E4"/>
    <w:rsid w:val="72D059B7"/>
    <w:rsid w:val="72D51220"/>
    <w:rsid w:val="72D80D10"/>
    <w:rsid w:val="72DF5BFA"/>
    <w:rsid w:val="72E36D0B"/>
    <w:rsid w:val="72E72D01"/>
    <w:rsid w:val="72EE22E1"/>
    <w:rsid w:val="72F1592E"/>
    <w:rsid w:val="73041B05"/>
    <w:rsid w:val="73155AC0"/>
    <w:rsid w:val="7318178E"/>
    <w:rsid w:val="731B2ABD"/>
    <w:rsid w:val="73243F55"/>
    <w:rsid w:val="733A5527"/>
    <w:rsid w:val="73426189"/>
    <w:rsid w:val="7343262D"/>
    <w:rsid w:val="73440865"/>
    <w:rsid w:val="73490AA0"/>
    <w:rsid w:val="734C0DB6"/>
    <w:rsid w:val="735E192B"/>
    <w:rsid w:val="735E7467"/>
    <w:rsid w:val="736C2616"/>
    <w:rsid w:val="736E51D0"/>
    <w:rsid w:val="737E5413"/>
    <w:rsid w:val="738A200A"/>
    <w:rsid w:val="73944C37"/>
    <w:rsid w:val="739A5FC5"/>
    <w:rsid w:val="73A56E44"/>
    <w:rsid w:val="73AC08B8"/>
    <w:rsid w:val="73B01345"/>
    <w:rsid w:val="73C835C4"/>
    <w:rsid w:val="73D56FFD"/>
    <w:rsid w:val="73FC27DC"/>
    <w:rsid w:val="74082F2F"/>
    <w:rsid w:val="740C2DE4"/>
    <w:rsid w:val="74131155"/>
    <w:rsid w:val="7428616B"/>
    <w:rsid w:val="7431574E"/>
    <w:rsid w:val="743273F9"/>
    <w:rsid w:val="743326A2"/>
    <w:rsid w:val="74376AB1"/>
    <w:rsid w:val="745B7503"/>
    <w:rsid w:val="74675EA7"/>
    <w:rsid w:val="748928BF"/>
    <w:rsid w:val="74A7141D"/>
    <w:rsid w:val="74B51309"/>
    <w:rsid w:val="74B9247B"/>
    <w:rsid w:val="74B97DB4"/>
    <w:rsid w:val="74C13EF1"/>
    <w:rsid w:val="74C4154C"/>
    <w:rsid w:val="74D84FF7"/>
    <w:rsid w:val="74DC4AE7"/>
    <w:rsid w:val="74DD3606"/>
    <w:rsid w:val="74E03F88"/>
    <w:rsid w:val="74E476E3"/>
    <w:rsid w:val="74F3598D"/>
    <w:rsid w:val="74FA6D1C"/>
    <w:rsid w:val="74FB2A94"/>
    <w:rsid w:val="750A2372"/>
    <w:rsid w:val="750C4CA1"/>
    <w:rsid w:val="75141E4F"/>
    <w:rsid w:val="752E10BB"/>
    <w:rsid w:val="754B1743"/>
    <w:rsid w:val="754B57C9"/>
    <w:rsid w:val="7561323F"/>
    <w:rsid w:val="756B5E6B"/>
    <w:rsid w:val="756D0068"/>
    <w:rsid w:val="75703482"/>
    <w:rsid w:val="75705230"/>
    <w:rsid w:val="75752846"/>
    <w:rsid w:val="757C1E26"/>
    <w:rsid w:val="75932CCC"/>
    <w:rsid w:val="75C4732A"/>
    <w:rsid w:val="75D237F5"/>
    <w:rsid w:val="75E34125"/>
    <w:rsid w:val="75E63744"/>
    <w:rsid w:val="75EA3234"/>
    <w:rsid w:val="75EB268A"/>
    <w:rsid w:val="75EF084A"/>
    <w:rsid w:val="75FD5230"/>
    <w:rsid w:val="75FE6CDF"/>
    <w:rsid w:val="761150E2"/>
    <w:rsid w:val="76164029"/>
    <w:rsid w:val="762D3121"/>
    <w:rsid w:val="763417C0"/>
    <w:rsid w:val="76366479"/>
    <w:rsid w:val="76375666"/>
    <w:rsid w:val="76393874"/>
    <w:rsid w:val="764010A6"/>
    <w:rsid w:val="7641097A"/>
    <w:rsid w:val="76481D09"/>
    <w:rsid w:val="765608C9"/>
    <w:rsid w:val="76676633"/>
    <w:rsid w:val="766823AB"/>
    <w:rsid w:val="767809D9"/>
    <w:rsid w:val="767945B8"/>
    <w:rsid w:val="767B3E8C"/>
    <w:rsid w:val="767F3E5C"/>
    <w:rsid w:val="76944F4E"/>
    <w:rsid w:val="76992564"/>
    <w:rsid w:val="76A9751B"/>
    <w:rsid w:val="76C9109B"/>
    <w:rsid w:val="76CA0970"/>
    <w:rsid w:val="76D37824"/>
    <w:rsid w:val="76E00193"/>
    <w:rsid w:val="76E22E3C"/>
    <w:rsid w:val="76E97048"/>
    <w:rsid w:val="76F81981"/>
    <w:rsid w:val="76FB5B92"/>
    <w:rsid w:val="76FD6F97"/>
    <w:rsid w:val="770245AD"/>
    <w:rsid w:val="77060EB2"/>
    <w:rsid w:val="77091498"/>
    <w:rsid w:val="771A36A5"/>
    <w:rsid w:val="772F154E"/>
    <w:rsid w:val="77303C08"/>
    <w:rsid w:val="7731279D"/>
    <w:rsid w:val="77324E93"/>
    <w:rsid w:val="773B1232"/>
    <w:rsid w:val="773D55E5"/>
    <w:rsid w:val="77422BFC"/>
    <w:rsid w:val="774424D0"/>
    <w:rsid w:val="77495D38"/>
    <w:rsid w:val="774B5945"/>
    <w:rsid w:val="775A1CF3"/>
    <w:rsid w:val="77672662"/>
    <w:rsid w:val="7769462C"/>
    <w:rsid w:val="777234E1"/>
    <w:rsid w:val="777728A5"/>
    <w:rsid w:val="77866F8C"/>
    <w:rsid w:val="779B4EB7"/>
    <w:rsid w:val="779E208D"/>
    <w:rsid w:val="77A45665"/>
    <w:rsid w:val="77BA6C36"/>
    <w:rsid w:val="77D00208"/>
    <w:rsid w:val="77D71438"/>
    <w:rsid w:val="77D92E69"/>
    <w:rsid w:val="77EB3293"/>
    <w:rsid w:val="77EF68E0"/>
    <w:rsid w:val="77F9150C"/>
    <w:rsid w:val="781F4CEB"/>
    <w:rsid w:val="78236589"/>
    <w:rsid w:val="784D2456"/>
    <w:rsid w:val="78544995"/>
    <w:rsid w:val="785726D7"/>
    <w:rsid w:val="785B5D23"/>
    <w:rsid w:val="78650950"/>
    <w:rsid w:val="786571D2"/>
    <w:rsid w:val="786D1EFA"/>
    <w:rsid w:val="787119EB"/>
    <w:rsid w:val="788C2381"/>
    <w:rsid w:val="78911745"/>
    <w:rsid w:val="78915BE9"/>
    <w:rsid w:val="789254BD"/>
    <w:rsid w:val="78972AD3"/>
    <w:rsid w:val="78A31478"/>
    <w:rsid w:val="78AD22F7"/>
    <w:rsid w:val="78C23FF4"/>
    <w:rsid w:val="78CC4E73"/>
    <w:rsid w:val="78D15FE5"/>
    <w:rsid w:val="78D40079"/>
    <w:rsid w:val="78D45AD6"/>
    <w:rsid w:val="78DA706B"/>
    <w:rsid w:val="78DA7590"/>
    <w:rsid w:val="78DD2BDC"/>
    <w:rsid w:val="78E24696"/>
    <w:rsid w:val="79002D6F"/>
    <w:rsid w:val="790939D1"/>
    <w:rsid w:val="790A7EA5"/>
    <w:rsid w:val="79110AD8"/>
    <w:rsid w:val="79116D2A"/>
    <w:rsid w:val="7919798C"/>
    <w:rsid w:val="791A26BE"/>
    <w:rsid w:val="79246A5D"/>
    <w:rsid w:val="792702FB"/>
    <w:rsid w:val="793547C6"/>
    <w:rsid w:val="793D367B"/>
    <w:rsid w:val="79440EAD"/>
    <w:rsid w:val="79444A09"/>
    <w:rsid w:val="794F5DED"/>
    <w:rsid w:val="795F4876"/>
    <w:rsid w:val="7961380D"/>
    <w:rsid w:val="79667075"/>
    <w:rsid w:val="797352EE"/>
    <w:rsid w:val="79892D64"/>
    <w:rsid w:val="79893B10"/>
    <w:rsid w:val="798B1E89"/>
    <w:rsid w:val="798C63B0"/>
    <w:rsid w:val="79984D55"/>
    <w:rsid w:val="799A6FEE"/>
    <w:rsid w:val="79A25BD4"/>
    <w:rsid w:val="79A33E26"/>
    <w:rsid w:val="79A547A8"/>
    <w:rsid w:val="79BA4CCB"/>
    <w:rsid w:val="79BD656A"/>
    <w:rsid w:val="79BF322E"/>
    <w:rsid w:val="79BF6786"/>
    <w:rsid w:val="79CA1060"/>
    <w:rsid w:val="79D33FDF"/>
    <w:rsid w:val="79DB2C2E"/>
    <w:rsid w:val="79E41D48"/>
    <w:rsid w:val="79E63D12"/>
    <w:rsid w:val="79E93803"/>
    <w:rsid w:val="79FF3026"/>
    <w:rsid w:val="7A010B4C"/>
    <w:rsid w:val="7A056565"/>
    <w:rsid w:val="7A067F11"/>
    <w:rsid w:val="7A0A6F09"/>
    <w:rsid w:val="7A0B1E21"/>
    <w:rsid w:val="7A100D8F"/>
    <w:rsid w:val="7A1268B5"/>
    <w:rsid w:val="7A146AD1"/>
    <w:rsid w:val="7A17211E"/>
    <w:rsid w:val="7A1A39BC"/>
    <w:rsid w:val="7A2A25EE"/>
    <w:rsid w:val="7A2B5BC9"/>
    <w:rsid w:val="7A2D1FFE"/>
    <w:rsid w:val="7A344A7E"/>
    <w:rsid w:val="7A356A48"/>
    <w:rsid w:val="7A3E2F83"/>
    <w:rsid w:val="7A4F18B8"/>
    <w:rsid w:val="7A543372"/>
    <w:rsid w:val="7A653177"/>
    <w:rsid w:val="7A6B4218"/>
    <w:rsid w:val="7A793CFE"/>
    <w:rsid w:val="7A807CC3"/>
    <w:rsid w:val="7A835A05"/>
    <w:rsid w:val="7AA00365"/>
    <w:rsid w:val="7AAC4F5C"/>
    <w:rsid w:val="7AB43E11"/>
    <w:rsid w:val="7ABE2599"/>
    <w:rsid w:val="7ABE4C8F"/>
    <w:rsid w:val="7ACC7E0E"/>
    <w:rsid w:val="7ADB314B"/>
    <w:rsid w:val="7ADD3367"/>
    <w:rsid w:val="7AE85868"/>
    <w:rsid w:val="7AEF529C"/>
    <w:rsid w:val="7AFB37ED"/>
    <w:rsid w:val="7B0326A2"/>
    <w:rsid w:val="7B09415C"/>
    <w:rsid w:val="7B0A3A31"/>
    <w:rsid w:val="7B164183"/>
    <w:rsid w:val="7B18439F"/>
    <w:rsid w:val="7B3D1CC7"/>
    <w:rsid w:val="7B542EFE"/>
    <w:rsid w:val="7B576879"/>
    <w:rsid w:val="7B582DA9"/>
    <w:rsid w:val="7B593C41"/>
    <w:rsid w:val="7B5F013D"/>
    <w:rsid w:val="7B643141"/>
    <w:rsid w:val="7B6E0463"/>
    <w:rsid w:val="7B713AB0"/>
    <w:rsid w:val="7B7535A0"/>
    <w:rsid w:val="7B787C13"/>
    <w:rsid w:val="7B7A2964"/>
    <w:rsid w:val="7B8732D3"/>
    <w:rsid w:val="7B914152"/>
    <w:rsid w:val="7B917CAE"/>
    <w:rsid w:val="7B9D6653"/>
    <w:rsid w:val="7BB37C24"/>
    <w:rsid w:val="7BB64749"/>
    <w:rsid w:val="7BE44282"/>
    <w:rsid w:val="7BED2E7E"/>
    <w:rsid w:val="7BFE17E7"/>
    <w:rsid w:val="7C0466D2"/>
    <w:rsid w:val="7C091F3A"/>
    <w:rsid w:val="7C0F6133"/>
    <w:rsid w:val="7C211032"/>
    <w:rsid w:val="7C2B3325"/>
    <w:rsid w:val="7C30396B"/>
    <w:rsid w:val="7C321491"/>
    <w:rsid w:val="7C38520D"/>
    <w:rsid w:val="7C417926"/>
    <w:rsid w:val="7C480CB4"/>
    <w:rsid w:val="7C490589"/>
    <w:rsid w:val="7C541407"/>
    <w:rsid w:val="7C6158D2"/>
    <w:rsid w:val="7C6A0554"/>
    <w:rsid w:val="7C833DC2"/>
    <w:rsid w:val="7C896BD7"/>
    <w:rsid w:val="7C943EFA"/>
    <w:rsid w:val="7C99604F"/>
    <w:rsid w:val="7C9C690A"/>
    <w:rsid w:val="7CAB1A09"/>
    <w:rsid w:val="7CB43C54"/>
    <w:rsid w:val="7CCA3B48"/>
    <w:rsid w:val="7CD24A22"/>
    <w:rsid w:val="7CDB7433"/>
    <w:rsid w:val="7CDE5175"/>
    <w:rsid w:val="7CE3278B"/>
    <w:rsid w:val="7CE86B15"/>
    <w:rsid w:val="7CEA1D6C"/>
    <w:rsid w:val="7CF91FAF"/>
    <w:rsid w:val="7D006E99"/>
    <w:rsid w:val="7D020E63"/>
    <w:rsid w:val="7D0F3580"/>
    <w:rsid w:val="7D126BCC"/>
    <w:rsid w:val="7D160888"/>
    <w:rsid w:val="7D1E5AD5"/>
    <w:rsid w:val="7D2232B3"/>
    <w:rsid w:val="7D2A1551"/>
    <w:rsid w:val="7D2D3A06"/>
    <w:rsid w:val="7D311748"/>
    <w:rsid w:val="7D357247"/>
    <w:rsid w:val="7D3905FD"/>
    <w:rsid w:val="7D40198C"/>
    <w:rsid w:val="7D407BDD"/>
    <w:rsid w:val="7D425704"/>
    <w:rsid w:val="7D44147C"/>
    <w:rsid w:val="7D46394A"/>
    <w:rsid w:val="7D4821C7"/>
    <w:rsid w:val="7D537911"/>
    <w:rsid w:val="7D5B2791"/>
    <w:rsid w:val="7D5B4A17"/>
    <w:rsid w:val="7D5E0829"/>
    <w:rsid w:val="7D5F62B6"/>
    <w:rsid w:val="7D60202E"/>
    <w:rsid w:val="7D6513F2"/>
    <w:rsid w:val="7D761851"/>
    <w:rsid w:val="7D781125"/>
    <w:rsid w:val="7D7B29C4"/>
    <w:rsid w:val="7D7F24B4"/>
    <w:rsid w:val="7D891584"/>
    <w:rsid w:val="7D937D0D"/>
    <w:rsid w:val="7D951CD7"/>
    <w:rsid w:val="7D9615AC"/>
    <w:rsid w:val="7DA43CC8"/>
    <w:rsid w:val="7DD56578"/>
    <w:rsid w:val="7DD91BFC"/>
    <w:rsid w:val="7DDA5E37"/>
    <w:rsid w:val="7DE44A0D"/>
    <w:rsid w:val="7DE467BB"/>
    <w:rsid w:val="7DEB7C96"/>
    <w:rsid w:val="7DEE3196"/>
    <w:rsid w:val="7DF12C86"/>
    <w:rsid w:val="7DF369FE"/>
    <w:rsid w:val="7DF54524"/>
    <w:rsid w:val="7E002EC9"/>
    <w:rsid w:val="7E0D1B9F"/>
    <w:rsid w:val="7E1C7D03"/>
    <w:rsid w:val="7E21356B"/>
    <w:rsid w:val="7E2B263C"/>
    <w:rsid w:val="7E447259"/>
    <w:rsid w:val="7E4B3379"/>
    <w:rsid w:val="7E5E656D"/>
    <w:rsid w:val="7E6C518C"/>
    <w:rsid w:val="7E6D4A02"/>
    <w:rsid w:val="7E755665"/>
    <w:rsid w:val="7E762DB4"/>
    <w:rsid w:val="7E763467"/>
    <w:rsid w:val="7E81400A"/>
    <w:rsid w:val="7EA0044B"/>
    <w:rsid w:val="7EA45F4A"/>
    <w:rsid w:val="7EBA6B6C"/>
    <w:rsid w:val="7EBC14E6"/>
    <w:rsid w:val="7EC565EC"/>
    <w:rsid w:val="7EE4500E"/>
    <w:rsid w:val="7EE60311"/>
    <w:rsid w:val="7EEB6393"/>
    <w:rsid w:val="7EED154A"/>
    <w:rsid w:val="7EF02F3D"/>
    <w:rsid w:val="7EF40C80"/>
    <w:rsid w:val="7EF742CC"/>
    <w:rsid w:val="7EFC18E2"/>
    <w:rsid w:val="7EFE1AFE"/>
    <w:rsid w:val="7F0B337E"/>
    <w:rsid w:val="7F0C5FC9"/>
    <w:rsid w:val="7F115666"/>
    <w:rsid w:val="7F172CD6"/>
    <w:rsid w:val="7F1765FE"/>
    <w:rsid w:val="7F1B26B0"/>
    <w:rsid w:val="7F28021D"/>
    <w:rsid w:val="7F330A6C"/>
    <w:rsid w:val="7F475176"/>
    <w:rsid w:val="7F4A4D43"/>
    <w:rsid w:val="7F4F4108"/>
    <w:rsid w:val="7F5B2E48"/>
    <w:rsid w:val="7F631961"/>
    <w:rsid w:val="7F69341C"/>
    <w:rsid w:val="7F6F47AA"/>
    <w:rsid w:val="7F7141D8"/>
    <w:rsid w:val="7F7F5C7C"/>
    <w:rsid w:val="7F805EED"/>
    <w:rsid w:val="7F8B714F"/>
    <w:rsid w:val="7F930498"/>
    <w:rsid w:val="7F932247"/>
    <w:rsid w:val="7F967F89"/>
    <w:rsid w:val="7FB87EFF"/>
    <w:rsid w:val="7FD05249"/>
    <w:rsid w:val="7FD13457"/>
    <w:rsid w:val="7FE9455C"/>
    <w:rsid w:val="7FF26E7E"/>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1120"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32"/>
    <w:qFormat/>
    <w:uiPriority w:val="0"/>
    <w:pPr>
      <w:keepNext/>
      <w:keepLines/>
      <w:spacing w:beforeLines="0" w:beforeAutospacing="0" w:after="100" w:afterLines="100" w:afterAutospacing="0" w:line="560" w:lineRule="exact"/>
      <w:ind w:firstLine="0" w:firstLineChars="0"/>
      <w:jc w:val="center"/>
      <w:outlineLvl w:val="0"/>
    </w:pPr>
    <w:rPr>
      <w:rFonts w:eastAsia="方正小标宋简体"/>
      <w:kern w:val="44"/>
      <w:sz w:val="40"/>
    </w:rPr>
  </w:style>
  <w:style w:type="paragraph" w:styleId="3">
    <w:name w:val="heading 2"/>
    <w:basedOn w:val="1"/>
    <w:next w:val="1"/>
    <w:unhideWhenUsed/>
    <w:qFormat/>
    <w:uiPriority w:val="0"/>
    <w:pPr>
      <w:keepNext/>
      <w:keepLines/>
      <w:spacing w:before="50" w:beforeLines="50" w:after="50" w:afterLines="50" w:line="560" w:lineRule="exact"/>
      <w:ind w:firstLine="0" w:firstLineChars="0"/>
      <w:jc w:val="center"/>
      <w:outlineLvl w:val="1"/>
    </w:pPr>
    <w:rPr>
      <w:rFonts w:ascii="Arial" w:hAnsi="Arial" w:eastAsia="黑体"/>
      <w:sz w:val="36"/>
    </w:rPr>
  </w:style>
  <w:style w:type="paragraph" w:styleId="4">
    <w:name w:val="heading 3"/>
    <w:basedOn w:val="1"/>
    <w:next w:val="1"/>
    <w:link w:val="31"/>
    <w:unhideWhenUsed/>
    <w:qFormat/>
    <w:uiPriority w:val="0"/>
    <w:pPr>
      <w:keepNext/>
      <w:keepLines/>
      <w:spacing w:afterLines="0" w:line="560" w:lineRule="exact"/>
      <w:outlineLvl w:val="2"/>
    </w:pPr>
    <w:rPr>
      <w:rFonts w:eastAsia="楷体_GB231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Calibri" w:hAnsi="Calibri"/>
    </w:rPr>
  </w:style>
  <w:style w:type="paragraph" w:styleId="6">
    <w:name w:val="annotation text"/>
    <w:basedOn w:val="1"/>
    <w:qFormat/>
    <w:uiPriority w:val="0"/>
    <w:pPr>
      <w:jc w:val="left"/>
    </w:pPr>
  </w:style>
  <w:style w:type="paragraph" w:styleId="7">
    <w:name w:val="Body Text"/>
    <w:basedOn w:val="1"/>
    <w:qFormat/>
    <w:uiPriority w:val="0"/>
    <w:pPr>
      <w:jc w:val="center"/>
    </w:pPr>
    <w:rPr>
      <w:bCs/>
      <w:sz w:val="4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footnote text"/>
    <w:basedOn w:val="1"/>
    <w:qFormat/>
    <w:uiPriority w:val="0"/>
    <w:pPr>
      <w:snapToGrid w:val="0"/>
      <w:jc w:val="left"/>
    </w:pPr>
    <w:rPr>
      <w:sz w:val="18"/>
    </w:rPr>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0"/>
    <w:pPr>
      <w:widowControl w:val="0"/>
      <w:spacing w:before="100" w:beforeAutospacing="1" w:after="60"/>
      <w:ind w:firstLine="200" w:firstLineChars="200"/>
      <w:jc w:val="center"/>
      <w:outlineLvl w:val="0"/>
    </w:pPr>
    <w:rPr>
      <w:rFonts w:ascii="Arial" w:hAnsi="Arial" w:cs="Arial"/>
      <w:b/>
      <w:bCs/>
      <w:kern w:val="2"/>
      <w:sz w:val="32"/>
      <w:szCs w:val="32"/>
      <w:lang w:val="en-US" w:eastAsia="zh-CN"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rFonts w:ascii="方正楷体_GBK" w:hAnsi="Calibri" w:eastAsia="方正楷体_GBK" w:cs="宋体"/>
      <w:b/>
      <w:szCs w:val="32"/>
    </w:rPr>
  </w:style>
  <w:style w:type="character" w:styleId="19">
    <w:name w:val="Emphasis"/>
    <w:basedOn w:val="17"/>
    <w:qFormat/>
    <w:uiPriority w:val="0"/>
    <w:rPr>
      <w:i/>
    </w:rPr>
  </w:style>
  <w:style w:type="character" w:styleId="20">
    <w:name w:val="Hyperlink"/>
    <w:basedOn w:val="17"/>
    <w:qFormat/>
    <w:uiPriority w:val="0"/>
    <w:rPr>
      <w:color w:val="0000FF"/>
      <w:u w:val="single"/>
    </w:rPr>
  </w:style>
  <w:style w:type="character" w:styleId="21">
    <w:name w:val="footnote reference"/>
    <w:basedOn w:val="17"/>
    <w:qFormat/>
    <w:uiPriority w:val="0"/>
    <w:rPr>
      <w:vertAlign w:val="superscript"/>
    </w:rPr>
  </w:style>
  <w:style w:type="paragraph" w:customStyle="1" w:styleId="22">
    <w:name w:val="目录 11"/>
    <w:basedOn w:val="1"/>
    <w:next w:val="1"/>
    <w:qFormat/>
    <w:uiPriority w:val="39"/>
    <w:pPr>
      <w:spacing w:line="380" w:lineRule="exact"/>
      <w:ind w:firstLine="0" w:firstLineChars="0"/>
    </w:pPr>
    <w:rPr>
      <w:rFonts w:eastAsia="黑体"/>
      <w:sz w:val="24"/>
    </w:rPr>
  </w:style>
  <w:style w:type="character" w:customStyle="1" w:styleId="23">
    <w:name w:val="font21"/>
    <w:basedOn w:val="17"/>
    <w:qFormat/>
    <w:uiPriority w:val="0"/>
    <w:rPr>
      <w:rFonts w:hint="eastAsia" w:ascii="黑体" w:hAnsi="宋体" w:eastAsia="黑体" w:cs="黑体"/>
      <w:color w:val="000000"/>
      <w:sz w:val="21"/>
      <w:szCs w:val="21"/>
      <w:u w:val="none"/>
    </w:rPr>
  </w:style>
  <w:style w:type="character" w:customStyle="1" w:styleId="24">
    <w:name w:val="font51"/>
    <w:basedOn w:val="17"/>
    <w:qFormat/>
    <w:uiPriority w:val="0"/>
    <w:rPr>
      <w:rFonts w:hint="eastAsia" w:ascii="仿宋_GB2312" w:eastAsia="仿宋_GB2312" w:cs="仿宋_GB2312"/>
      <w:color w:val="000000"/>
      <w:sz w:val="21"/>
      <w:szCs w:val="21"/>
      <w:u w:val="none"/>
    </w:rPr>
  </w:style>
  <w:style w:type="character" w:customStyle="1" w:styleId="25">
    <w:name w:val="font41"/>
    <w:basedOn w:val="17"/>
    <w:qFormat/>
    <w:uiPriority w:val="0"/>
    <w:rPr>
      <w:rFonts w:hint="eastAsia" w:ascii="仿宋_GB2312" w:eastAsia="仿宋_GB2312" w:cs="仿宋_GB2312"/>
      <w:color w:val="000000"/>
      <w:sz w:val="21"/>
      <w:szCs w:val="21"/>
      <w:u w:val="none"/>
    </w:rPr>
  </w:style>
  <w:style w:type="paragraph" w:customStyle="1" w:styleId="26">
    <w:name w:val="专栏标题"/>
    <w:basedOn w:val="1"/>
    <w:qFormat/>
    <w:uiPriority w:val="0"/>
    <w:pPr>
      <w:spacing w:line="240" w:lineRule="auto"/>
      <w:ind w:firstLine="0" w:firstLineChars="0"/>
      <w:jc w:val="center"/>
    </w:pPr>
    <w:rPr>
      <w:rFonts w:ascii="Times New Roman" w:hAnsi="Times New Roman" w:eastAsia="方正小标宋简体" w:cs="Times New Roman"/>
      <w:sz w:val="24"/>
    </w:rPr>
  </w:style>
  <w:style w:type="paragraph" w:customStyle="1" w:styleId="27">
    <w:name w:val="专栏正文"/>
    <w:basedOn w:val="1"/>
    <w:qFormat/>
    <w:uiPriority w:val="0"/>
    <w:pPr>
      <w:spacing w:line="520" w:lineRule="exact"/>
    </w:pPr>
    <w:rPr>
      <w:rFonts w:ascii="Times New Roman" w:hAnsi="Times New Roman" w:eastAsia="宋体" w:cs="Times New Roman"/>
      <w:sz w:val="21"/>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 w:type="paragraph" w:customStyle="1" w:styleId="30">
    <w:name w:val="WPSOffice手动目录 3"/>
    <w:qFormat/>
    <w:uiPriority w:val="0"/>
    <w:pPr>
      <w:ind w:leftChars="400"/>
    </w:pPr>
    <w:rPr>
      <w:rFonts w:ascii="Times New Roman" w:hAnsi="Times New Roman" w:eastAsia="宋体" w:cs="Times New Roman"/>
      <w:sz w:val="20"/>
      <w:szCs w:val="20"/>
    </w:rPr>
  </w:style>
  <w:style w:type="character" w:customStyle="1" w:styleId="31">
    <w:name w:val="标题 3 Char"/>
    <w:link w:val="4"/>
    <w:qFormat/>
    <w:uiPriority w:val="0"/>
    <w:rPr>
      <w:rFonts w:eastAsia="楷体_GB2312"/>
    </w:rPr>
  </w:style>
  <w:style w:type="character" w:customStyle="1" w:styleId="32">
    <w:name w:val="标题 1 Char"/>
    <w:link w:val="2"/>
    <w:qFormat/>
    <w:uiPriority w:val="0"/>
    <w:rPr>
      <w:rFonts w:eastAsia="方正小标宋简体"/>
      <w:kern w:val="44"/>
      <w:sz w:val="40"/>
    </w:rPr>
  </w:style>
  <w:style w:type="table" w:customStyle="1" w:styleId="33">
    <w:name w:val="网格型1"/>
    <w:basedOn w:val="1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网格表 5 深色 - 着色 51"/>
    <w:basedOn w:val="15"/>
    <w:qFormat/>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AEEF3"/>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4BACC6"/>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4BACC6"/>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4BACC6"/>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4BACC6"/>
      </w:tcPr>
    </w:tblStylePr>
    <w:tblStylePr w:type="band1Vert">
      <w:tcPr>
        <w:shd w:val="clear" w:color="auto" w:fill="B6DDE8"/>
      </w:tcPr>
    </w:tblStylePr>
    <w:tblStylePr w:type="band1Horz">
      <w:tcPr>
        <w:shd w:val="clear" w:color="auto" w:fill="B6DDE8"/>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7809332c-23ce-48e2-8a2d-3cfdb15f90e0</errorID>
      <errorWord> </errorWord>
      <group>L1_Punc</group>
      <groupName>标点问题</groupName>
      <ability>L2_Punc</ability>
      <abilityName>标点符号检查</abilityName>
      <candidateList>
        <item/>
      </candidateList>
      <explain>此处空格冗余，建议删除。</explain>
      <paraID> 9B4AD14</paraID>
      <start>12</start>
      <end>13</end>
      <status>ignored</status>
      <modifiedWord/>
      <trackRevisions>false</trackRevisions>
    </reviewItem>
    <reviewItem>
      <errorID>011a2ce4-becb-41d5-a017-b7f923c49e79</errorID>
      <errorWord> </errorWord>
      <group>L1_Punc</group>
      <groupName>标点问题</groupName>
      <ability>L2_Punc</ability>
      <abilityName>标点符号检查</abilityName>
      <candidateList>
        <item/>
      </candidateList>
      <explain>此处空格冗余，建议删除。</explain>
      <paraID>3AAA11C5</paraID>
      <start>15</start>
      <end>16</end>
      <status>ignored</status>
      <modifiedWord/>
      <trackRevisions>false</trackRevisions>
    </reviewItem>
    <reviewItem>
      <errorID>9aed18c6-a592-410d-837a-294299342f6a</errorID>
      <errorWord>极不平凡、极不寻常</errorWord>
      <group>L1_Political</group>
      <groupName>政治性问题</groupName>
      <ability>L2_Keyword</ability>
      <abilityName>固定表述</abilityName>
      <candidateList>
        <item>极不寻常、极不平凡</item>
      </candidateList>
      <explain>此处内容疑似含有固定表述相关错误，建议核查。</explain>
      <paraID>61FEC79C</paraID>
      <start>13</start>
      <end>22</end>
      <status>ignored</status>
      <modifiedWord/>
      <trackRevisions>false</trackRevisions>
    </reviewItem>
    <reviewItem>
      <errorID>c8e66144-ac74-449c-90d6-f60ac973e83c</errorID>
      <errorWord>主导产业</errorWord>
      <group>L1_Grammar</group>
      <groupName>语法问题</groupName>
      <ability>L2_Grammar</ability>
      <abilityName>语法错误</abilityName>
      <candidateList>
        <item>特色主导产业</item>
      </candidateList>
      <explain/>
      <paraID> 37F6F33</paraID>
      <start>125</start>
      <end>129</end>
      <status>ignored</status>
      <modifiedWord/>
      <trackRevisions>false</trackRevisions>
    </reviewItem>
    <reviewItem>
      <errorID>f84b0995-6f46-4b80-9891-42e6a0c45f7d</errorID>
      <errorWord>，</errorWord>
      <group>L1_Grammar</group>
      <groupName>语法问题</groupName>
      <ability>L2_Grammar</ability>
      <abilityName>语法错误</abilityName>
      <candidateList>
        <item>工作，</item>
      </candidateList>
      <explain/>
      <paraID> 2742047</paraID>
      <start>53</start>
      <end>54</end>
      <status>ignored</status>
      <modifiedWord/>
      <trackRevisions>false</trackRevisions>
    </reviewItem>
    <reviewItem>
      <errorID>2cd671b0-6b6d-412c-ac47-76b5d9c7b00b</errorID>
      <errorWord>碳达峰“十大行动”</errorWord>
      <group>L1_Political</group>
      <groupName>政治性问题</groupName>
      <ability>L2_Keyword</ability>
      <abilityName>固定表述</abilityName>
      <candidateList>
        <item>“碳达峰十大行动”</item>
      </candidateList>
      <explain>注意检查当前固定表述标点是否使用规范。</explain>
      <paraID> 2742047</paraID>
      <start>409</start>
      <end>418</end>
      <status>ignored</status>
      <modifiedWord/>
      <trackRevisions>false</trackRevisions>
    </reviewItem>
    <reviewItem>
      <errorID>2c2684ae-b01e-4236-bfaa-229a641f52ac</errorID>
      <errorWord>、</errorWord>
      <group>L1_Punc</group>
      <groupName>标点问题</groupName>
      <ability>L2_Punc</ability>
      <abilityName>标点符号检查</abilityName>
      <candidateList>
        <item/>
      </candidateList>
      <explain/>
      <paraID> 2742047</paraID>
      <start>418</start>
      <end>419</end>
      <status>ignored</status>
      <modifiedWord/>
      <trackRevisions>false</trackRevisions>
    </reviewItem>
    <reviewItem>
      <errorID>a4f18532-1dff-4bbd-b4cc-dff0e96c1fd3</errorID>
      <errorWord>综合体养老服务</errorWord>
      <group>L1_Political</group>
      <groupName>政治性问题</groupName>
      <ability>L2_Keyword</ability>
      <abilityName>固定表述</abilityName>
      <candidateList>
        <item>综合为老服务</item>
      </candidateList>
      <explain>词汇“综合为老服务”在特定场景下为固定表述形式，请确认此处的“综合体养老服务”是否存在不当。</explain>
      <paraID>6F5B44B8</paraID>
      <start>177</start>
      <end>184</end>
      <status>ignored</status>
      <modifiedWord/>
      <trackRevisions>false</trackRevisions>
    </reviewItem>
    <reviewItem>
      <errorID>44e4ae59-9858-49b7-b480-8b2aaf462f64</errorID>
      <errorWord>以人民为中心的发展理念</errorWord>
      <group>L1_Political</group>
      <groupName>政治性问题</groupName>
      <ability>L2_Keyword</ability>
      <abilityName>固定表述</abilityName>
      <candidateList>
        <item>以人民为中心的发展思想</item>
      </candidateList>
      <explain>此处内容疑似含有固定表述相关错误，建议核查。</explain>
      <paraID> DECBAA5</paraID>
      <start>15</start>
      <end>26</end>
      <status>ignored</status>
      <modifiedWord/>
      <trackRevisions>false</trackRevisions>
    </reviewItem>
    <reviewItem>
      <errorID>1b83773f-2aa2-477d-aead-26bda79b3162</errorID>
      <errorWord>始终保持</errorWord>
      <group>L1_Grammar</group>
      <groupName>语法问题</groupName>
      <ability>L2_Grammar</ability>
      <abilityName>语法错误</abilityName>
      <candidateList>
        <item>的比重始终保持</item>
      </candidateList>
      <explain/>
      <paraID> DECBAA5</paraID>
      <start>49</start>
      <end>53</end>
      <status>ignored</status>
      <modifiedWord/>
      <trackRevisions>false</trackRevisions>
    </reviewItem>
    <reviewItem>
      <errorID>6f9e085b-5319-496e-a047-4e28cdadf3e1</errorID>
      <errorWord>安全生产治本攻坚行动</errorWord>
      <group>L1_Political</group>
      <groupName>政治性问题</groupName>
      <ability>L2_Keyword</ability>
      <abilityName>固定表述</abilityName>
      <candidateList>
        <item>安全生产治本攻坚三年行动</item>
      </candidateList>
      <explain>词汇“安全生产治本攻坚三年行动”在特定场景下为固定表述形式，请确认此处的“安全生产治本攻坚行动”是否存在不当。</explain>
      <paraID>7ED91458</paraID>
      <start>99</start>
      <end>109</end>
      <status>ignored</status>
      <modifiedWord/>
      <trackRevisions>false</trackRevisions>
    </reviewItem>
    <reviewItem>
      <errorID>3bfc0a0a-7fd1-4b9c-9168-a1660329a406</errorID>
      <errorWord>军地军民团结</errorWord>
      <group>L1_Political</group>
      <groupName>政治性问题</groupName>
      <ability>L2_Keyword</ability>
      <abilityName>固定表述</abilityName>
      <candidateList>
        <item>军政军民团结</item>
      </candidateList>
      <explain>词汇“军政军民团结”在特定场景下为固定表述形式，请确认此处的“军地军民团结”是否存在不当。</explain>
      <paraID>7ED91458</paraID>
      <start>309</start>
      <end>315</end>
      <status>ignored</status>
      <modifiedWord/>
      <trackRevisions>false</trackRevisions>
    </reviewItem>
    <reviewItem>
      <errorID>4e2de8f0-be8c-49bc-9dac-1b35cf250f8d</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2104F900</paraID>
      <start>129</start>
      <end>134</end>
      <status>ignored</status>
      <modifiedWord/>
      <trackRevisions>false</trackRevisions>
    </reviewItem>
    <reviewItem>
      <errorID>3748d7d2-1219-4013-8710-cb7287c0345f</errorID>
      <errorWord>二元化</errorWord>
      <group>L1_Word</group>
      <groupName>字词问题</groupName>
      <ability>L2_Typo</ability>
      <abilityName>字词错误</abilityName>
      <candidateList>
        <item>二元结构</item>
      </candidateList>
      <explain/>
      <paraID>2FE09CFE</paraID>
      <start>45</start>
      <end>48</end>
      <status>ignored</status>
      <modifiedWord/>
      <trackRevisions>false</trackRevisions>
    </reviewItem>
    <reviewItem>
      <errorID>38679a46-4f88-4017-aaa1-3fc204d0f5ed</errorID>
      <errorWord>巩固发展优势、破除瓶颈制约、补强短板弱项</errorWord>
      <group>L1_Political</group>
      <groupName>政治性问题</groupName>
      <ability>L2_Keyword</ability>
      <abilityName>固定表述</abilityName>
      <candidateList>
        <item>巩固拓展优势、破除瓶颈制约、补强短板弱项</item>
      </candidateList>
      <explain>词汇“巩固拓展优势、破除瓶颈制约、补强短板弱项”在特定场景下为固定表述形式，请确认此处的“巩固发展优势、破除瓶颈制约、补强短板弱项”是否存在不当。</explain>
      <paraID>2FE09CFE</paraID>
      <start>114</start>
      <end>134</end>
      <status>ignored</status>
      <modifiedWord/>
      <trackRevisions>false</trackRevisions>
    </reviewItem>
    <reviewItem>
      <errorID>dd3b7d90-16a6-4dd3-9725-0acb75688589</errorID>
      <errorWord>推动经济质的有效提升和量的合理增长</errorWord>
      <group>L1_Political</group>
      <groupName>政治性问题</groupName>
      <ability>L2_Keyword</ability>
      <abilityName>固定表述</abilityName>
      <candidateList>
        <item>推动经济实现质的有效提升和量的合理增长</item>
      </candidateList>
      <explain>词汇“推动经济实现质的有效提升和量的合理增长”在特定场景下为固定表述形式，请确认此处的“推动经济质的有效提升和量的合理增长”是否存在不当。</explain>
      <paraID>2B0F0204</paraID>
      <start>134</start>
      <end>151</end>
      <status>ignored</status>
      <modifiedWord/>
      <trackRevisions>false</trackRevisions>
    </reviewItem>
    <reviewItem>
      <errorID>14adc857-1782-4965-91ab-f6ff185a7288</errorID>
      <errorWord>取得</errorWord>
      <group>L1_Grammar</group>
      <groupName>语法问题</groupName>
      <ability>L2_Grammar</ability>
      <abilityName>语法错误</abilityName>
      <candidateList>
        <item>工作取得</item>
      </candidateList>
      <explain/>
      <paraID>66C55861</paraID>
      <start>523</start>
      <end>525</end>
      <status>ignored</status>
      <modifiedWord/>
      <trackRevisions>false</trackRevisions>
    </reviewItem>
    <reviewItem>
      <errorID>b0eef653-36e9-49dd-8877-6d53b81422aa</errorID>
      <errorWord>全县人民共同富裕</errorWord>
      <group>L1_Political</group>
      <groupName>政治性问题</groupName>
      <ability>L2_Keyword</ability>
      <abilityName>固定表述</abilityName>
      <candidateList>
        <item>全体人民共同富裕</item>
      </candidateList>
      <explain>词汇“全体人民共同富裕”在特定场景下为固定表述形式，请确认此处的“全县人民共同富裕”是否存在不当。</explain>
      <paraID> 233759B</paraID>
      <start>17</start>
      <end>25</end>
      <status>ignored</status>
      <modifiedWord/>
      <trackRevisions>false</trackRevisions>
    </reviewItem>
    <reviewItem>
      <errorID>88d96da0-6702-445d-8701-ddb13c1911b5</errorID>
      <errorWord>的</errorWord>
      <group>L1_Word</group>
      <groupName>字词问题</groupName>
      <ability>L2_Typo</ability>
      <abilityName>字词错误</abilityName>
      <candidateList>
        <item>，</item>
      </candidateList>
      <explain/>
      <paraID>1605396B</paraID>
      <start>33</start>
      <end>34</end>
      <status>ignored</status>
      <modifiedWord/>
      <trackRevisions>false</trackRevisions>
    </reviewItem>
    <reviewItem>
      <errorID>eba5e324-2e73-4223-a801-20b2cca8d957</errorID>
      <errorWord>，进一步</errorWord>
      <group>L1_Grammar</group>
      <groupName>语法问题</groupName>
      <ability>L2_Grammar</ability>
      <abilityName>语法错误</abilityName>
      <candidateList>
        <item>，</item>
      </candidateList>
      <explain/>
      <paraID>1605396B</paraID>
      <start>82</start>
      <end>86</end>
      <status>ignored</status>
      <modifiedWord/>
      <trackRevisions>false</trackRevisions>
    </reviewItem>
    <reviewItem>
      <errorID>ca7bfc5b-3fb4-4ff7-a77e-9dc666323ed3</errorID>
      <errorWord>社会文明程度加力提升</errorWord>
      <group>L1_Political</group>
      <groupName>政治性问题</groupName>
      <ability>L2_Keyword</ability>
      <abilityName>固定表述</abilityName>
      <candidateList>
        <item>社会文明程度明显提升</item>
      </candidateList>
      <explain>词汇“社会文明程度明显提升”在特定场景下为固定表述形式，请确认此处的“社会文明程度加力提升”是否存在不当。</explain>
      <paraID>5E2A93B1</paraID>
      <start>2</start>
      <end>12</end>
      <status>ignored</status>
      <modifiedWord/>
      <trackRevisions>false</trackRevisions>
    </reviewItem>
    <reviewItem>
      <errorID>f083ca8d-48a7-4859-a6e1-ed9485b812c4</errorID>
      <errorWord>经济社会全面绿色转型</errorWord>
      <group>L1_Political</group>
      <groupName>政治性问题</groupName>
      <ability>L2_Keyword</ability>
      <abilityName>固定表述</abilityName>
      <candidateList>
        <item>经济社会发展全面绿色转型</item>
      </candidateList>
      <explain>词汇“经济社会发展全面绿色转型”在特定场景下为固定表述形式，请确认此处的“经济社会全面绿色转型”是否存在不当。</explain>
      <paraID>4EE5EF0A</paraID>
      <start>113</start>
      <end>123</end>
      <status>ignored</status>
      <modifiedWord/>
      <trackRevisions>false</trackRevisions>
    </reviewItem>
    <reviewItem>
      <errorID>0835afa5-8604-46bf-bdc9-f8ec405b8097</errorID>
      <errorWord>）</errorWord>
      <group>L1_Format</group>
      <groupName>格式问题</groupName>
      <ability>L2_HalfPunc</ability>
      <abilityName>全半角检查</abilityName>
      <candidateList>
        <item>)</item>
      </candidateList>
      <explain>文本全半角错误。</explain>
      <paraID>63F541B1</paraID>
      <start>2</start>
      <end>3</end>
      <status>ignored</status>
      <modifiedWord/>
      <trackRevisions>false</trackRevisions>
    </reviewItem>
    <reviewItem>
      <errorID>1cb8084d-8ca8-463e-8815-9d5c711f40ab</errorID>
      <errorWord>）</errorWord>
      <group>L1_Format</group>
      <groupName>格式问题</groupName>
      <ability>L2_HalfPunc</ability>
      <abilityName>全半角检查</abilityName>
      <candidateList>
        <item>)</item>
      </candidateList>
      <explain>文本全半角错误。</explain>
      <paraID>6AA9441E</paraID>
      <start>4</start>
      <end>5</end>
      <status>ignored</status>
      <modifiedWord/>
      <trackRevisions>false</trackRevisions>
    </reviewItem>
    <reviewItem>
      <errorID>85f3ce89-6535-422a-93bf-d9136bf71ff6</errorID>
      <errorWord>、和</errorWord>
      <group>L1_Punc</group>
      <groupName>标点问题</groupName>
      <ability>L2_Punc</ability>
      <abilityName>标点符号检查</abilityName>
      <candidateList>
        <item>和</item>
      </candidateList>
      <explain>“及”“和”“等”连词前不宜使用顿号，建议删除（或使用逗号）。</explain>
      <paraID> 1B8C82A</paraID>
      <start>72</start>
      <end>74</end>
      <status>ignored</status>
      <modifiedWord/>
      <trackRevisions>false</trackRevisions>
    </reviewItem>
    <reviewItem>
      <errorID>3b7a09a0-73e2-4b9d-8dfa-23833375b496</errorID>
      <errorWord>聚集</errorWord>
      <group>L1_Word</group>
      <groupName>字词问题</groupName>
      <ability>L2_Typo</ability>
      <abilityName>字词错误</abilityName>
      <candidateList>
        <item>集聚</item>
      </candidateList>
      <explain/>
      <paraID> 1B8C82A</paraID>
      <start>213</start>
      <end>215</end>
      <status>ignored</status>
      <modifiedWord/>
      <trackRevisions>false</trackRevisions>
    </reviewItem>
    <reviewItem>
      <errorID>b533d7b5-8cde-46a4-bead-60ec6c4dd621</errorID>
      <errorWord>市场占有率水平</errorWord>
      <group>L1_Grammar</group>
      <groupName>语法问题</groupName>
      <ability>L2_Grammar</ability>
      <abilityName>语法错误</abilityName>
      <candidateList>
        <item>市场占有率</item>
      </candidateList>
      <explain/>
      <paraID>69F4D69C</paraID>
      <start>81</start>
      <end>88</end>
      <status>ignored</status>
      <modifiedWord/>
      <trackRevisions>false</trackRevisions>
    </reviewItem>
    <reviewItem>
      <errorID>ac7a8557-1a1e-44aa-9f27-e0a6f0573ac4</errorID>
      <errorWord>。</errorWord>
      <group>L1_Punc</group>
      <groupName>标点问题</groupName>
      <ability>L2_Punc</ability>
      <abilityName>标点符号检查</abilityName>
      <candidateList>
        <item>：</item>
      </candidateList>
      <explain/>
      <paraID>6F983408</paraID>
      <start>28</start>
      <end>29</end>
      <status>ignored</status>
      <modifiedWord/>
      <trackRevisions>false</trackRevisions>
    </reviewItem>
    <reviewItem>
      <errorID>831cc119-fec4-43f1-8dc6-6b2dd73f3f13</errorID>
      <errorWord>液相色谱仪</errorWord>
      <group>L1_Grammar</group>
      <groupName>语法问题</groupName>
      <ability>L2_Grammar</ability>
      <abilityName>语法错误</abilityName>
      <candidateList>
        <item>建设液相色谱仪</item>
      </candidateList>
      <explain/>
      <paraID>6F983408</paraID>
      <start>36</start>
      <end>41</end>
      <status>ignored</status>
      <modifiedWord/>
      <trackRevisions>false</trackRevisions>
    </reviewItem>
    <reviewItem>
      <errorID>4b3bf34f-5ce8-4eb7-94ca-950042806bc2</errorID>
      <errorWord>黄连素</errorWord>
      <group>L1_Knowledge</group>
      <groupName>知识性问题</groupName>
      <ability>L2_Term</ability>
      <abilityName>专业术语</abilityName>
      <candidateList>
        <item>小檗碱</item>
      </candidateList>
      <explain>医学名词[黄连素]为不规范表述或旧称，其规范书面表述为[小檗碱]。</explain>
      <paraID> 1CA2F72</paraID>
      <start>32</start>
      <end>35</end>
      <status>ignored</status>
      <modifiedWord/>
      <trackRevisions>false</trackRevisions>
    </reviewItem>
    <reviewItem>
      <errorID>169eea96-61ca-46d6-b7bc-8b6da5aa8f16</errorID>
      <errorWord>。</errorWord>
      <group>L1_Punc</group>
      <groupName>标点问题</groupName>
      <ability>L2_Punc</ability>
      <abilityName>标点符号检查</abilityName>
      <candidateList>
        <item>：</item>
      </candidateList>
      <explain/>
      <paraID>7607C3C4</paraID>
      <start>27</start>
      <end>28</end>
      <status>ignored</status>
      <modifiedWord/>
      <trackRevisions>false</trackRevisions>
    </reviewItem>
    <reviewItem>
      <errorID>fc0a3991-44c0-4ec1-8e47-71b76cf05c26</errorID>
      <errorWord>复合材料上</errorWord>
      <group>L1_Word</group>
      <groupName>字词问题</groupName>
      <ability>L2_Typo</ability>
      <abilityName>字词错误</abilityName>
      <candidateList>
        <item>复合材料</item>
      </candidateList>
      <explain/>
      <paraID>277C0669</paraID>
      <start>49</start>
      <end>54</end>
      <status>ignored</status>
      <modifiedWord/>
      <trackRevisions>false</trackRevisions>
    </reviewItem>
    <reviewItem>
      <errorID>06ac0234-a1b9-4137-959c-f6cf1e514faa</errorID>
      <errorWord>，</errorWord>
      <group>L1_Punc</group>
      <groupName>标点问题</groupName>
      <ability>L2_Punc</ability>
      <abilityName>标点符号检查</abilityName>
      <candidateList>
        <item>、</item>
      </candidateList>
      <explain/>
      <paraID> 66EFBF1</paraID>
      <start>274</start>
      <end>275</end>
      <status>ignored</status>
      <modifiedWord/>
      <trackRevisions>false</trackRevisions>
    </reviewItem>
    <reviewItem>
      <errorID>db5f7436-996d-4ac8-84d0-d551c36bbeae</errorID>
      <errorWord>特点</errorWord>
      <group>L1_Word</group>
      <groupName>字词问题</groupName>
      <ability>L2_Typo</ability>
      <abilityName>字词错误</abilityName>
      <candidateList>
        <item>的特点</item>
      </candidateList>
      <explain/>
      <paraID> 66EFBF1</paraID>
      <start>284</start>
      <end>286</end>
      <status>ignored</status>
      <modifiedWord/>
      <trackRevisions>false</trackRevisions>
    </reviewItem>
    <reviewItem>
      <errorID>d06b1fc7-c18a-4e74-8ef0-f1b32f8cd6e6</errorID>
      <errorWord>源</errorWord>
      <group>L1_Word</group>
      <groupName>字词问题</groupName>
      <ability>L2_Typo</ability>
      <abilityName>字词错误</abilityName>
      <candidateList>
        <item>源汽</item>
      </candidateList>
      <explain/>
      <paraID>1646C526</paraID>
      <start>220</start>
      <end>221</end>
      <status>ignored</status>
      <modifiedWord/>
      <trackRevisions>false</trackRevisions>
    </reviewItem>
    <reviewItem>
      <errorID>6e9ba7ff-9b76-4158-9896-3b19a53d7ede</errorID>
      <errorWord>，</errorWord>
      <group>L1_Word</group>
      <groupName>字词问题</groupName>
      <ability>L2_Typo</ability>
      <abilityName>字词错误</abilityName>
      <candidateList>
        <item>，以</item>
      </candidateList>
      <explain/>
      <paraID>41E82568</paraID>
      <start>17</start>
      <end>18</end>
      <status>ignored</status>
      <modifiedWord/>
      <trackRevisions>false</trackRevisions>
    </reviewItem>
    <reviewItem>
      <errorID>60b18bbb-1370-4d54-a500-2271353cf843</errorID>
      <errorWord>，</errorWord>
      <group>L1_Word</group>
      <groupName>字词问题</groupName>
      <ability>L2_Typo</ability>
      <abilityName>字词错误</abilityName>
      <candidateList>
        <item>，以</item>
      </candidateList>
      <explain/>
      <paraID>41E82568</paraID>
      <start>23</start>
      <end>24</end>
      <status>ignored</status>
      <modifiedWord/>
      <trackRevisions>false</trackRevisions>
    </reviewItem>
    <reviewItem>
      <errorID>3e2b30bb-c619-42c8-b9ef-66a45711ef01</errorID>
      <errorWord>拖内</errorWord>
      <group>L1_Word</group>
      <groupName>字词问题</groupName>
      <ability>L2_Typo</ability>
      <abilityName>字词错误</abilityName>
      <candidateList>
        <item>拖拉机</item>
      </candidateList>
      <explain/>
      <paraID>23C27EF1</paraID>
      <start>34</start>
      <end>36</end>
      <status>ignored</status>
      <modifiedWord/>
      <trackRevisions>false</trackRevisions>
    </reviewItem>
    <reviewItem>
      <errorID>eadf3f4d-0e55-4c15-a05a-07a3b1443bab</errorID>
      <errorWord>实数</errorWord>
      <group>L1_Word</group>
      <groupName>字词问题</groupName>
      <ability>L2_Typo</ability>
      <abilityName>字词错误</abilityName>
      <candidateList>
        <item>数实</item>
      </candidateList>
      <explain/>
      <paraID>652229AA</paraID>
      <start>2</start>
      <end>4</end>
      <status>ignored</status>
      <modifiedWord/>
      <trackRevisions>false</trackRevisions>
    </reviewItem>
    <reviewItem>
      <errorID>fd630b59-6813-41d3-aef1-7072ee784c67</errorID>
      <errorWord>智改数转网联</errorWord>
      <group>L1_Political</group>
      <groupName>政治性问题</groupName>
      <ability>L2_Keyword</ability>
      <abilityName>固定表述</abilityName>
      <candidateList>
        <item>“智改数转网联”</item>
      </candidateList>
      <explain>注意检查当前固定表述标点是否使用规范。</explain>
      <paraID>652229AA</paraID>
      <start>62</start>
      <end>68</end>
      <status>ignored</status>
      <modifiedWord/>
      <trackRevisions>false</trackRevisions>
    </reviewItem>
    <reviewItem>
      <errorID>1ea2a6de-2638-4087-8ff7-a5de2a959127</errorID>
      <errorWord>提升丰富</errorWord>
      <group>L1_Grammar</group>
      <groupName>语法问题</groupName>
      <ability>L2_Grammar</ability>
      <abilityName>语法错误</abilityName>
      <candidateList>
        <item>提升</item>
      </candidateList>
      <explain/>
      <paraID> 11EEB0F</paraID>
      <start>35</start>
      <end>39</end>
      <status>ignored</status>
      <modifiedWord/>
      <trackRevisions>false</trackRevisions>
    </reviewItem>
    <reviewItem>
      <errorID>d1892fdb-3778-46c3-8df5-aa7053e356ab</errorID>
      <errorWord>。</errorWord>
      <group>L1_Punc</group>
      <groupName>标点问题</groupName>
      <ability>L2_Punc</ability>
      <abilityName>标点符号检查</abilityName>
      <candidateList>
        <item>，</item>
      </candidateList>
      <explain/>
      <paraID>50F4E54E</paraID>
      <start>100</start>
      <end>101</end>
      <status>ignored</status>
      <modifiedWord/>
      <trackRevisions>false</trackRevisions>
    </reviewItem>
    <reviewItem>
      <errorID>e6addda7-220d-4fb5-b3c3-1a2ab316b23f</errorID>
      <errorWord>建设</errorWord>
      <group>L1_Grammar</group>
      <groupName>语法问题</groupName>
      <ability>L2_Grammar</ability>
      <abilityName>语法错误</abilityName>
      <candidateList>
        <item>建设项目</item>
      </candidateList>
      <explain/>
      <paraID>4CF1EA1E</paraID>
      <start>190</start>
      <end>192</end>
      <status>ignored</status>
      <modifiedWord/>
      <trackRevisions>false</trackRevisions>
    </reviewItem>
    <reviewItem>
      <errorID>eee1bbc3-9b95-46e2-ac2c-ec5dbd35a51b</errorID>
      <errorWord>壮大</errorWord>
      <group>L1_Word</group>
      <groupName>字词问题</groupName>
      <ability>L2_Typo</ability>
      <abilityName>字词错误</abilityName>
      <candidateList>
        <item>并壮大</item>
      </candidateList>
      <explain/>
      <paraID>6E5D0DCD</paraID>
      <start>170</start>
      <end>172</end>
      <status>ignored</status>
      <modifiedWord/>
      <trackRevisions>false</trackRevisions>
    </reviewItem>
    <reviewItem>
      <errorID>2039ad02-cf65-4c23-86a8-5d28584f1d3d</errorID>
      <errorWord>金融产品</errorWord>
      <group>L1_Word</group>
      <groupName>字词问题</groupName>
      <ability>L2_Typo</ability>
      <abilityName>字词错误</abilityName>
      <candidateList>
        <item>金融服务</item>
      </candidateList>
      <explain/>
      <paraID>1181BDB3</paraID>
      <start>59</start>
      <end>63</end>
      <status>ignored</status>
      <modifiedWord/>
      <trackRevisions>false</trackRevisions>
    </reviewItem>
    <reviewItem>
      <errorID>54f6c7b0-9a1b-4208-81e4-ce2be1fa5d77</errorID>
      <errorWord>提升发展</errorWord>
      <group>L1_Grammar</group>
      <groupName>语法问题</groupName>
      <ability>L2_Grammar</ability>
      <abilityName>语法错误</abilityName>
      <candidateList>
        <item>提升</item>
      </candidateList>
      <explain/>
      <paraID>3EFE74BE</paraID>
      <start>51</start>
      <end>55</end>
      <status>ignored</status>
      <modifiedWord/>
      <trackRevisions>false</trackRevisions>
    </reviewItem>
    <reviewItem>
      <errorID>f1b10ac4-6ba1-44d3-9885-fe173358bd42</errorID>
      <errorWord>，</errorWord>
      <group>L1_Grammar</group>
      <groupName>语法问题</groupName>
      <ability>L2_Grammar</ability>
      <abilityName>语法错误</abilityName>
      <candidateList>
        <item>水平，</item>
      </candidateList>
      <explain/>
      <paraID>3EFE74BE</paraID>
      <start>61</start>
      <end>62</end>
      <status>ignored</status>
      <modifiedWord/>
      <trackRevisions>false</trackRevisions>
    </reviewItem>
    <reviewItem>
      <errorID>14a0fd43-0bda-49bd-909d-2ccd281e9d10</errorID>
      <errorWord>交易</errorWord>
      <group>L1_Grammar</group>
      <groupName>语法问题</groupName>
      <ability>L2_Grammar</ability>
      <abilityName>语法错误</abilityName>
      <candidateList>
        <item>交易平台</item>
      </candidateList>
      <explain/>
      <paraID>658C42E4</paraID>
      <start>105</start>
      <end>107</end>
      <status>ignored</status>
      <modifiedWord/>
      <trackRevisions>false</trackRevisions>
    </reviewItem>
    <reviewItem>
      <errorID>e8965861-38a4-4b1f-bdce-3dff7b4acd28</errorID>
      <errorWord>、</errorWord>
      <group>L1_Grammar</group>
      <groupName>语法问题</groupName>
      <ability>L2_Grammar</ability>
      <abilityName>语法错误</abilityName>
      <candidateList>
        <item>，发展</item>
      </candidateList>
      <explain/>
      <paraID>3B2C26F5</paraID>
      <start>102</start>
      <end>103</end>
      <status>ignored</status>
      <modifiedWord/>
      <trackRevisions>false</trackRevisions>
    </reviewItem>
    <reviewItem>
      <errorID>ce03d422-697b-4ff1-a9b5-b5e875876dcd</errorID>
      <errorWord>文化+康养</errorWord>
      <group>L1_Punc</group>
      <groupName>标点问题</groupName>
      <ability>L2_Punc</ability>
      <abilityName>标点符号检查</abilityName>
      <candidateList>
        <item>“文化+康养”</item>
      </candidateList>
      <explain/>
      <paraID>114BC640</paraID>
      <start>227</start>
      <end>232</end>
      <status>ignored</status>
      <modifiedWord/>
      <trackRevisions>false</trackRevisions>
    </reviewItem>
    <reviewItem>
      <errorID>59d53e29-5022-462d-a8c4-812a23308e3e</errorID>
      <errorWord>和</errorWord>
      <group>L1_Grammar</group>
      <groupName>语法问题</groupName>
      <ability>L2_Grammar</ability>
      <abilityName>语法错误</abilityName>
      <candidateList>
        <item>，优化</item>
      </candidateList>
      <explain/>
      <paraID>68D57087</paraID>
      <start>90</start>
      <end>91</end>
      <status>ignored</status>
      <modifiedWord/>
      <trackRevisions>false</trackRevisions>
    </reviewItem>
    <reviewItem>
      <errorID>0f207d3f-b6e9-44af-8459-9f4efde7fb99</errorID>
      <errorWord>广泛</errorWord>
      <group>L1_Word</group>
      <groupName>字词问题</groupName>
      <ability>L2_Typo</ability>
      <abilityName>字词错误</abilityName>
      <candidateList>
        <item>领域的</item>
      </candidateList>
      <explain/>
      <paraID>36014129</paraID>
      <start>111</start>
      <end>113</end>
      <status>ignored</status>
      <modifiedWord/>
      <trackRevisions>false</trackRevisions>
    </reviewItem>
    <reviewItem>
      <errorID>32aaa106-b6bb-4166-8d1b-8b9639cf7639</errorID>
      <errorWord>聚集</errorWord>
      <group>L1_Word</group>
      <groupName>字词问题</groupName>
      <ability>L2_Typo</ability>
      <abilityName>字词错误</abilityName>
      <candidateList>
        <item>并聚集</item>
      </candidateList>
      <explain/>
      <paraID>790E6911</paraID>
      <start>239</start>
      <end>241</end>
      <status>ignored</status>
      <modifiedWord/>
      <trackRevisions>false</trackRevisions>
    </reviewItem>
    <reviewItem>
      <errorID>e012bb5e-ba10-4839-bb7c-bb6cb9aef9f0</errorID>
      <errorWord>，</errorWord>
      <group>L1_Punc</group>
      <groupName>标点问题</groupName>
      <ability>L2_Punc</ability>
      <abilityName>标点符号检查</abilityName>
      <candidateList>
        <item>、</item>
      </candidateList>
      <explain/>
      <paraID>70CF5CD7</paraID>
      <start>66</start>
      <end>67</end>
      <status>ignored</status>
      <modifiedWord/>
      <trackRevisions>false</trackRevisions>
    </reviewItem>
    <reviewItem>
      <errorID>83ac59f4-c243-47a8-9cae-5fff6c220820</errorID>
      <errorWord>药包</errorWord>
      <group>L1_Word</group>
      <groupName>字词问题</groupName>
      <ability>L2_Typo</ability>
      <abilityName>字词错误</abilityName>
      <candidateList>
        <item>药包材</item>
      </candidateList>
      <explain/>
      <paraID>70D27AEC</paraID>
      <start>110</start>
      <end>112</end>
      <status>ignored</status>
      <modifiedWord/>
      <trackRevisions>false</trackRevisions>
    </reviewItem>
    <reviewItem>
      <errorID>af351290-068e-4012-b24a-f3f19deb157a</errorID>
      <errorWord>辅</errorWord>
      <group>L1_Word</group>
      <groupName>字词问题</groupName>
      <ability>L2_Typo</ability>
      <abilityName>字词错误</abilityName>
      <candidateList>
        <item>辅料</item>
      </candidateList>
      <explain/>
      <paraID>70D27AEC</paraID>
      <start>113</start>
      <end>114</end>
      <status>ignored</status>
      <modifiedWord/>
      <trackRevisions>false</trackRevisions>
    </reviewItem>
    <reviewItem>
      <errorID>0795ae57-ad0a-4497-a0ec-b3cbe7f6ba0d</errorID>
      <errorWord>粘结剂</errorWord>
      <group>L1_Word</group>
      <groupName>字词问题</groupName>
      <ability>L2_Typo</ability>
      <abilityName>字词错误</abilityName>
      <candidateList>
        <item>黏结剂</item>
      </candidateList>
      <explain/>
      <paraID>70D27AEC</paraID>
      <start>215</start>
      <end>218</end>
      <status>ignored</status>
      <modifiedWord/>
      <trackRevisions>false</trackRevisions>
    </reviewItem>
    <reviewItem>
      <errorID>4f28b31c-0f95-4480-9be3-412c69b52b06</errorID>
      <errorWord>、</errorWord>
      <group>L1_Grammar</group>
      <groupName>语法问题</groupName>
      <ability>L2_Grammar</ability>
      <abilityName>语法错误</abilityName>
      <candidateList>
        <item>，做好</item>
      </candidateList>
      <explain/>
      <paraID>321A81DD</paraID>
      <start>29</start>
      <end>30</end>
      <status>ignored</status>
      <modifiedWord/>
      <trackRevisions>false</trackRevisions>
    </reviewItem>
    <reviewItem>
      <errorID>b649776e-fb20-4ea3-ad46-e57ec583c52e</errorID>
      <errorWord> </errorWord>
      <group>L1_Punc</group>
      <groupName>标点问题</groupName>
      <ability>L2_Punc</ability>
      <abilityName>标点符号检查</abilityName>
      <candidateList>
        <item/>
      </candidateList>
      <explain>此处空格冗余，建议删除。</explain>
      <paraID>40F3AE4F</paraID>
      <start>18</start>
      <end>19</end>
      <status>ignored</status>
      <modifiedWord/>
      <trackRevisions>false</trackRevisions>
    </reviewItem>
    <reviewItem>
      <errorID>33bd4748-7736-4c10-b832-923691f37f18</errorID>
      <errorWord>新质生产力的新动能</errorWord>
      <group>L1_Political</group>
      <groupName>政治性问题</groupName>
      <ability>L2_Keyword</ability>
      <abilityName>固定表述</abilityName>
      <candidateList>
        <item>新质生产力</item>
      </candidateList>
      <explain>此处内容疑似含有固定表述相关错误，建议核查。</explain>
      <paraID>7D730A60</paraID>
      <start>81</start>
      <end>90</end>
      <status>ignored</status>
      <modifiedWord/>
      <trackRevisions>false</trackRevisions>
    </reviewItem>
    <reviewItem>
      <errorID>1efc1a68-b0fa-4f4e-8d5b-a4c102efe7f4</errorID>
      <errorWord>课题</errorWord>
      <group>L1_Word</group>
      <groupName>字词问题</groupName>
      <ability>L2_Typo</ability>
      <abilityName>字词错误</abilityName>
      <candidateList>
        <item>问题</item>
      </candidateList>
      <explain/>
      <paraID>5561DA19</paraID>
      <start>73</start>
      <end>75</end>
      <status>ignored</status>
      <modifiedWord/>
      <trackRevisions>false</trackRevisions>
    </reviewItem>
    <reviewItem>
      <errorID>c4ced769-bdb4-4076-9ee6-eb8ccb4355cf</errorID>
      <errorWord>进一步</errorWord>
      <group>L1_Punc</group>
      <groupName>标点问题</groupName>
      <ability>L2_Punc</ability>
      <abilityName>标点符号检查</abilityName>
      <candidateList>
        <item>，进一步</item>
      </candidateList>
      <explain/>
      <paraID>56E3E3F8</paraID>
      <start>8</start>
      <end>11</end>
      <status>ignored</status>
      <modifiedWord/>
      <trackRevisions>false</trackRevisions>
    </reviewItem>
    <reviewItem>
      <errorID>aa1d8748-681a-48dd-89e5-0dab0863c118</errorID>
      <errorWord>由</errorWord>
      <group>L1_Word</group>
      <groupName>字词问题</groupName>
      <ability>L2_Typo</ability>
      <abilityName>字词错误</abilityName>
      <candidateList>
        <item>根据</item>
      </candidateList>
      <explain/>
      <paraID>56E3E3F8</paraID>
      <start>73</start>
      <end>74</end>
      <status>ignored</status>
      <modifiedWord/>
      <trackRevisions>false</trackRevisions>
    </reviewItem>
    <reviewItem>
      <errorID>ea45eb36-f8d3-4dae-ab58-c6600e774962</errorID>
      <errorWord>作用</errorWord>
      <group>L1_Word</group>
      <groupName>字词问题</groupName>
      <ability>L2_Typo</ability>
      <abilityName>字词错误</abilityName>
      <candidateList>
        <item>的作用</item>
      </candidateList>
      <explain/>
      <paraID>56E3E3F8</paraID>
      <start>161</start>
      <end>163</end>
      <status>ignored</status>
      <modifiedWord/>
      <trackRevisions>false</trackRevisions>
    </reviewItem>
    <reviewItem>
      <errorID>bcaf9b55-72c9-420a-b295-713053623e76</errorID>
      <errorWord>改善提升</errorWord>
      <group>L1_Grammar</group>
      <groupName>语法问题</groupName>
      <ability>L2_Grammar</ability>
      <abilityName>语法错误</abilityName>
      <candidateList>
        <item>改善</item>
      </candidateList>
      <explain/>
      <paraID>56E3E3F8</paraID>
      <start>257</start>
      <end>261</end>
      <status>ignored</status>
      <modifiedWord/>
      <trackRevisions>false</trackRevisions>
    </reviewItem>
    <reviewItem>
      <errorID>a86eef54-5d33-4707-968f-759cb3727fd5</errorID>
      <errorWord>，</errorWord>
      <group>L1_Punc</group>
      <groupName>标点问题</groupName>
      <ability>L2_Punc</ability>
      <abilityName>标点符号检查</abilityName>
      <candidateList>
        <item>。</item>
      </candidateList>
      <explain/>
      <paraID>2A4A2C95</paraID>
      <start>51</start>
      <end>52</end>
      <status>ignored</status>
      <modifiedWord/>
      <trackRevisions>false</trackRevisions>
    </reviewItem>
    <reviewItem>
      <errorID>a4c439b1-4cc0-4c9f-b312-34ca1fdaa30c</errorID>
      <errorWord>“人才金政50条”</errorWord>
      <group>L1_Punc</group>
      <groupName>标点问题</groupName>
      <ability>L2_Punc</ability>
      <abilityName>标点符号检查</abilityName>
      <candidateList>
        <item>《人才金政50条》</item>
      </candidateList>
      <explain/>
      <paraID>2A4A2C95</paraID>
      <start>164</start>
      <end>173</end>
      <status>ignored</status>
      <modifiedWord/>
      <trackRevisions>false</trackRevisions>
    </reviewItem>
    <reviewItem>
      <errorID>7a26a14f-31dd-4ff2-98a6-a828bc2b3836</errorID>
      <errorWord>，</errorWord>
      <group>L1_Punc</group>
      <groupName>标点问题</groupName>
      <ability>L2_Punc</ability>
      <abilityName>标点符号检查</abilityName>
      <candidateList>
        <item>。</item>
      </candidateList>
      <explain/>
      <paraID>2A4A2C95</paraID>
      <start>278</start>
      <end>279</end>
      <status>ignored</status>
      <modifiedWord/>
      <trackRevisions>false</trackRevisions>
    </reviewItem>
    <reviewItem>
      <errorID>2cd9e54a-6479-48d3-a631-7b8fec747bc1</errorID>
      <errorWord>及国外等发达地区</errorWord>
      <group>L1_Word</group>
      <groupName>字词问题</groupName>
      <ability>L2_Typo</ability>
      <abilityName>字词错误</abilityName>
      <candidateList>
        <item>等发达地区以及国外</item>
      </candidateList>
      <explain/>
      <paraID>2A4A2C95</paraID>
      <start>323</start>
      <end>331</end>
      <status>ignored</status>
      <modifiedWord/>
      <trackRevisions>false</trackRevisions>
    </reviewItem>
    <reviewItem>
      <errorID>609d0843-eb4e-4497-a85f-4ab511f3df26</errorID>
      <errorWord>问题</errorWord>
      <group>L1_Word</group>
      <groupName>字词问题</groupName>
      <ability>L2_Typo</ability>
      <abilityName>字词错误</abilityName>
      <candidateList>
        <item>的问题</item>
      </candidateList>
      <explain/>
      <paraID>2A4A2C95</paraID>
      <start>495</start>
      <end>497</end>
      <status>ignored</status>
      <modifiedWord/>
      <trackRevisions>false</trackRevisions>
    </reviewItem>
    <reviewItem>
      <errorID>5a74b3a2-41c0-47da-b90b-2b73011b5133</errorID>
      <errorWord>，</errorWord>
      <group>L1_Punc</group>
      <groupName>标点问题</groupName>
      <ability>L2_Punc</ability>
      <abilityName>标点符号检查</abilityName>
      <candidateList>
        <item>。</item>
      </candidateList>
      <explain/>
      <paraID>5982D8A5</paraID>
      <start>35</start>
      <end>36</end>
      <status>ignored</status>
      <modifiedWord/>
      <trackRevisions>false</trackRevisions>
    </reviewItem>
    <reviewItem>
      <errorID>f6850d99-6215-4bc5-b54b-b91465845255</errorID>
      <errorWord>；</errorWord>
      <group>L1_Punc</group>
      <groupName>标点问题</groupName>
      <ability>L2_Punc</ability>
      <abilityName>标点符号检查</abilityName>
      <candidateList>
        <item>。</item>
      </candidateList>
      <explain/>
      <paraID>74D1D941</paraID>
      <start>77</start>
      <end>78</end>
      <status>ignored</status>
      <modifiedWord/>
      <trackRevisions>false</trackRevisions>
    </reviewItem>
    <reviewItem>
      <errorID>2c61519a-084a-43f7-9c71-add5cbfaebea</errorID>
      <errorWord>，</errorWord>
      <group>L1_Punc</group>
      <groupName>标点问题</groupName>
      <ability>L2_Punc</ability>
      <abilityName>标点符号检查</abilityName>
      <candidateList>
        <item>。</item>
      </candidateList>
      <explain/>
      <paraID>1DF1AA16</paraID>
      <start>34</start>
      <end>35</end>
      <status>ignored</status>
      <modifiedWord/>
      <trackRevisions>false</trackRevisions>
    </reviewItem>
    <reviewItem>
      <errorID>e4a890e4-798e-440a-8876-41fb7204fcf8</errorID>
      <errorWord>产业链</errorWord>
      <group>L1_Punc</group>
      <groupName>标点问题</groupName>
      <ability>L2_Punc</ability>
      <abilityName>标点符号检查</abilityName>
      <candidateList>
        <item>、产业链</item>
      </candidateList>
      <explain/>
      <paraID>1DF1AA16</paraID>
      <start>80</start>
      <end>83</end>
      <status>ignored</status>
      <modifiedWord/>
      <trackRevisions>false</trackRevisions>
    </reviewItem>
    <reviewItem>
      <errorID>68411d80-5227-410d-affe-157ef34de34e</errorID>
      <errorWord>；</errorWord>
      <group>L1_Punc</group>
      <groupName>标点问题</groupName>
      <ability>L2_Punc</ability>
      <abilityName>标点符号检查</abilityName>
      <candidateList>
        <item>。</item>
      </candidateList>
      <explain/>
      <paraID>1DF1AA16</paraID>
      <start>89</start>
      <end>90</end>
      <status>ignored</status>
      <modifiedWord/>
      <trackRevisions>false</trackRevisions>
    </reviewItem>
    <reviewItem>
      <errorID>7e90b932-3726-4781-9b10-a59b9de7e393</errorID>
      <errorWord>，</errorWord>
      <group>L1_Punc</group>
      <groupName>标点问题</groupName>
      <ability>L2_Punc</ability>
      <abilityName>标点符号检查</abilityName>
      <candidateList>
        <item>。</item>
      </candidateList>
      <explain/>
      <paraID>1DF1AA16</paraID>
      <start>107</start>
      <end>108</end>
      <status>ignored</status>
      <modifiedWord/>
      <trackRevisions>false</trackRevisions>
    </reviewItem>
    <reviewItem>
      <errorID>9ac6be1d-2289-4d07-887c-fedb1e2c3e47</errorID>
      <errorWord>，</errorWord>
      <group>L1_Punc</group>
      <groupName>标点问题</groupName>
      <ability>L2_Punc</ability>
      <abilityName>标点符号检查</abilityName>
      <candidateList>
        <item>。</item>
      </candidateList>
      <explain/>
      <paraID>61F074BF</paraID>
      <start>29</start>
      <end>30</end>
      <status>ignored</status>
      <modifiedWord/>
      <trackRevisions>false</trackRevisions>
    </reviewItem>
    <reviewItem>
      <errorID>a54cc61c-3d2f-4495-b4fa-564c92449fcd</errorID>
      <errorWord> </errorWord>
      <group>L1_Punc</group>
      <groupName>标点问题</groupName>
      <ability>L2_Punc</ability>
      <abilityName>标点符号检查</abilityName>
      <candidateList>
        <item/>
      </candidateList>
      <explain>此处空格冗余，建议删除。</explain>
      <paraID>67FE34E8</paraID>
      <start>14</start>
      <end>15</end>
      <status>ignored</status>
      <modifiedWord/>
      <trackRevisions>false</trackRevisions>
    </reviewItem>
    <reviewItem>
      <errorID>e8a30596-a659-4e73-8c60-37be1661367e</errorID>
      <errorWord>更好服务</errorWord>
      <group>L1_Word</group>
      <groupName>字词问题</groupName>
      <ability>L2_Typo</ability>
      <abilityName>字词错误</abilityName>
      <candidateList>
        <item>更好地服务</item>
      </candidateList>
      <explain/>
      <paraID>519238FD</paraID>
      <start>86</start>
      <end>90</end>
      <status>ignored</status>
      <modifiedWord/>
      <trackRevisions>false</trackRevisions>
    </reviewItem>
    <reviewItem>
      <errorID>0ab99830-6db2-4b4f-8cac-5a3549095f06</errorID>
      <errorWord>七区</errorWord>
      <group>L1_Punc</group>
      <groupName>标点问题</groupName>
      <ability>L2_Punc</ability>
      <abilityName>标点符号检查</abilityName>
      <candidateList>
        <item>“七区”</item>
      </candidateList>
      <explain/>
      <paraID>45D412DC</paraID>
      <start>84</start>
      <end>86</end>
      <status>ignored</status>
      <modifiedWord/>
      <trackRevisions>false</trackRevisions>
    </reviewItem>
    <reviewItem>
      <errorID>15f4462c-6e62-428f-abed-405ae73b7f50</errorID>
      <errorWord>三路建设工程</errorWord>
      <group>L1_Grammar</group>
      <groupName>语法问题</groupName>
      <ability>L2_Grammar</ability>
      <abilityName>语法错误</abilityName>
      <candidateList>
        <item>三路</item>
      </candidateList>
      <explain/>
      <paraID>45D412DC</paraID>
      <start>150</start>
      <end>156</end>
      <status>ignored</status>
      <modifiedWord/>
      <trackRevisions>false</trackRevisions>
    </reviewItem>
    <reviewItem>
      <errorID>14a2a809-a160-484c-b27a-20c5b35d471b</errorID>
      <errorWord>推进</errorWord>
      <group>L1_Word</group>
      <groupName>字词问题</groupName>
      <ability>L2_Typo</ability>
      <abilityName>字词错误</abilityName>
      <candidateList>
        <item>以及</item>
      </candidateList>
      <explain/>
      <paraID>45D412DC</paraID>
      <start>229</start>
      <end>231</end>
      <status>ignored</status>
      <modifiedWord/>
      <trackRevisions>false</trackRevisions>
    </reviewItem>
    <reviewItem>
      <errorID>2ed9f3ea-74d6-4baf-9961-ea7422d3f550</errorID>
      <errorWord>，</errorWord>
      <group>L1_Grammar</group>
      <groupName>语法问题</groupName>
      <ability>L2_Grammar</ability>
      <abilityName>语法错误</abilityName>
      <candidateList>
        <item>政策，</item>
      </candidateList>
      <explain/>
      <paraID>613E9527</paraID>
      <start>115</start>
      <end>116</end>
      <status>ignored</status>
      <modifiedWord/>
      <trackRevisions>false</trackRevisions>
    </reviewItem>
    <reviewItem>
      <errorID>6cefe780-4dcf-463d-9c6d-7c04da01a963</errorID>
      <errorWord>，</errorWord>
      <group>L1_Grammar</group>
      <groupName>语法问题</groupName>
      <ability>L2_Grammar</ability>
      <abilityName>语法错误</abilityName>
      <candidateList>
        <item>行为，</item>
      </candidateList>
      <explain/>
      <paraID>613E9527</paraID>
      <start>152</start>
      <end>153</end>
      <status>ignored</status>
      <modifiedWord/>
      <trackRevisions>false</trackRevisions>
    </reviewItem>
    <reviewItem>
      <errorID>3c6d090c-c283-4f57-9da9-4b2da5c59124</errorID>
      <errorWord>开展</errorWord>
      <group>L1_Word</group>
      <groupName>字词问题</groupName>
      <ability>L2_Typo</ability>
      <abilityName>字词错误</abilityName>
      <candidateList>
        <item>作出</item>
      </candidateList>
      <explain/>
      <paraID>613E9527</paraID>
      <start>199</start>
      <end>201</end>
      <status>ignored</status>
      <modifiedWord/>
      <trackRevisions>false</trackRevisions>
    </reviewItem>
    <reviewItem>
      <errorID>88ae9555-5eb9-4f87-bb15-5fd66b2e40a2</errorID>
      <errorWord>“</errorWord>
      <group>L1_Punc</group>
      <groupName>标点问题</groupName>
      <ability>L2_Punc</ability>
      <abilityName>标点符号检查</abilityName>
      <candidateList>
        <item/>
      </candidateList>
      <explain/>
      <paraID>6D6F0964</paraID>
      <start>103</start>
      <end>104</end>
      <status>ignored</status>
      <modifiedWord/>
      <trackRevisions>false</trackRevisions>
    </reviewItem>
    <reviewItem>
      <errorID>a752369a-6be0-4b3a-aaf3-a6a3fef9deaf</errorID>
      <errorWord>”</errorWord>
      <group>L1_Punc</group>
      <groupName>标点问题</groupName>
      <ability>L2_Punc</ability>
      <abilityName>标点符号检查</abilityName>
      <candidateList>
        <item/>
      </candidateList>
      <explain/>
      <paraID>6D6F0964</paraID>
      <start>106</start>
      <end>107</end>
      <status>ignored</status>
      <modifiedWord/>
      <trackRevisions>false</trackRevisions>
    </reviewItem>
    <reviewItem>
      <errorID>535575dd-5c22-4a80-bf93-8bb372658e81</errorID>
      <errorWord>地方</errorWord>
      <group>L1_Grammar</group>
      <groupName>语法问题</groupName>
      <ability>L2_Grammar</ability>
      <abilityName>语法错误</abilityName>
      <candidateList>
        <item>具有地方</item>
      </candidateList>
      <explain/>
      <paraID>6D6F0964</paraID>
      <start>110</start>
      <end>112</end>
      <status>ignored</status>
      <modifiedWord/>
      <trackRevisions>false</trackRevisions>
    </reviewItem>
    <reviewItem>
      <errorID>172f734b-38d0-437d-9c60-1080f1bf76ba</errorID>
      <errorWord>活动</errorWord>
      <group>L1_Grammar</group>
      <groupName>语法问题</groupName>
      <ability>L2_Grammar</ability>
      <abilityName>语法错误</abilityName>
      <candidateList>
        <item>活动场所</item>
      </candidateList>
      <explain/>
      <paraID>6D6F0964</paraID>
      <start>117</start>
      <end>119</end>
      <status>ignored</status>
      <modifiedWord/>
      <trackRevisions>false</trackRevisions>
    </reviewItem>
    <reviewItem>
      <errorID>13dc1e74-05ae-4fa4-95b1-b354524e6947</errorID>
      <errorWord>“</errorWord>
      <group>L1_Word</group>
      <groupName>字词问题</groupName>
      <ability>L2_Typo</ability>
      <abilityName>字词错误</abilityName>
      <candidateList>
        <item>“以</item>
      </candidateList>
      <explain/>
      <paraID>24476243</paraID>
      <start>4</start>
      <end>5</end>
      <status>ignored</status>
      <modifiedWord/>
      <trackRevisions>false</trackRevisions>
    </reviewItem>
    <reviewItem>
      <errorID>1f9e897c-b92d-419b-8c04-dbbd3a2be2c3</errorID>
      <errorWord>亟需</errorWord>
      <group>L1_Word</group>
      <groupName>字词问题</groupName>
      <ability>L2_Typo</ability>
      <abilityName>字词错误</abilityName>
      <candidateList>
        <item>亟须</item>
      </candidateList>
      <explain/>
      <paraID>24476243</paraID>
      <start>303</start>
      <end>305</end>
      <status>ignored</status>
      <modifiedWord/>
      <trackRevisions>false</trackRevisions>
    </reviewItem>
    <reviewItem>
      <errorID>7c20d1cb-78da-4b08-9006-f03499a3baeb</errorID>
      <errorWord>融入和服务全国统一大市场</errorWord>
      <group>L1_Political</group>
      <groupName>政治性问题</groupName>
      <ability>L2_Keyword</ability>
      <abilityName>固定表述</abilityName>
      <candidateList>
        <item>融入服务全国统一大市场</item>
      </candidateList>
      <explain>词汇“融入服务全国统一大市场”在特定场景下为固定表述形式，请确认此处的“融入和服务全国统一大市场”是否存在不当。</explain>
      <paraID>12137D6D</paraID>
      <start>7</start>
      <end>19</end>
      <status>ignored</status>
      <modifiedWord/>
      <trackRevisions>false</trackRevisions>
    </reviewItem>
    <reviewItem>
      <errorID>0456dcf6-6844-463c-8c4c-700a63abbb57</errorID>
      <errorWord>亲清统一新型政商关系</errorWord>
      <group>L1_Political</group>
      <groupName>政治性问题</groupName>
      <ability>L2_Keyword</ability>
      <abilityName>固定表述</abilityName>
      <candidateList>
        <item>亲清统一的新型政商关系</item>
      </candidateList>
      <explain>词汇“亲清统一的新型政商关系”在特定场景下为固定表述形式，请确认此处的“亲清统一新型政商关系”是否存在不当。</explain>
      <paraID>146FF785</paraID>
      <start>229</start>
      <end>239</end>
      <status>ignored</status>
      <modifiedWord/>
      <trackRevisions>false</trackRevisions>
    </reviewItem>
    <reviewItem>
      <errorID>e8ff9487-8afb-498f-bde3-5ac72575d18f</errorID>
      <errorWord>促进</errorWord>
      <group>L1_Grammar</group>
      <groupName>语法问题</groupName>
      <ability>L2_Grammar</ability>
      <abilityName>语法错误</abilityName>
      <candidateList>
        <item>推动</item>
      </candidateList>
      <explain>“促进～人才”搭配不当，建议修改为“推动～人才”。</explain>
      <paraID> 8C94FA0</paraID>
      <start>168</start>
      <end>170</end>
      <status>ignored</status>
      <modifiedWord/>
      <trackRevisions>false</trackRevisions>
    </reviewItem>
    <reviewItem>
      <errorID>e0707079-3738-43bb-8e67-2c3f796e6480</errorID>
      <errorWord>政府债务管理机制</errorWord>
      <group>L1_Political</group>
      <groupName>政治性问题</groupName>
      <ability>L2_Keyword</ability>
      <abilityName>固定表述</abilityName>
      <candidateList>
        <item>政府债务管理长效机制</item>
      </candidateList>
      <explain>词汇“政府债务管理长效机制”在特定场景下为固定表述形式，请确认此处的“政府债务管理机制”是否存在不当。</explain>
      <paraID>455BE5A7</paraID>
      <start>292</start>
      <end>300</end>
      <status>ignored</status>
      <modifiedWord/>
      <trackRevisions>false</trackRevisions>
    </reviewItem>
    <reviewItem>
      <errorID>fa869927-889a-4bbe-9839-73c195ae8bb2</errorID>
      <errorWord>“三权”分置</errorWord>
      <group>L1_Political</group>
      <groupName>政治性问题</groupName>
      <ability>L2_Keyword</ability>
      <abilityName>固定表述</abilityName>
      <candidateList>
        <item>“三权分置”</item>
      </candidateList>
      <explain>注意检查当前固定表述标点是否使用规范。</explain>
      <paraID>12029795</paraID>
      <start>390</start>
      <end>396</end>
      <status>ignored</status>
      <modifiedWord/>
      <trackRevisions>false</trackRevisions>
    </reviewItem>
    <reviewItem>
      <errorID>d6f73f9f-ad74-419c-9542-b42a60402acb</errorID>
      <errorWord>黄河流域生态保护和高质量发展示范区</errorWord>
      <group>L1_Political</group>
      <groupName>政治性问题</groupName>
      <ability>L2_Keyword</ability>
      <abilityName>固定表述</abilityName>
      <candidateList>
        <item>黄河流域生态保护和高质量发展先行区</item>
      </candidateList>
      <explain>词汇“黄河流域生态保护和高质量发展先行区”在特定场景下为固定表述形式，请确认此处的“黄河流域生态保护和高质量发展示范区”是否存在不当。</explain>
      <paraID>6069A0A6</paraID>
      <start>168</start>
      <end>185</end>
      <status>ignored</status>
      <modifiedWord/>
      <trackRevisions>false</trackRevisions>
    </reviewItem>
    <reviewItem>
      <errorID>f5079839-ff5b-42dd-973d-5b021025331b</errorID>
      <errorWord>现代农业示范园</errorWord>
      <group>L1_Political</group>
      <groupName>政治性问题</groupName>
      <ability>L2_Keyword</ability>
      <abilityName>固定表述</abilityName>
      <candidateList>
        <item>现代农业产业园</item>
      </candidateList>
      <explain>词汇“现代农业产业园”在特定场景下为固定表述形式，请确认此处的“现代农业示范园”是否存在不当。</explain>
      <paraID>439163D3</paraID>
      <start>348</start>
      <end>355</end>
      <status>ignored</status>
      <modifiedWord/>
      <trackRevisions>false</trackRevisions>
    </reviewItem>
    <reviewItem>
      <errorID>3e9da21a-d4ae-45ac-b251-58555c6097c9</errorID>
      <errorWord>互助式养老服务</errorWord>
      <group>L1_Political</group>
      <groupName>政治性问题</groupName>
      <ability>L2_Keyword</ability>
      <abilityName>固定表述</abilityName>
      <candidateList>
        <item>互助性养老服务</item>
      </candidateList>
      <explain>词汇“互助性养老服务”在特定场景下为固定表述形式，请确认此处的“互助式养老服务”是否存在不当。</explain>
      <paraID>16023E0A</paraID>
      <start>216</start>
      <end>223</end>
      <status>ignored</status>
      <modifiedWord/>
      <trackRevisions>false</trackRevisions>
    </reviewItem>
    <reviewItem>
      <errorID>e043922b-0301-47c2-aa10-271d9b19476c</errorID>
      <errorWord>前被</errorWord>
      <group>L1_Word</group>
      <groupName>字词问题</groupName>
      <ability>L2_Typo</ability>
      <abilityName>字词错误</abilityName>
      <candidateList>
        <item>前</item>
      </candidateList>
      <explain>❶〈名〉方位词。在正面的（指空间，跟“后”相对）：～门｜村～村后。❷往前走：勇往直～｜畏缩不～。❸〈名〉方位词。次序靠近头里的（跟“后”相对）：～排｜他的成绩在班里总是～三名。❹〈名〉方位词。过去的；较早的（指时间，跟“后”相对）：～天｜从～｜～几年｜～功尽弃｜～所未有｜～无古人，后无来者。❺〈名〉方位词。</explain>
      <paraID>240367E8</paraID>
      <start>34</start>
      <end>36</end>
      <status>ignored</status>
      <modifiedWord/>
      <trackRevisions>false</trackRevisions>
    </reviewItem>
    <reviewItem>
      <errorID>9cb4188d-13c8-4192-b0bf-a5024be38c60</errorID>
      <errorWord>沂源精神</errorWord>
      <group>L1_Political</group>
      <groupName>政治性问题</groupName>
      <ability>L2_Keyword</ability>
      <abilityName>固定表述</abilityName>
      <candidateList>
        <item>沂蒙精神</item>
      </candidateList>
      <explain>词汇“沂蒙精神”在特定场景下为固定表述形式，请确认此处的“沂源精神”是否存在不当。</explain>
      <paraID>328FEE3C</paraID>
      <start>84</start>
      <end>88</end>
      <status>ignored</status>
      <modifiedWord/>
      <trackRevisions>false</trackRevisions>
    </reviewItem>
    <reviewItem>
      <errorID>e4ee6c7d-e2f3-4424-b3a3-de66544dee9d</errorID>
      <errorWord>经济与</errorWord>
      <group>L1_Word</group>
      <groupName>字词问题</groupName>
      <ability>L2_Typo</ability>
      <abilityName>字词错误</abilityName>
      <candidateList>
        <item>经济</item>
      </candidateList>
      <explain/>
      <paraID>503C61DD</paraID>
      <start>255</start>
      <end>258</end>
      <status>ignored</status>
      <modifiedWord/>
      <trackRevisions>false</trackRevisions>
    </reviewItem>
    <reviewItem>
      <errorID>965e0463-43b2-4af1-8977-2ea4b0cfafc1</errorID>
      <errorWord>能</errorWord>
      <group>L1_Word</group>
      <groupName>字词问题</groupName>
      <ability>L2_Typo</ability>
      <abilityName>字词错误</abilityName>
      <candidateList>
        <item>能为</item>
      </candidateList>
      <explain/>
      <paraID>587C70E6</paraID>
      <start>114</start>
      <end>115</end>
      <status>ignored</status>
      <modifiedWord/>
      <trackRevisions>false</trackRevisions>
    </reviewItem>
    <reviewItem>
      <errorID>4306874d-6a74-4a1b-a1c8-814a0da69895</errorID>
      <errorWord>三</errorWord>
      <group>L1_Word</group>
      <groupName>字词问题</groupName>
      <ability>L2_Typo</ability>
      <abilityName>字词错误</abilityName>
      <candidateList>
        <item>三个</item>
      </candidateList>
      <explain/>
      <paraID>5702C3FE</paraID>
      <start>161</start>
      <end>162</end>
      <status>ignored</status>
      <modifiedWord/>
      <trackRevisions>false</trackRevisions>
    </reviewItem>
    <reviewItem>
      <errorID>9be19f6f-abeb-4d12-8e3b-df5cba9f3880</errorID>
      <errorWord>量力而行、尽力而为</errorWord>
      <group>L1_Political</group>
      <groupName>政治性问题</groupName>
      <ability>L2_Keyword</ability>
      <abilityName>固定表述</abilityName>
      <candidateList>
        <item>尽力而为、量力而行</item>
      </candidateList>
      <explain>词汇“尽力而为、量力而行”在特定场景下为固定表述形式，请确认此处的“量力而行、尽力而为”是否存在不当。</explain>
      <paraID>14C7BF59</paraID>
      <start>52</start>
      <end>61</end>
      <status>ignored</status>
      <modifiedWord/>
      <trackRevisions>false</trackRevisions>
    </reviewItem>
    <reviewItem>
      <errorID>7aacc0d5-9c22-484c-b94e-584d660e0d70</errorID>
      <errorWord>教干教师</errorWord>
      <group>L1_Word</group>
      <groupName>字词问题</groupName>
      <ability>L2_Typo</ability>
      <abilityName>字词错误</abilityName>
      <candidateList>
        <item>骨干教师</item>
      </candidateList>
      <explain/>
      <paraID>46CDAF43</paraID>
      <start>144</start>
      <end>148</end>
      <status>ignored</status>
      <modifiedWord/>
      <trackRevisions>false</trackRevisions>
    </reviewItem>
    <reviewItem>
      <errorID>025b3a28-33b2-402a-952d-6a0a2fee4c21</errorID>
      <errorWord>综合养老服务</errorWord>
      <group>L1_Political</group>
      <groupName>政治性问题</groupName>
      <ability>L2_Keyword</ability>
      <abilityName>固定表述</abilityName>
      <candidateList>
        <item>综合为老服务</item>
      </candidateList>
      <explain>词汇“综合为老服务”在特定场景下为固定表述形式，请确认此处的“综合养老服务”是否存在不当。</explain>
      <paraID>1AE0B015</paraID>
      <start>137</start>
      <end>143</end>
      <status>ignored</status>
      <modifiedWord/>
      <trackRevisions>false</trackRevisions>
    </reviewItem>
    <reviewItem>
      <errorID>f1ab4236-83ec-4c69-9d8d-717d7359c960</errorID>
      <errorWord>国土空间开发和保护</errorWord>
      <group>L1_Political</group>
      <groupName>政治性问题</groupName>
      <ability>L2_Keyword</ability>
      <abilityName>固定表述</abilityName>
      <candidateList>
        <item>国土空间开发保护</item>
      </candidateList>
      <explain>词汇“国土空间开发保护”在特定场景下为固定表述形式，请确认此处的“国土空间开发和保护”是否存在不当。</explain>
      <paraID>2C304547</paraID>
      <start>6</start>
      <end>15</end>
      <status>ignored</status>
      <modifiedWord/>
      <trackRevisions>false</trackRevisions>
    </reviewItem>
    <reviewItem>
      <errorID>38d6a052-f1d5-4ed3-8aed-3b24b1d5e061</errorID>
      <errorWord>持</errorWord>
      <group>L1_Word</group>
      <groupName>字词问题</groupName>
      <ability>L2_Typo</ability>
      <abilityName>字词错误</abilityName>
      <candidateList>
        <item>持在</item>
      </candidateList>
      <explain/>
      <paraID> 696885A</paraID>
      <start>393</start>
      <end>394</end>
      <status>ignored</status>
      <modifiedWord/>
      <trackRevisions>false</trackRevisions>
    </reviewItem>
    <reviewItem>
      <errorID>4b32f046-2226-49fc-9807-73dbc13328ed</errorID>
      <errorWord>生态产品价值评估机制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词汇“生态产品价值实现机制”在特定场景下为固定表述形式，请确认此处的“生态产品价值评估机制”是否存在不当。</explain>
      <paraID>3280F6E8</paraID>
      <start>41</start>
      <end>51</end>
      <status>ignored</status>
      <modifiedWord/>
      <trackRevisions>false</trackRevisions>
    </reviewItem>
    <reviewItem>
      <errorID>97a5f087-866a-4699-843d-26e330064b72</errorID>
      <errorWord>生态产品价值考核机制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词汇“生态产品价值实现机制”在特定场景下为固定表述形式，请确认此处的“生态产品价值考核机制”是否存在不当。</explain>
      <paraID>3280F6E8</paraID>
      <start>168</start>
      <end>178</end>
      <status>ignored</status>
      <modifiedWord/>
      <trackRevisions>false</trackRevisions>
    </reviewItem>
    <reviewItem>
      <errorID>2fe22813-d516-41e6-9043-2972ecdc00ab</errorID>
      <errorWord>安全生产治本攻坚行动</errorWord>
      <group>L1_Political</group>
      <groupName>政治性问题</groupName>
      <ability>L2_Keyword</ability>
      <abilityName>固定表述</abilityName>
      <candidateList>
        <item>安全生产治本攻坚三年行动</item>
      </candidateList>
      <explain>词汇“安全生产治本攻坚三年行动”在特定场景下为固定表述形式，请确认此处的“安全生产治本攻坚行动”是否存在不当。</explain>
      <paraID> 2AE57BC</paraID>
      <start>2</start>
      <end>12</end>
      <status>ignored</status>
      <modifiedWord/>
      <trackRevisions>false</trackRevisions>
    </reviewItem>
    <reviewItem>
      <errorID>4bfb998e-89cb-4240-a68b-772cc3767601</errorID>
      <errorWord>党的知识分子</errorWord>
      <group>L1_Political</group>
      <groupName>政治性问题</groupName>
      <ability>L2_Keyword</ability>
      <abilityName>固定表述</abilityName>
      <candidateList>
        <item>党外知识分子</item>
      </candidateList>
      <explain>词汇“党外知识分子”在特定场景下为固定表述形式，请确认此处的“党的知识分子”是否存在不当。</explain>
      <paraID>3386235A</paraID>
      <start>144</start>
      <end>150</end>
      <status>ignored</status>
      <modifiedWord/>
      <trackRevisions>false</trackRevisions>
    </reviewItem>
    <reviewItem>
      <errorID>75036aeb-c844-4b11-8f84-b2b6f62657c2</errorID>
      <errorWord>，</errorWord>
      <group>L1_Punc</group>
      <groupName>标点问题</groupName>
      <ability>L2_Punc</ability>
      <abilityName>标点符号检查</abilityName>
      <candidateList/>
      <explain/>
      <paraID>10D21643</paraID>
      <start>43</start>
      <end>44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b335ee-b27c-4c54-8f4a-476ecfee2d09}">
  <ds:schemaRefs/>
</ds:datastoreItem>
</file>

<file path=docProps/app.xml><?xml version="1.0" encoding="utf-8"?>
<Properties xmlns="http://schemas.openxmlformats.org/officeDocument/2006/extended-properties" xmlns:vt="http://schemas.openxmlformats.org/officeDocument/2006/docPropsVTypes">
  <Template>Normal.dotm</Template>
  <Pages>132</Pages>
  <Words>44661</Words>
  <Characters>45265</Characters>
  <Lines>0</Lines>
  <Paragraphs>0</Paragraphs>
  <TotalTime>19</TotalTime>
  <ScaleCrop>false</ScaleCrop>
  <LinksUpToDate>false</LinksUpToDate>
  <CharactersWithSpaces>45459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2025-09-01T15:01:00Z</dcterms:created>
  <dc:creator>巍巍昆仑</dc:creator>
  <cp:lastModifiedBy>Administrator</cp:lastModifiedBy>
  <cp:lastPrinted>2026-07-17T07:07:00Z</cp:lastPrinted>
  <dcterms:modified xsi:type="dcterms:W3CDTF">2026-07-29T00:56:58Z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032B2DC838CD48CD8402EFB2A679CAF4_13</vt:lpwstr>
  </property>
  <property fmtid="{D5CDD505-2E9C-101B-9397-08002B2CF9AE}" pid="4" name="KSOTemplateDocerSaveRecord">
    <vt:lpwstr>eyJoZGlkIjoiZTRjMDhjYjU0NzNiM2U3NDEyZTYyMWZkMzE2NjUxY2UiLCJ1c2VySWQiOiIzMDQyMzM4NDkifQ==</vt:lpwstr>
  </property>
</Properties>
</file>