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bCs/>
          <w:color w:val="auto"/>
          <w:sz w:val="44"/>
          <w:szCs w:val="44"/>
        </w:rPr>
      </w:pPr>
    </w:p>
    <w:p>
      <w:pPr>
        <w:pStyle w:val="2"/>
        <w:keepNext w:val="0"/>
        <w:keepLines w:val="0"/>
        <w:pageBreakBefore w:val="0"/>
        <w:kinsoku/>
        <w:wordWrap/>
        <w:overflowPunct/>
        <w:topLinePunct w:val="0"/>
        <w:autoSpaceDE/>
        <w:autoSpaceDN/>
        <w:bidi w:val="0"/>
        <w:adjustRightInd/>
        <w:snapToGrid/>
        <w:spacing w:after="0" w:line="560" w:lineRule="exact"/>
        <w:ind w:left="0" w:leftChars="0"/>
        <w:textAlignment w:val="auto"/>
        <w:rPr>
          <w:rFonts w:hint="eastAsia"/>
          <w:b/>
          <w:bCs/>
          <w:color w:val="auto"/>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方正小标宋简体" w:hAnsi="方正小标宋简体" w:eastAsia="方正小标宋简体" w:cs="方正小标宋简体"/>
          <w:b/>
          <w:bCs/>
          <w:color w:val="auto"/>
          <w:sz w:val="44"/>
          <w:szCs w:val="44"/>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方正小标宋简体" w:hAnsi="方正小标宋简体" w:eastAsia="方正小标宋简体" w:cs="方正小标宋简体"/>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bCs/>
          <w:color w:val="auto"/>
          <w:sz w:val="44"/>
          <w:szCs w:val="44"/>
        </w:rPr>
      </w:pPr>
    </w:p>
    <w:p>
      <w:pPr>
        <w:pStyle w:val="2"/>
        <w:rPr>
          <w:rFonts w:hint="eastAsia"/>
          <w:color w:val="auto"/>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b/>
          <w:bCs/>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燕政发</w:t>
      </w:r>
      <w:r>
        <w:rPr>
          <w:rFonts w:hint="eastAsia" w:ascii="楷体_GB2312" w:hAnsi="楷体_GB2312" w:eastAsia="楷体_GB2312" w:cs="楷体_GB2312"/>
          <w:b/>
          <w:bCs/>
          <w:color w:val="auto"/>
          <w:sz w:val="32"/>
          <w:szCs w:val="32"/>
        </w:rPr>
        <w:t>〔20</w:t>
      </w:r>
      <w:r>
        <w:rPr>
          <w:rFonts w:hint="eastAsia" w:ascii="楷体_GB2312" w:hAnsi="楷体_GB2312" w:eastAsia="楷体_GB2312" w:cs="楷体_GB2312"/>
          <w:b/>
          <w:bCs/>
          <w:color w:val="auto"/>
          <w:sz w:val="32"/>
          <w:szCs w:val="32"/>
          <w:lang w:val="en-US" w:eastAsia="zh-CN"/>
        </w:rPr>
        <w:t>20</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 xml:space="preserve"> 2 </w:t>
      </w:r>
      <w:r>
        <w:rPr>
          <w:rFonts w:hint="eastAsia" w:ascii="楷体_GB2312" w:hAnsi="楷体_GB2312" w:eastAsia="楷体_GB2312" w:cs="楷体_GB2312"/>
          <w:b/>
          <w:bCs/>
          <w:color w:val="auto"/>
          <w:sz w:val="32"/>
          <w:szCs w:val="32"/>
        </w:rPr>
        <w:t>号</w:t>
      </w:r>
    </w:p>
    <w:p>
      <w:pPr>
        <w:pStyle w:val="2"/>
        <w:rPr>
          <w:rFonts w:hint="eastAsia"/>
          <w:b/>
          <w:bCs/>
          <w:color w:val="auto"/>
          <w:lang w:val="en-US" w:eastAsia="zh-CN"/>
        </w:rPr>
      </w:pPr>
    </w:p>
    <w:p>
      <w:pPr>
        <w:pStyle w:val="2"/>
        <w:rPr>
          <w:rFonts w:hint="eastAsia"/>
          <w:b/>
          <w:bCs/>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燕崖镇人民政府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宋体" w:eastAsia="方正小标宋简体" w:cs="宋体"/>
          <w:b/>
          <w:bCs/>
          <w:color w:val="auto"/>
          <w:sz w:val="44"/>
          <w:szCs w:val="44"/>
        </w:rPr>
        <w:t>关于印发《消防安全风险隐患</w:t>
      </w:r>
      <w:r>
        <w:rPr>
          <w:rFonts w:hint="eastAsia" w:ascii="方正小标宋简体" w:hAnsi="Arial" w:eastAsia="方正小标宋简体" w:cs="Arial"/>
          <w:b/>
          <w:bCs/>
          <w:color w:val="auto"/>
          <w:sz w:val="44"/>
          <w:szCs w:val="44"/>
        </w:rPr>
        <w:t>“</w:t>
      </w:r>
      <w:r>
        <w:rPr>
          <w:rFonts w:hint="eastAsia" w:ascii="方正小标宋简体" w:hAnsi="宋体" w:eastAsia="方正小标宋简体" w:cs="宋体"/>
          <w:b/>
          <w:bCs/>
          <w:color w:val="auto"/>
          <w:sz w:val="44"/>
          <w:szCs w:val="44"/>
        </w:rPr>
        <w:t>大起底、大整治</w:t>
      </w:r>
      <w:r>
        <w:rPr>
          <w:rFonts w:hint="eastAsia" w:ascii="方正小标宋简体" w:hAnsi="Arial" w:eastAsia="方正小标宋简体" w:cs="Arial"/>
          <w:b/>
          <w:bCs/>
          <w:color w:val="auto"/>
          <w:sz w:val="44"/>
          <w:szCs w:val="44"/>
        </w:rPr>
        <w:t>”</w:t>
      </w:r>
      <w:r>
        <w:rPr>
          <w:rFonts w:hint="eastAsia" w:ascii="方正小标宋简体" w:hAnsi="宋体" w:eastAsia="方正小标宋简体" w:cs="宋体"/>
          <w:b/>
          <w:bCs/>
          <w:color w:val="auto"/>
          <w:sz w:val="44"/>
          <w:szCs w:val="44"/>
        </w:rPr>
        <w:t>百日攻坚行动方案》的通知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各</w:t>
      </w:r>
      <w:r>
        <w:rPr>
          <w:rFonts w:hint="eastAsia" w:ascii="仿宋_GB2312" w:hAnsi="仿宋_GB2312" w:eastAsia="仿宋_GB2312" w:cs="仿宋_GB2312"/>
          <w:b/>
          <w:bCs/>
          <w:color w:val="auto"/>
          <w:sz w:val="32"/>
          <w:szCs w:val="32"/>
          <w:lang w:eastAsia="zh-CN"/>
        </w:rPr>
        <w:t>责任区、村</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镇</w:t>
      </w:r>
      <w:r>
        <w:rPr>
          <w:rFonts w:hint="eastAsia" w:ascii="仿宋_GB2312" w:hAnsi="仿宋_GB2312" w:eastAsia="仿宋_GB2312" w:cs="仿宋_GB2312"/>
          <w:b/>
          <w:bCs/>
          <w:color w:val="auto"/>
          <w:sz w:val="32"/>
          <w:szCs w:val="32"/>
        </w:rPr>
        <w:t>安委会</w:t>
      </w:r>
      <w:bookmarkStart w:id="2" w:name="_GoBack"/>
      <w:bookmarkEnd w:id="2"/>
      <w:r>
        <w:rPr>
          <w:rFonts w:hint="eastAsia" w:ascii="仿宋_GB2312" w:hAnsi="仿宋_GB2312" w:eastAsia="仿宋_GB2312" w:cs="仿宋_GB2312"/>
          <w:b/>
          <w:bCs/>
          <w:color w:val="auto"/>
          <w:sz w:val="32"/>
          <w:szCs w:val="32"/>
        </w:rPr>
        <w:t>各成员单位</w:t>
      </w:r>
      <w:r>
        <w:rPr>
          <w:rFonts w:hint="eastAsia" w:ascii="仿宋_GB2312" w:hAnsi="仿宋_GB2312" w:eastAsia="仿宋_GB2312" w:cs="仿宋_GB2312"/>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为贯彻落实</w:t>
      </w:r>
      <w:r>
        <w:rPr>
          <w:rFonts w:hint="eastAsia" w:ascii="仿宋_GB2312" w:hAnsi="仿宋_GB2312" w:eastAsia="仿宋_GB2312" w:cs="仿宋_GB2312"/>
          <w:b/>
          <w:bCs/>
          <w:color w:val="auto"/>
          <w:sz w:val="32"/>
          <w:szCs w:val="32"/>
          <w:lang w:val="en-US" w:eastAsia="zh-CN"/>
        </w:rPr>
        <w:t>县</w:t>
      </w:r>
      <w:r>
        <w:rPr>
          <w:rFonts w:hint="eastAsia" w:ascii="仿宋_GB2312" w:hAnsi="仿宋_GB2312" w:eastAsia="仿宋_GB2312" w:cs="仿宋_GB2312"/>
          <w:b/>
          <w:bCs/>
          <w:color w:val="auto"/>
          <w:sz w:val="32"/>
          <w:szCs w:val="32"/>
        </w:rPr>
        <w:t>安委会办公室《消防安全风险隐患“大起底、大整治”百日攻坚行动方案》（源安办发〔2019〕</w:t>
      </w:r>
      <w:r>
        <w:rPr>
          <w:rFonts w:hint="eastAsia" w:ascii="仿宋_GB2312" w:hAnsi="仿宋_GB2312" w:eastAsia="仿宋_GB2312" w:cs="仿宋_GB2312"/>
          <w:b/>
          <w:bCs/>
          <w:color w:val="auto"/>
          <w:sz w:val="32"/>
          <w:szCs w:val="32"/>
          <w:lang w:val="en-US" w:eastAsia="zh-CN"/>
        </w:rPr>
        <w:t>107</w:t>
      </w:r>
      <w:r>
        <w:rPr>
          <w:rFonts w:hint="eastAsia" w:ascii="仿宋_GB2312" w:hAnsi="仿宋_GB2312" w:eastAsia="仿宋_GB2312" w:cs="仿宋_GB2312"/>
          <w:b/>
          <w:bCs/>
          <w:color w:val="auto"/>
          <w:sz w:val="32"/>
          <w:szCs w:val="32"/>
        </w:rPr>
        <w:t>号）要求，</w:t>
      </w:r>
      <w:r>
        <w:rPr>
          <w:rFonts w:hint="eastAsia" w:ascii="仿宋_GB2312" w:hAnsi="仿宋_GB2312" w:eastAsia="仿宋_GB2312" w:cs="仿宋_GB2312"/>
          <w:b/>
          <w:bCs/>
          <w:color w:val="auto"/>
          <w:sz w:val="32"/>
          <w:szCs w:val="32"/>
          <w:lang w:val="en-US" w:eastAsia="zh-CN"/>
        </w:rPr>
        <w:t>燕崖镇</w:t>
      </w:r>
      <w:r>
        <w:rPr>
          <w:rFonts w:hint="eastAsia" w:ascii="仿宋_GB2312" w:hAnsi="仿宋_GB2312" w:eastAsia="仿宋_GB2312" w:cs="仿宋_GB2312"/>
          <w:b/>
          <w:bCs/>
          <w:color w:val="auto"/>
          <w:sz w:val="32"/>
          <w:szCs w:val="32"/>
        </w:rPr>
        <w:t>制定了《</w:t>
      </w:r>
      <w:r>
        <w:rPr>
          <w:rFonts w:hint="eastAsia" w:ascii="仿宋_GB2312" w:hAnsi="仿宋_GB2312" w:eastAsia="仿宋_GB2312" w:cs="仿宋_GB2312"/>
          <w:b/>
          <w:bCs/>
          <w:color w:val="auto"/>
          <w:sz w:val="32"/>
          <w:szCs w:val="32"/>
          <w:lang w:val="en-US" w:eastAsia="zh-CN"/>
        </w:rPr>
        <w:t>燕崖镇</w:t>
      </w:r>
      <w:r>
        <w:rPr>
          <w:rFonts w:hint="eastAsia" w:ascii="仿宋_GB2312" w:hAnsi="仿宋_GB2312" w:eastAsia="仿宋_GB2312" w:cs="仿宋_GB2312"/>
          <w:b/>
          <w:bCs/>
          <w:color w:val="auto"/>
          <w:sz w:val="32"/>
          <w:szCs w:val="32"/>
        </w:rPr>
        <w:t>消防安全风险隐患“大起底、大整治”百日攻坚行动方案》，现印发给你们，望结合实际，认真抓好落实。</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19" w:firstLineChars="15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燕崖镇人民政府</w:t>
      </w:r>
    </w:p>
    <w:p>
      <w:pPr>
        <w:keepNext w:val="0"/>
        <w:keepLines w:val="0"/>
        <w:pageBreakBefore w:val="0"/>
        <w:widowControl w:val="0"/>
        <w:kinsoku/>
        <w:wordWrap/>
        <w:overflowPunct/>
        <w:topLinePunct w:val="0"/>
        <w:autoSpaceDE/>
        <w:autoSpaceDN/>
        <w:bidi w:val="0"/>
        <w:adjustRightInd/>
        <w:snapToGrid/>
        <w:spacing w:line="560" w:lineRule="exact"/>
        <w:ind w:firstLine="4819" w:firstLineChars="15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20</w:t>
      </w: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日</w:t>
      </w:r>
    </w:p>
    <w:p>
      <w:pPr>
        <w:keepNext w:val="0"/>
        <w:keepLines w:val="0"/>
        <w:pageBreakBefore w:val="0"/>
        <w:widowControl/>
        <w:kinsoku/>
        <w:wordWrap/>
        <w:overflowPunct/>
        <w:topLinePunct w:val="0"/>
        <w:autoSpaceDE/>
        <w:autoSpaceDN/>
        <w:bidi w:val="0"/>
        <w:adjustRightInd/>
        <w:spacing w:line="560" w:lineRule="exact"/>
        <w:ind w:right="80"/>
        <w:jc w:val="center"/>
        <w:textAlignment w:val="auto"/>
        <w:rPr>
          <w:rFonts w:hint="eastAsia" w:ascii="方正小标宋简体" w:hAnsi="宋体" w:eastAsia="方正小标宋简体" w:cs="宋体"/>
          <w:b/>
          <w:bCs/>
          <w:color w:val="auto"/>
          <w:sz w:val="44"/>
          <w:szCs w:val="44"/>
        </w:rPr>
      </w:pPr>
    </w:p>
    <w:p>
      <w:pPr>
        <w:keepNext w:val="0"/>
        <w:keepLines w:val="0"/>
        <w:pageBreakBefore w:val="0"/>
        <w:widowControl/>
        <w:kinsoku/>
        <w:wordWrap/>
        <w:overflowPunct/>
        <w:topLinePunct w:val="0"/>
        <w:autoSpaceDE/>
        <w:autoSpaceDN/>
        <w:bidi w:val="0"/>
        <w:adjustRightInd/>
        <w:spacing w:line="560" w:lineRule="exact"/>
        <w:ind w:right="80"/>
        <w:jc w:val="center"/>
        <w:textAlignment w:val="auto"/>
        <w:rPr>
          <w:rFonts w:hint="eastAsia" w:ascii="方正小标宋简体" w:hAnsi="Arial" w:eastAsia="方正小标宋简体" w:cs="Arial"/>
          <w:b/>
          <w:bCs/>
          <w:color w:val="auto"/>
          <w:sz w:val="44"/>
          <w:szCs w:val="44"/>
        </w:rPr>
      </w:pPr>
      <w:r>
        <w:rPr>
          <w:rFonts w:hint="eastAsia" w:ascii="方正小标宋简体" w:hAnsi="宋体" w:eastAsia="方正小标宋简体" w:cs="宋体"/>
          <w:b/>
          <w:bCs/>
          <w:color w:val="auto"/>
          <w:sz w:val="44"/>
          <w:szCs w:val="44"/>
        </w:rPr>
        <w:t>消防安全风险隐患</w:t>
      </w:r>
      <w:r>
        <w:rPr>
          <w:rFonts w:hint="eastAsia" w:ascii="方正小标宋简体" w:hAnsi="Arial" w:eastAsia="方正小标宋简体" w:cs="Arial"/>
          <w:b/>
          <w:bCs/>
          <w:color w:val="auto"/>
          <w:sz w:val="44"/>
          <w:szCs w:val="44"/>
        </w:rPr>
        <w:t>“</w:t>
      </w:r>
      <w:r>
        <w:rPr>
          <w:rFonts w:hint="eastAsia" w:ascii="方正小标宋简体" w:hAnsi="宋体" w:eastAsia="方正小标宋简体" w:cs="宋体"/>
          <w:b/>
          <w:bCs/>
          <w:color w:val="auto"/>
          <w:sz w:val="44"/>
          <w:szCs w:val="44"/>
        </w:rPr>
        <w:t>大起底、大整治</w:t>
      </w:r>
      <w:r>
        <w:rPr>
          <w:rFonts w:hint="eastAsia" w:ascii="方正小标宋简体" w:hAnsi="Arial" w:eastAsia="方正小标宋简体" w:cs="Arial"/>
          <w:b/>
          <w:bCs/>
          <w:color w:val="auto"/>
          <w:sz w:val="44"/>
          <w:szCs w:val="44"/>
        </w:rPr>
        <w:t>”</w:t>
      </w:r>
    </w:p>
    <w:p>
      <w:pPr>
        <w:keepNext w:val="0"/>
        <w:keepLines w:val="0"/>
        <w:pageBreakBefore w:val="0"/>
        <w:widowControl/>
        <w:kinsoku/>
        <w:wordWrap/>
        <w:overflowPunct/>
        <w:topLinePunct w:val="0"/>
        <w:autoSpaceDE/>
        <w:autoSpaceDN/>
        <w:bidi w:val="0"/>
        <w:adjustRightInd/>
        <w:spacing w:line="560" w:lineRule="exact"/>
        <w:ind w:right="80"/>
        <w:jc w:val="center"/>
        <w:textAlignment w:val="auto"/>
        <w:rPr>
          <w:rFonts w:hint="eastAsia" w:ascii="方正小标宋简体" w:eastAsia="方正小标宋简体"/>
          <w:b/>
          <w:bCs/>
          <w:color w:val="auto"/>
          <w:sz w:val="44"/>
          <w:szCs w:val="44"/>
        </w:rPr>
      </w:pPr>
      <w:r>
        <w:rPr>
          <w:rFonts w:hint="eastAsia" w:ascii="方正小标宋简体" w:hAnsi="宋体" w:eastAsia="方正小标宋简体" w:cs="宋体"/>
          <w:b/>
          <w:bCs/>
          <w:color w:val="auto"/>
          <w:sz w:val="44"/>
          <w:szCs w:val="44"/>
        </w:rPr>
        <w:t>百日攻坚行动方案</w:t>
      </w:r>
    </w:p>
    <w:p>
      <w:pPr>
        <w:keepNext w:val="0"/>
        <w:keepLines w:val="0"/>
        <w:pageBreakBefore w:val="0"/>
        <w:widowControl/>
        <w:kinsoku/>
        <w:wordWrap/>
        <w:overflowPunct/>
        <w:topLinePunct w:val="0"/>
        <w:autoSpaceDE/>
        <w:autoSpaceDN/>
        <w:bidi w:val="0"/>
        <w:adjustRightInd/>
        <w:spacing w:line="560" w:lineRule="exact"/>
        <w:ind w:left="140" w:right="80"/>
        <w:jc w:val="center"/>
        <w:textAlignment w:val="auto"/>
        <w:rPr>
          <w:rFonts w:ascii="方正小标宋简体" w:eastAsia="方正小标宋简体"/>
          <w:b/>
          <w:bCs/>
          <w:color w:val="auto"/>
          <w:sz w:val="20"/>
          <w:szCs w:val="20"/>
        </w:rPr>
      </w:pP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jc w:val="both"/>
        <w:textAlignment w:val="auto"/>
        <w:rPr>
          <w:rFonts w:ascii="仿宋_GB2312" w:hAnsi="宋体" w:eastAsia="仿宋_GB2312" w:cs="宋体"/>
          <w:b/>
          <w:bCs/>
          <w:color w:val="auto"/>
          <w:sz w:val="32"/>
          <w:szCs w:val="32"/>
        </w:rPr>
      </w:pPr>
      <w:r>
        <w:rPr>
          <w:rFonts w:hint="eastAsia" w:ascii="仿宋_GB2312" w:hAnsi="宋体" w:eastAsia="仿宋_GB2312" w:cs="宋体"/>
          <w:b/>
          <w:bCs/>
          <w:color w:val="auto"/>
          <w:sz w:val="32"/>
          <w:szCs w:val="32"/>
        </w:rPr>
        <w:t>根据国务院安委会《关于印发全国安全生产集中整治工作方案的通知》、国务院安委会办公室《关于加强冬春火灾防控工作的 通知》</w:t>
      </w:r>
      <w:r>
        <w:rPr>
          <w:rFonts w:hint="eastAsia" w:ascii="仿宋_GB2312" w:hAnsi="宋体" w:eastAsia="仿宋_GB2312" w:cs="宋体"/>
          <w:b/>
          <w:bCs/>
          <w:color w:val="auto"/>
          <w:sz w:val="32"/>
          <w:szCs w:val="32"/>
          <w:lang w:eastAsia="zh-CN"/>
        </w:rPr>
        <w:t>和</w:t>
      </w:r>
      <w:r>
        <w:rPr>
          <w:rFonts w:hint="eastAsia" w:ascii="仿宋_GB2312" w:hAnsi="宋体" w:eastAsia="仿宋_GB2312" w:cs="宋体"/>
          <w:b/>
          <w:bCs/>
          <w:color w:val="auto"/>
          <w:sz w:val="32"/>
          <w:szCs w:val="32"/>
        </w:rPr>
        <w:t>省</w:t>
      </w:r>
      <w:r>
        <w:rPr>
          <w:rFonts w:hint="eastAsia" w:ascii="仿宋_GB2312" w:hAnsi="宋体" w:eastAsia="仿宋_GB2312" w:cs="宋体"/>
          <w:b/>
          <w:bCs/>
          <w:color w:val="auto"/>
          <w:sz w:val="32"/>
          <w:szCs w:val="32"/>
          <w:lang w:eastAsia="zh-CN"/>
        </w:rPr>
        <w:t>、市、</w:t>
      </w:r>
      <w:r>
        <w:rPr>
          <w:rFonts w:hint="eastAsia" w:ascii="仿宋_GB2312" w:hAnsi="宋体" w:eastAsia="仿宋_GB2312" w:cs="宋体"/>
          <w:b/>
          <w:bCs/>
          <w:color w:val="auto"/>
          <w:sz w:val="32"/>
          <w:szCs w:val="32"/>
          <w:lang w:val="en-US" w:eastAsia="zh-CN"/>
        </w:rPr>
        <w:t>县</w:t>
      </w:r>
      <w:r>
        <w:rPr>
          <w:rFonts w:hint="eastAsia" w:ascii="仿宋_GB2312" w:hAnsi="宋体" w:eastAsia="仿宋_GB2312" w:cs="宋体"/>
          <w:b/>
          <w:bCs/>
          <w:color w:val="auto"/>
          <w:sz w:val="32"/>
          <w:szCs w:val="32"/>
        </w:rPr>
        <w:t>安委会办公室《消防安全风险隐患</w:t>
      </w:r>
      <w:r>
        <w:rPr>
          <w:rFonts w:hint="eastAsia" w:ascii="仿宋_GB2312" w:hAnsi="Arial" w:eastAsia="仿宋_GB2312" w:cs="Arial"/>
          <w:b/>
          <w:bCs/>
          <w:color w:val="auto"/>
          <w:sz w:val="32"/>
          <w:szCs w:val="32"/>
        </w:rPr>
        <w:t>“</w:t>
      </w:r>
      <w:r>
        <w:rPr>
          <w:rFonts w:hint="eastAsia" w:ascii="仿宋_GB2312" w:hAnsi="宋体" w:eastAsia="仿宋_GB2312" w:cs="宋体"/>
          <w:b/>
          <w:bCs/>
          <w:color w:val="auto"/>
          <w:sz w:val="32"/>
          <w:szCs w:val="32"/>
        </w:rPr>
        <w:t>大起底、大整治</w:t>
      </w:r>
      <w:r>
        <w:rPr>
          <w:rFonts w:hint="eastAsia" w:ascii="仿宋_GB2312" w:hAnsi="Arial" w:eastAsia="仿宋_GB2312" w:cs="Arial"/>
          <w:b/>
          <w:bCs/>
          <w:color w:val="auto"/>
          <w:sz w:val="32"/>
          <w:szCs w:val="32"/>
        </w:rPr>
        <w:t>”</w:t>
      </w:r>
      <w:r>
        <w:rPr>
          <w:rFonts w:hint="eastAsia" w:ascii="仿宋_GB2312" w:hAnsi="宋体" w:eastAsia="仿宋_GB2312" w:cs="宋体"/>
          <w:b/>
          <w:bCs/>
          <w:color w:val="auto"/>
          <w:sz w:val="32"/>
          <w:szCs w:val="32"/>
        </w:rPr>
        <w:t>百日攻坚行动方案》和全国、全省</w:t>
      </w:r>
      <w:r>
        <w:rPr>
          <w:rFonts w:hint="eastAsia" w:ascii="仿宋_GB2312" w:hAnsi="宋体" w:eastAsia="仿宋_GB2312" w:cs="宋体"/>
          <w:b/>
          <w:bCs/>
          <w:color w:val="auto"/>
          <w:sz w:val="32"/>
          <w:szCs w:val="32"/>
          <w:lang w:eastAsia="zh-CN"/>
        </w:rPr>
        <w:t>、全市、</w:t>
      </w:r>
      <w:r>
        <w:rPr>
          <w:rFonts w:hint="eastAsia" w:ascii="仿宋_GB2312" w:hAnsi="宋体" w:eastAsia="仿宋_GB2312" w:cs="宋体"/>
          <w:b/>
          <w:bCs/>
          <w:color w:val="auto"/>
          <w:sz w:val="32"/>
          <w:szCs w:val="32"/>
          <w:lang w:val="en-US" w:eastAsia="zh-CN"/>
        </w:rPr>
        <w:t>全县</w:t>
      </w:r>
      <w:r>
        <w:rPr>
          <w:rFonts w:hint="eastAsia" w:ascii="仿宋_GB2312" w:hAnsi="宋体" w:eastAsia="仿宋_GB2312" w:cs="宋体"/>
          <w:b/>
          <w:bCs/>
          <w:color w:val="auto"/>
          <w:sz w:val="32"/>
          <w:szCs w:val="32"/>
        </w:rPr>
        <w:t>安全生产电视电话会议精神，为强化针对性火灾防控措施，防范化解消防安全风险，</w:t>
      </w:r>
      <w:r>
        <w:rPr>
          <w:rFonts w:hint="eastAsia" w:ascii="仿宋_GB2312" w:hAnsi="宋体" w:eastAsia="仿宋_GB2312" w:cs="宋体"/>
          <w:b/>
          <w:bCs/>
          <w:color w:val="auto"/>
          <w:sz w:val="32"/>
          <w:szCs w:val="32"/>
          <w:lang w:val="en-US" w:eastAsia="zh-CN"/>
        </w:rPr>
        <w:t>燕崖镇</w:t>
      </w:r>
      <w:r>
        <w:rPr>
          <w:rFonts w:hint="eastAsia" w:ascii="仿宋_GB2312" w:hAnsi="宋体" w:eastAsia="仿宋_GB2312" w:cs="宋体"/>
          <w:b/>
          <w:bCs/>
          <w:color w:val="auto"/>
          <w:sz w:val="32"/>
          <w:szCs w:val="32"/>
        </w:rPr>
        <w:t>决定，自即日起至</w:t>
      </w:r>
      <w:r>
        <w:rPr>
          <w:rFonts w:hint="eastAsia" w:ascii="仿宋_GB2312" w:hAnsi="Arial" w:eastAsia="仿宋_GB2312" w:cs="Arial"/>
          <w:b/>
          <w:bCs/>
          <w:color w:val="auto"/>
          <w:sz w:val="32"/>
          <w:szCs w:val="32"/>
        </w:rPr>
        <w:t>2020</w:t>
      </w:r>
      <w:r>
        <w:rPr>
          <w:rFonts w:hint="eastAsia" w:ascii="仿宋_GB2312" w:hAnsi="宋体" w:eastAsia="仿宋_GB2312" w:cs="宋体"/>
          <w:b/>
          <w:bCs/>
          <w:color w:val="auto"/>
          <w:sz w:val="32"/>
          <w:szCs w:val="32"/>
        </w:rPr>
        <w:t>年</w:t>
      </w:r>
      <w:r>
        <w:rPr>
          <w:rFonts w:hint="eastAsia" w:ascii="仿宋_GB2312" w:hAnsi="Arial" w:eastAsia="仿宋_GB2312" w:cs="Arial"/>
          <w:b/>
          <w:bCs/>
          <w:color w:val="auto"/>
          <w:sz w:val="32"/>
          <w:szCs w:val="32"/>
        </w:rPr>
        <w:t>5</w:t>
      </w:r>
      <w:r>
        <w:rPr>
          <w:rFonts w:hint="eastAsia" w:ascii="仿宋_GB2312" w:hAnsi="宋体" w:eastAsia="仿宋_GB2312" w:cs="宋体"/>
          <w:b/>
          <w:bCs/>
          <w:color w:val="auto"/>
          <w:sz w:val="32"/>
          <w:szCs w:val="32"/>
        </w:rPr>
        <w:t>月底，在</w:t>
      </w:r>
      <w:r>
        <w:rPr>
          <w:rFonts w:hint="eastAsia" w:ascii="仿宋_GB2312" w:hAnsi="宋体" w:eastAsia="仿宋_GB2312" w:cs="宋体"/>
          <w:b/>
          <w:bCs/>
          <w:color w:val="auto"/>
          <w:sz w:val="32"/>
          <w:szCs w:val="32"/>
          <w:lang w:val="en-US" w:eastAsia="zh-CN"/>
        </w:rPr>
        <w:t>全镇</w:t>
      </w:r>
      <w:r>
        <w:rPr>
          <w:rFonts w:hint="eastAsia" w:ascii="仿宋_GB2312" w:hAnsi="宋体" w:eastAsia="仿宋_GB2312" w:cs="宋体"/>
          <w:b/>
          <w:bCs/>
          <w:color w:val="auto"/>
          <w:sz w:val="32"/>
          <w:szCs w:val="32"/>
        </w:rPr>
        <w:t>集中开展消防安全风险隐患</w:t>
      </w:r>
      <w:r>
        <w:rPr>
          <w:rFonts w:hint="eastAsia" w:ascii="仿宋_GB2312" w:hAnsi="Arial" w:eastAsia="仿宋_GB2312" w:cs="Arial"/>
          <w:b/>
          <w:bCs/>
          <w:color w:val="auto"/>
          <w:sz w:val="32"/>
          <w:szCs w:val="32"/>
        </w:rPr>
        <w:t>“</w:t>
      </w:r>
      <w:r>
        <w:rPr>
          <w:rFonts w:hint="eastAsia" w:ascii="仿宋_GB2312" w:hAnsi="宋体" w:eastAsia="仿宋_GB2312" w:cs="宋体"/>
          <w:b/>
          <w:bCs/>
          <w:color w:val="auto"/>
          <w:sz w:val="32"/>
          <w:szCs w:val="32"/>
        </w:rPr>
        <w:t>大起底、大整治</w:t>
      </w:r>
      <w:r>
        <w:rPr>
          <w:rFonts w:hint="eastAsia" w:ascii="仿宋_GB2312" w:hAnsi="Arial" w:eastAsia="仿宋_GB2312" w:cs="Arial"/>
          <w:b/>
          <w:bCs/>
          <w:color w:val="auto"/>
          <w:sz w:val="32"/>
          <w:szCs w:val="32"/>
        </w:rPr>
        <w:t>”</w:t>
      </w:r>
      <w:r>
        <w:rPr>
          <w:rFonts w:hint="eastAsia" w:ascii="仿宋_GB2312" w:hAnsi="宋体" w:eastAsia="仿宋_GB2312" w:cs="宋体"/>
          <w:b/>
          <w:bCs/>
          <w:color w:val="auto"/>
          <w:sz w:val="32"/>
          <w:szCs w:val="32"/>
        </w:rPr>
        <w:t>百日攻坚行动。特制定实施方案如下：</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textAlignment w:val="auto"/>
        <w:rPr>
          <w:b/>
          <w:bCs/>
          <w:color w:val="auto"/>
          <w:sz w:val="32"/>
          <w:szCs w:val="32"/>
        </w:rPr>
      </w:pPr>
      <w:r>
        <w:rPr>
          <w:rFonts w:ascii="黑体" w:hAnsi="黑体" w:eastAsia="黑体" w:cs="黑体"/>
          <w:b/>
          <w:bCs/>
          <w:color w:val="auto"/>
          <w:sz w:val="32"/>
          <w:szCs w:val="32"/>
        </w:rPr>
        <w:t>一、总体要求</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jc w:val="both"/>
        <w:textAlignment w:val="auto"/>
        <w:rPr>
          <w:rFonts w:hint="eastAsia" w:ascii="仿宋_GB2312" w:hAnsi="宋体" w:eastAsia="仿宋_GB2312" w:cs="宋体"/>
          <w:b/>
          <w:bCs/>
          <w:color w:val="auto"/>
          <w:sz w:val="32"/>
          <w:szCs w:val="32"/>
        </w:rPr>
      </w:pPr>
      <w:r>
        <w:rPr>
          <w:rFonts w:hint="eastAsia" w:ascii="仿宋_GB2312" w:hAnsi="宋体" w:eastAsia="仿宋_GB2312" w:cs="宋体"/>
          <w:b/>
          <w:bCs/>
          <w:color w:val="auto"/>
          <w:sz w:val="32"/>
          <w:szCs w:val="32"/>
        </w:rPr>
        <w:t>认真贯彻落实习近平总书记关于防范化解重大风险的重要指示精神，坚持政府主导、单位主责、综合治理、群防群治的原则，以火灾高风险单位和消防安全薄弱区域为重点，逐级落实消防安全责任，起底整治一批突出风险、重大隐患，严惩一批违法违规行为、惩戒一批严重失信企业，坚决遏制重特大火灾事故确保人民生命财产安全和社会稳定。</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textAlignment w:val="auto"/>
        <w:rPr>
          <w:rFonts w:ascii="黑体" w:hAnsi="黑体" w:eastAsia="黑体" w:cs="黑体"/>
          <w:b/>
          <w:bCs/>
          <w:color w:val="auto"/>
          <w:sz w:val="32"/>
          <w:szCs w:val="32"/>
        </w:rPr>
      </w:pPr>
      <w:r>
        <w:rPr>
          <w:rFonts w:ascii="黑体" w:hAnsi="黑体" w:eastAsia="黑体" w:cs="黑体"/>
          <w:b/>
          <w:bCs/>
          <w:color w:val="auto"/>
          <w:sz w:val="32"/>
          <w:szCs w:val="32"/>
        </w:rPr>
        <w:t>二、重点任务</w:t>
      </w:r>
    </w:p>
    <w:p>
      <w:pPr>
        <w:keepNext w:val="0"/>
        <w:keepLines w:val="0"/>
        <w:pageBreakBefore w:val="0"/>
        <w:widowControl/>
        <w:kinsoku/>
        <w:wordWrap/>
        <w:overflowPunct/>
        <w:topLinePunct w:val="0"/>
        <w:autoSpaceDE/>
        <w:autoSpaceDN/>
        <w:bidi w:val="0"/>
        <w:adjustRightInd/>
        <w:snapToGrid/>
        <w:spacing w:line="560" w:lineRule="exact"/>
        <w:ind w:left="53" w:leftChars="25" w:right="102" w:firstLine="643" w:firstLineChars="200"/>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（一）深化消防安全执法检查专项行动。</w:t>
      </w:r>
      <w:r>
        <w:rPr>
          <w:rFonts w:hint="eastAsia" w:ascii="仿宋_GB2312" w:hAnsi="宋体" w:eastAsia="仿宋_GB2312" w:cs="宋体"/>
          <w:b/>
          <w:bCs/>
          <w:color w:val="auto"/>
          <w:sz w:val="32"/>
          <w:szCs w:val="32"/>
        </w:rPr>
        <w:t>巩固“防风险保平安迎大庆”消防安全执法检查专项行动工作成效，分行业、分领域建立商场市场、“多合一”、劳动密集型企业、公共娱乐场所、群租房、宾馆饭店、高层建筑、</w:t>
      </w:r>
      <w:r>
        <w:rPr>
          <w:rFonts w:hint="eastAsia" w:ascii="仿宋_GB2312" w:hAnsi="宋体" w:eastAsia="仿宋_GB2312" w:cs="宋体"/>
          <w:b/>
          <w:bCs/>
          <w:color w:val="auto"/>
          <w:sz w:val="32"/>
          <w:szCs w:val="32"/>
          <w:lang w:eastAsia="zh-CN"/>
        </w:rPr>
        <w:t>幸福</w:t>
      </w:r>
      <w:r>
        <w:rPr>
          <w:rFonts w:hint="eastAsia" w:ascii="仿宋_GB2312" w:hAnsi="宋体" w:eastAsia="仿宋_GB2312" w:cs="宋体"/>
          <w:b/>
          <w:bCs/>
          <w:color w:val="auto"/>
          <w:sz w:val="32"/>
          <w:szCs w:val="32"/>
        </w:rPr>
        <w:t>院、施工工地等重点场所基础信息台账，梳理问题清单，对尚未整改的问题隐患跟踪督促，紧盯不放，一抓到底，形成闭环。</w:t>
      </w:r>
    </w:p>
    <w:p>
      <w:pPr>
        <w:keepNext w:val="0"/>
        <w:keepLines w:val="0"/>
        <w:pageBreakBefore w:val="0"/>
        <w:widowControl/>
        <w:kinsoku/>
        <w:wordWrap/>
        <w:overflowPunct/>
        <w:topLinePunct w:val="0"/>
        <w:autoSpaceDE/>
        <w:autoSpaceDN/>
        <w:bidi w:val="0"/>
        <w:adjustRightInd/>
        <w:snapToGrid/>
        <w:spacing w:line="560" w:lineRule="exact"/>
        <w:ind w:left="53" w:leftChars="25" w:right="102"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（二）加强针对性消防安全检查。</w:t>
      </w:r>
    </w:p>
    <w:p>
      <w:pPr>
        <w:keepNext w:val="0"/>
        <w:keepLines w:val="0"/>
        <w:pageBreakBefore w:val="0"/>
        <w:widowControl/>
        <w:kinsoku/>
        <w:wordWrap/>
        <w:overflowPunct/>
        <w:topLinePunct w:val="0"/>
        <w:autoSpaceDE/>
        <w:autoSpaceDN/>
        <w:bidi w:val="0"/>
        <w:adjustRightInd/>
        <w:spacing w:line="560" w:lineRule="exact"/>
        <w:ind w:right="102" w:firstLine="643" w:firstLineChars="200"/>
        <w:jc w:val="both"/>
        <w:textAlignment w:val="auto"/>
        <w:rPr>
          <w:rFonts w:hint="eastAsia"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lang w:val="en-US" w:eastAsia="zh-CN"/>
        </w:rPr>
        <w:t>1</w:t>
      </w:r>
      <w:r>
        <w:rPr>
          <w:rFonts w:hint="eastAsia" w:ascii="楷体_GB2312" w:hAnsi="楷体_GB2312" w:eastAsia="楷体_GB2312" w:cs="楷体_GB2312"/>
          <w:b/>
          <w:bCs/>
          <w:color w:val="auto"/>
          <w:sz w:val="32"/>
          <w:szCs w:val="32"/>
        </w:rPr>
        <w:t>、加强基层末端消防安全防范。</w:t>
      </w:r>
      <w:r>
        <w:rPr>
          <w:rFonts w:hint="eastAsia" w:ascii="楷体_GB2312" w:hAnsi="楷体_GB2312" w:eastAsia="楷体_GB2312" w:cs="楷体_GB2312"/>
          <w:b/>
          <w:bCs/>
          <w:color w:val="auto"/>
          <w:sz w:val="32"/>
          <w:szCs w:val="32"/>
          <w:lang w:eastAsia="zh-CN"/>
        </w:rPr>
        <w:t>镇</w:t>
      </w:r>
      <w:r>
        <w:rPr>
          <w:rFonts w:hint="eastAsia" w:ascii="仿宋_GB2312" w:hAnsi="仿宋_GB2312" w:eastAsia="仿宋_GB2312" w:cs="仿宋_GB2312"/>
          <w:b/>
          <w:bCs/>
          <w:color w:val="auto"/>
          <w:sz w:val="32"/>
          <w:szCs w:val="32"/>
          <w:lang w:val="en-US" w:eastAsia="zh-CN"/>
        </w:rPr>
        <w:t>派出所</w:t>
      </w:r>
      <w:r>
        <w:rPr>
          <w:rFonts w:hint="eastAsia" w:ascii="仿宋_GB2312" w:hAnsi="宋体" w:eastAsia="仿宋_GB2312" w:cs="宋体"/>
          <w:b/>
          <w:bCs/>
          <w:color w:val="auto"/>
          <w:sz w:val="32"/>
          <w:szCs w:val="32"/>
        </w:rPr>
        <w:t>依法开展日常消防监督检查，指导村民委员会加强消防安全管理。</w:t>
      </w:r>
      <w:r>
        <w:rPr>
          <w:rFonts w:hint="eastAsia" w:ascii="仿宋_GB2312" w:hAnsi="宋体" w:eastAsia="仿宋_GB2312" w:cs="宋体"/>
          <w:b/>
          <w:bCs/>
          <w:color w:val="auto"/>
          <w:sz w:val="32"/>
          <w:szCs w:val="32"/>
          <w:lang w:val="en-US" w:eastAsia="zh-CN"/>
        </w:rPr>
        <w:t>工信</w:t>
      </w:r>
      <w:r>
        <w:rPr>
          <w:rFonts w:hint="eastAsia" w:ascii="仿宋_GB2312" w:hAnsi="宋体" w:eastAsia="仿宋_GB2312" w:cs="宋体"/>
          <w:b/>
          <w:bCs/>
          <w:color w:val="auto"/>
          <w:sz w:val="32"/>
          <w:szCs w:val="32"/>
        </w:rPr>
        <w:t>、</w:t>
      </w:r>
      <w:r>
        <w:rPr>
          <w:rFonts w:hint="eastAsia" w:ascii="仿宋_GB2312" w:hAnsi="宋体" w:eastAsia="仿宋_GB2312" w:cs="宋体"/>
          <w:b/>
          <w:bCs/>
          <w:color w:val="auto"/>
          <w:sz w:val="32"/>
          <w:szCs w:val="32"/>
          <w:lang w:val="en-US" w:eastAsia="zh-CN"/>
        </w:rPr>
        <w:t>派出所</w:t>
      </w:r>
      <w:r>
        <w:rPr>
          <w:rFonts w:hint="eastAsia" w:ascii="仿宋_GB2312" w:hAnsi="宋体" w:eastAsia="仿宋_GB2312" w:cs="宋体"/>
          <w:b/>
          <w:bCs/>
          <w:color w:val="auto"/>
          <w:sz w:val="32"/>
          <w:szCs w:val="32"/>
        </w:rPr>
        <w:t>、</w:t>
      </w:r>
      <w:r>
        <w:rPr>
          <w:rFonts w:hint="eastAsia" w:ascii="仿宋_GB2312" w:hAnsi="宋体" w:eastAsia="仿宋_GB2312" w:cs="宋体"/>
          <w:b/>
          <w:bCs/>
          <w:color w:val="auto"/>
          <w:sz w:val="32"/>
          <w:szCs w:val="32"/>
          <w:lang w:val="en-US" w:eastAsia="zh-CN"/>
        </w:rPr>
        <w:t>村建办</w:t>
      </w:r>
      <w:r>
        <w:rPr>
          <w:rFonts w:hint="eastAsia" w:ascii="仿宋_GB2312" w:hAnsi="宋体" w:eastAsia="仿宋_GB2312" w:cs="宋体"/>
          <w:b/>
          <w:bCs/>
          <w:color w:val="auto"/>
          <w:sz w:val="32"/>
          <w:szCs w:val="32"/>
        </w:rPr>
        <w:t>、</w:t>
      </w:r>
      <w:r>
        <w:rPr>
          <w:rFonts w:hint="eastAsia" w:ascii="仿宋_GB2312" w:hAnsi="宋体" w:eastAsia="仿宋_GB2312" w:cs="宋体"/>
          <w:b/>
          <w:bCs/>
          <w:color w:val="auto"/>
          <w:sz w:val="32"/>
          <w:szCs w:val="32"/>
          <w:lang w:val="en-US" w:eastAsia="zh-CN"/>
        </w:rPr>
        <w:t>安环办</w:t>
      </w:r>
      <w:r>
        <w:rPr>
          <w:rFonts w:hint="eastAsia" w:ascii="仿宋_GB2312" w:hAnsi="宋体" w:eastAsia="仿宋_GB2312" w:cs="宋体"/>
          <w:b/>
          <w:bCs/>
          <w:color w:val="auto"/>
          <w:sz w:val="32"/>
          <w:szCs w:val="32"/>
        </w:rPr>
        <w:t>、市场监管</w:t>
      </w:r>
      <w:r>
        <w:rPr>
          <w:rFonts w:hint="eastAsia" w:ascii="仿宋_GB2312" w:hAnsi="宋体" w:eastAsia="仿宋_GB2312" w:cs="宋体"/>
          <w:b/>
          <w:bCs/>
          <w:color w:val="auto"/>
          <w:sz w:val="32"/>
          <w:szCs w:val="32"/>
          <w:lang w:val="en-US" w:eastAsia="zh-CN"/>
        </w:rPr>
        <w:t>所</w:t>
      </w:r>
      <w:r>
        <w:rPr>
          <w:rFonts w:hint="eastAsia" w:ascii="仿宋_GB2312" w:hAnsi="宋体" w:eastAsia="仿宋_GB2312" w:cs="宋体"/>
          <w:b/>
          <w:bCs/>
          <w:color w:val="auto"/>
          <w:sz w:val="32"/>
          <w:szCs w:val="32"/>
        </w:rPr>
        <w:t>等部门对小微企业、家庭作坊开展检查，重点整治违规搭建、违章操作、危化品存储使用不规范、电气线路老化、疏散通道不畅、</w:t>
      </w:r>
      <w:bookmarkStart w:id="0" w:name="page6"/>
      <w:bookmarkEnd w:id="0"/>
      <w:r>
        <w:rPr>
          <w:rFonts w:hint="eastAsia" w:ascii="仿宋_GB2312" w:hAnsi="宋体" w:eastAsia="仿宋_GB2312" w:cs="宋体"/>
          <w:b/>
          <w:bCs/>
          <w:color w:val="auto"/>
          <w:sz w:val="32"/>
          <w:szCs w:val="32"/>
        </w:rPr>
        <w:t>消防设施设置维护不规范、安全培训演练不到位等问题，逐级明确监管责任；进一步加强电动自行车综合治理，突出销售、使用、改装等重点环节，加强联合检查，重点整治电动自行车“进楼入户”“人车同屋”“飞线充电”等突出问题。</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jc w:val="both"/>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2、深入开展全</w:t>
      </w:r>
      <w:r>
        <w:rPr>
          <w:rFonts w:hint="eastAsia" w:ascii="楷体_GB2312" w:hAnsi="楷体_GB2312" w:eastAsia="楷体_GB2312" w:cs="楷体_GB2312"/>
          <w:b/>
          <w:bCs/>
          <w:color w:val="auto"/>
          <w:sz w:val="32"/>
          <w:szCs w:val="32"/>
          <w:lang w:val="en-US" w:eastAsia="zh-CN"/>
        </w:rPr>
        <w:t>镇</w:t>
      </w:r>
      <w:r>
        <w:rPr>
          <w:rFonts w:hint="eastAsia" w:ascii="楷体_GB2312" w:hAnsi="楷体_GB2312" w:eastAsia="楷体_GB2312" w:cs="楷体_GB2312"/>
          <w:b/>
          <w:bCs/>
          <w:color w:val="auto"/>
          <w:sz w:val="32"/>
          <w:szCs w:val="32"/>
          <w:lang w:eastAsia="zh-CN"/>
        </w:rPr>
        <w:t>村民</w:t>
      </w:r>
      <w:r>
        <w:rPr>
          <w:rFonts w:hint="eastAsia" w:ascii="楷体_GB2312" w:hAnsi="楷体_GB2312" w:eastAsia="楷体_GB2312" w:cs="楷体_GB2312"/>
          <w:b/>
          <w:bCs/>
          <w:color w:val="auto"/>
          <w:sz w:val="32"/>
          <w:szCs w:val="32"/>
        </w:rPr>
        <w:t>住宅建筑消防设施专项检查。</w:t>
      </w:r>
      <w:r>
        <w:rPr>
          <w:rFonts w:hint="eastAsia" w:ascii="仿宋_GB2312" w:hAnsi="宋体" w:eastAsia="仿宋_GB2312" w:cs="宋体"/>
          <w:b/>
          <w:bCs/>
          <w:color w:val="auto"/>
          <w:sz w:val="32"/>
          <w:szCs w:val="32"/>
        </w:rPr>
        <w:t>按照《关于开展全</w:t>
      </w:r>
      <w:r>
        <w:rPr>
          <w:rFonts w:hint="eastAsia" w:ascii="仿宋_GB2312" w:hAnsi="宋体" w:eastAsia="仿宋_GB2312" w:cs="宋体"/>
          <w:b/>
          <w:bCs/>
          <w:color w:val="auto"/>
          <w:sz w:val="32"/>
          <w:szCs w:val="32"/>
          <w:lang w:val="en-US" w:eastAsia="zh-CN"/>
        </w:rPr>
        <w:t>县</w:t>
      </w:r>
      <w:r>
        <w:rPr>
          <w:rFonts w:hint="eastAsia" w:ascii="仿宋_GB2312" w:hAnsi="宋体" w:eastAsia="仿宋_GB2312" w:cs="宋体"/>
          <w:b/>
          <w:bCs/>
          <w:color w:val="auto"/>
          <w:sz w:val="32"/>
          <w:szCs w:val="32"/>
        </w:rPr>
        <w:t>居民住宅建筑消防设施专项检查的通知》部署要求，</w:t>
      </w:r>
      <w:r>
        <w:rPr>
          <w:rFonts w:hint="eastAsia" w:ascii="仿宋_GB2312" w:hAnsi="宋体" w:eastAsia="仿宋_GB2312" w:cs="宋体"/>
          <w:b/>
          <w:bCs/>
          <w:color w:val="auto"/>
          <w:sz w:val="32"/>
          <w:szCs w:val="32"/>
          <w:lang w:val="en-US" w:eastAsia="zh-CN"/>
        </w:rPr>
        <w:t>派出所</w:t>
      </w:r>
      <w:r>
        <w:rPr>
          <w:rFonts w:hint="eastAsia" w:ascii="仿宋_GB2312" w:hAnsi="宋体" w:eastAsia="仿宋_GB2312" w:cs="宋体"/>
          <w:b/>
          <w:bCs/>
          <w:color w:val="auto"/>
          <w:sz w:val="32"/>
          <w:szCs w:val="32"/>
        </w:rPr>
        <w:t>、</w:t>
      </w:r>
      <w:r>
        <w:rPr>
          <w:rFonts w:hint="eastAsia" w:ascii="仿宋_GB2312" w:hAnsi="宋体" w:eastAsia="仿宋_GB2312" w:cs="宋体"/>
          <w:b/>
          <w:bCs/>
          <w:color w:val="auto"/>
          <w:sz w:val="32"/>
          <w:szCs w:val="32"/>
          <w:lang w:val="en-US" w:eastAsia="zh-CN"/>
        </w:rPr>
        <w:t>村建办</w:t>
      </w:r>
      <w:r>
        <w:rPr>
          <w:rFonts w:hint="eastAsia" w:ascii="仿宋_GB2312" w:hAnsi="宋体" w:eastAsia="仿宋_GB2312" w:cs="宋体"/>
          <w:b/>
          <w:bCs/>
          <w:color w:val="auto"/>
          <w:sz w:val="32"/>
          <w:szCs w:val="32"/>
        </w:rPr>
        <w:t>重点针对我</w:t>
      </w:r>
      <w:r>
        <w:rPr>
          <w:rFonts w:hint="eastAsia" w:ascii="仿宋_GB2312" w:hAnsi="宋体" w:eastAsia="仿宋_GB2312" w:cs="宋体"/>
          <w:b/>
          <w:bCs/>
          <w:color w:val="auto"/>
          <w:sz w:val="32"/>
          <w:szCs w:val="32"/>
          <w:lang w:val="en-US" w:eastAsia="zh-CN"/>
        </w:rPr>
        <w:t>镇</w:t>
      </w:r>
      <w:r>
        <w:rPr>
          <w:rFonts w:hint="eastAsia" w:ascii="仿宋_GB2312" w:hAnsi="宋体" w:eastAsia="仿宋_GB2312" w:cs="宋体"/>
          <w:b/>
          <w:bCs/>
          <w:color w:val="auto"/>
          <w:sz w:val="32"/>
          <w:szCs w:val="32"/>
          <w:lang w:eastAsia="zh-CN"/>
        </w:rPr>
        <w:t>村民</w:t>
      </w:r>
      <w:r>
        <w:rPr>
          <w:rFonts w:hint="eastAsia" w:ascii="仿宋_GB2312" w:hAnsi="宋体" w:eastAsia="仿宋_GB2312" w:cs="宋体"/>
          <w:b/>
          <w:bCs/>
          <w:color w:val="auto"/>
          <w:sz w:val="32"/>
          <w:szCs w:val="32"/>
        </w:rPr>
        <w:t>住宅的建筑消防设施运行情况。</w:t>
      </w:r>
    </w:p>
    <w:p>
      <w:pPr>
        <w:keepNext w:val="0"/>
        <w:keepLines w:val="0"/>
        <w:pageBreakBefore w:val="0"/>
        <w:widowControl/>
        <w:kinsoku/>
        <w:wordWrap/>
        <w:overflowPunct/>
        <w:topLinePunct w:val="0"/>
        <w:autoSpaceDE/>
        <w:autoSpaceDN/>
        <w:bidi w:val="0"/>
        <w:adjustRightInd/>
        <w:snapToGrid w:val="0"/>
        <w:spacing w:line="560" w:lineRule="exact"/>
        <w:ind w:left="53" w:leftChars="25" w:right="102" w:firstLine="643" w:firstLineChars="200"/>
        <w:contextualSpacing/>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3、强力推动泡沫彩钢板专项整治检查。</w:t>
      </w:r>
      <w:r>
        <w:rPr>
          <w:rFonts w:hint="eastAsia" w:ascii="仿宋_GB2312" w:hAnsi="宋体" w:eastAsia="仿宋_GB2312" w:cs="宋体"/>
          <w:b/>
          <w:bCs/>
          <w:color w:val="auto"/>
          <w:sz w:val="32"/>
          <w:szCs w:val="32"/>
        </w:rPr>
        <w:t>各</w:t>
      </w:r>
      <w:r>
        <w:rPr>
          <w:rFonts w:hint="eastAsia" w:ascii="仿宋_GB2312" w:hAnsi="宋体" w:eastAsia="仿宋_GB2312" w:cs="宋体"/>
          <w:b/>
          <w:bCs/>
          <w:color w:val="auto"/>
          <w:sz w:val="32"/>
          <w:szCs w:val="32"/>
          <w:lang w:eastAsia="zh-CN"/>
        </w:rPr>
        <w:t>有关</w:t>
      </w:r>
      <w:r>
        <w:rPr>
          <w:rFonts w:hint="eastAsia" w:ascii="仿宋_GB2312" w:hAnsi="宋体" w:eastAsia="仿宋_GB2312" w:cs="宋体"/>
          <w:b/>
          <w:bCs/>
          <w:color w:val="auto"/>
          <w:sz w:val="32"/>
          <w:szCs w:val="32"/>
        </w:rPr>
        <w:t>部门按照职责范围和</w:t>
      </w:r>
      <w:r>
        <w:rPr>
          <w:rFonts w:hint="eastAsia" w:ascii="仿宋_GB2312" w:hAnsi="宋体" w:eastAsia="仿宋_GB2312" w:cs="宋体"/>
          <w:b/>
          <w:bCs/>
          <w:color w:val="auto"/>
          <w:sz w:val="32"/>
          <w:szCs w:val="32"/>
          <w:lang w:val="en-US" w:eastAsia="zh-CN"/>
        </w:rPr>
        <w:t>监管</w:t>
      </w:r>
      <w:r>
        <w:rPr>
          <w:rFonts w:hint="eastAsia" w:ascii="仿宋_GB2312" w:hAnsi="宋体" w:eastAsia="仿宋_GB2312" w:cs="宋体"/>
          <w:b/>
          <w:bCs/>
          <w:color w:val="auto"/>
          <w:sz w:val="32"/>
          <w:szCs w:val="32"/>
        </w:rPr>
        <w:t>行业领域，在前期我</w:t>
      </w:r>
      <w:r>
        <w:rPr>
          <w:rFonts w:hint="eastAsia" w:ascii="仿宋_GB2312" w:hAnsi="宋体" w:eastAsia="仿宋_GB2312" w:cs="宋体"/>
          <w:b/>
          <w:bCs/>
          <w:color w:val="auto"/>
          <w:sz w:val="32"/>
          <w:szCs w:val="32"/>
          <w:lang w:val="en-US" w:eastAsia="zh-CN"/>
        </w:rPr>
        <w:t>镇</w:t>
      </w:r>
      <w:r>
        <w:rPr>
          <w:rFonts w:hint="eastAsia" w:ascii="仿宋_GB2312" w:hAnsi="宋体" w:eastAsia="仿宋_GB2312" w:cs="宋体"/>
          <w:b/>
          <w:bCs/>
          <w:color w:val="auto"/>
          <w:sz w:val="32"/>
          <w:szCs w:val="32"/>
        </w:rPr>
        <w:t>开展的彩钢板建筑消防安全专项整治工作基础上，对于存在未整改的彩钢板建筑，充分用足法律手段、临时查封、责令停止营业等刚性措施，制定有效可行的整改计划，明确整改时限，分阶段、有步骤地持续开展整治工作。</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lang w:val="en-US" w:eastAsia="zh-CN"/>
        </w:rPr>
        <w:t>4</w:t>
      </w:r>
      <w:r>
        <w:rPr>
          <w:rFonts w:hint="eastAsia" w:ascii="楷体_GB2312" w:hAnsi="楷体_GB2312" w:eastAsia="楷体_GB2312" w:cs="楷体_GB2312"/>
          <w:b/>
          <w:bCs/>
          <w:color w:val="auto"/>
          <w:sz w:val="32"/>
          <w:szCs w:val="32"/>
        </w:rPr>
        <w:t>、大力开展“畅通两个通道”专项检查行动。</w:t>
      </w:r>
      <w:r>
        <w:rPr>
          <w:rFonts w:hint="eastAsia" w:ascii="仿宋_GB2312" w:hAnsi="宋体" w:eastAsia="仿宋_GB2312" w:cs="宋体"/>
          <w:b/>
          <w:bCs/>
          <w:color w:val="auto"/>
          <w:sz w:val="32"/>
          <w:szCs w:val="32"/>
        </w:rPr>
        <w:t>疏散通道、消防车通道是保障人员疏散逃生和灭火救援行动顺利实施的重要通道。</w:t>
      </w:r>
      <w:r>
        <w:rPr>
          <w:rFonts w:hint="eastAsia" w:ascii="仿宋_GB2312" w:hAnsi="宋体" w:eastAsia="仿宋_GB2312" w:cs="宋体"/>
          <w:b/>
          <w:bCs/>
          <w:color w:val="auto"/>
          <w:sz w:val="32"/>
          <w:szCs w:val="32"/>
          <w:lang w:val="en-US" w:eastAsia="zh-CN"/>
        </w:rPr>
        <w:t>派出所</w:t>
      </w:r>
      <w:r>
        <w:rPr>
          <w:rFonts w:hint="eastAsia" w:ascii="仿宋_GB2312" w:hAnsi="宋体" w:eastAsia="仿宋_GB2312" w:cs="宋体"/>
          <w:b/>
          <w:bCs/>
          <w:color w:val="auto"/>
          <w:sz w:val="32"/>
          <w:szCs w:val="32"/>
        </w:rPr>
        <w:t>要督促社会单位落实消防主体责任，加强防火检查巡查，确保“两个通道”畅通。要对疏散通道及疏散指示标志、应急照明等疏散设施、器材，对建筑物周边及居民区的消防车通道等进行严格检查，及时整改和查处堵塞、占用“两个通道”，锁闭安全出口、疏散指示标志损坏缺失等隐患。</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（三）提升公众消防安全素质。</w:t>
      </w:r>
      <w:r>
        <w:rPr>
          <w:rFonts w:hint="eastAsia" w:ascii="仿宋_GB2312" w:hAnsi="宋体" w:eastAsia="仿宋_GB2312" w:cs="宋体"/>
          <w:b/>
          <w:bCs/>
          <w:color w:val="auto"/>
          <w:sz w:val="32"/>
          <w:szCs w:val="32"/>
        </w:rPr>
        <w:t>大力普及火灾预防和逃生自救知识。各部门结合高危行业领域技能提升行动计划，将消防安全纳入进城务工人员职业技能提升内容，加强对经营业主和从业人员的消防培训演练。针对老幼病弱等重点人群，组织</w:t>
      </w:r>
      <w:r>
        <w:rPr>
          <w:rFonts w:hint="eastAsia" w:ascii="仿宋_GB2312" w:hAnsi="宋体" w:eastAsia="仿宋_GB2312" w:cs="宋体"/>
          <w:b/>
          <w:bCs/>
          <w:color w:val="auto"/>
          <w:sz w:val="32"/>
          <w:szCs w:val="32"/>
          <w:lang w:val="en-US" w:eastAsia="zh-CN"/>
        </w:rPr>
        <w:t>村</w:t>
      </w:r>
      <w:r>
        <w:rPr>
          <w:rFonts w:hint="eastAsia" w:ascii="仿宋_GB2312" w:hAnsi="宋体" w:eastAsia="仿宋_GB2312" w:cs="宋体"/>
          <w:b/>
          <w:bCs/>
          <w:color w:val="auto"/>
          <w:sz w:val="32"/>
          <w:szCs w:val="32"/>
        </w:rPr>
        <w:t>工作人员上门开展宣传，加强用火用电用气安全提示，增强安全防范意识。</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（四）做好重要节点安全防范工作。</w:t>
      </w:r>
      <w:r>
        <w:rPr>
          <w:rFonts w:hint="eastAsia" w:ascii="仿宋_GB2312" w:hAnsi="宋体" w:eastAsia="仿宋_GB2312" w:cs="宋体"/>
          <w:b/>
          <w:bCs/>
          <w:color w:val="auto"/>
          <w:sz w:val="32"/>
          <w:szCs w:val="32"/>
        </w:rPr>
        <w:t>在元旦、春节、元宵节，</w:t>
      </w:r>
      <w:r>
        <w:rPr>
          <w:rFonts w:hint="eastAsia" w:ascii="仿宋_GB2312" w:hAnsi="宋体" w:eastAsia="仿宋_GB2312" w:cs="宋体"/>
          <w:b/>
          <w:bCs/>
          <w:color w:val="auto"/>
          <w:sz w:val="32"/>
          <w:szCs w:val="32"/>
          <w:lang w:val="en-US" w:eastAsia="zh-CN"/>
        </w:rPr>
        <w:t>各村、社区，</w:t>
      </w:r>
      <w:r>
        <w:rPr>
          <w:rFonts w:hint="eastAsia" w:ascii="仿宋_GB2312" w:hAnsi="宋体" w:eastAsia="仿宋_GB2312" w:cs="宋体"/>
          <w:b/>
          <w:bCs/>
          <w:color w:val="auto"/>
          <w:sz w:val="32"/>
          <w:szCs w:val="32"/>
        </w:rPr>
        <w:t>各部门要提前对大型群众性活动举办场地进行全面安全检查，紧盯烟花焰火燃放、临时设施搭建、电气线路敷设等环节，督促落实安全防范措施。重要节日和重大活动期间，成立联合检查组，分时段集中开展检查督查，加强值班值守，在重点场所和部位前置力量巡防看护，做好应急处置各项准备。</w:t>
      </w:r>
      <w:r>
        <w:rPr>
          <w:rFonts w:hint="eastAsia" w:ascii="仿宋_GB2312" w:hAnsi="宋体" w:eastAsia="仿宋_GB2312" w:cs="宋体"/>
          <w:b/>
          <w:bCs/>
          <w:color w:val="auto"/>
          <w:sz w:val="32"/>
          <w:szCs w:val="32"/>
          <w:lang w:val="en-US" w:eastAsia="zh-CN"/>
        </w:rPr>
        <w:t>派出所牵头</w:t>
      </w:r>
      <w:r>
        <w:rPr>
          <w:rFonts w:hint="eastAsia" w:ascii="仿宋_GB2312" w:hAnsi="宋体" w:eastAsia="仿宋_GB2312" w:cs="宋体"/>
          <w:b/>
          <w:bCs/>
          <w:color w:val="auto"/>
          <w:sz w:val="32"/>
          <w:szCs w:val="32"/>
        </w:rPr>
        <w:t>要成立联合检查组开展“零点”消防安全夜查行动。</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（五）全面强化应急处置机制。</w:t>
      </w:r>
      <w:r>
        <w:rPr>
          <w:rFonts w:hint="eastAsia" w:ascii="仿宋_GB2312" w:hAnsi="宋体" w:eastAsia="仿宋_GB2312" w:cs="宋体"/>
          <w:b/>
          <w:bCs/>
          <w:color w:val="auto"/>
          <w:sz w:val="32"/>
          <w:szCs w:val="32"/>
        </w:rPr>
        <w:t>各</w:t>
      </w:r>
      <w:r>
        <w:rPr>
          <w:rFonts w:hint="eastAsia" w:ascii="仿宋_GB2312" w:hAnsi="宋体" w:eastAsia="仿宋_GB2312" w:cs="宋体"/>
          <w:b/>
          <w:bCs/>
          <w:color w:val="auto"/>
          <w:sz w:val="32"/>
          <w:szCs w:val="32"/>
          <w:lang w:val="en-US" w:eastAsia="zh-CN"/>
        </w:rPr>
        <w:t>村，</w:t>
      </w:r>
      <w:r>
        <w:rPr>
          <w:rFonts w:hint="eastAsia" w:ascii="仿宋_GB2312" w:hAnsi="宋体" w:eastAsia="仿宋_GB2312" w:cs="宋体"/>
          <w:b/>
          <w:bCs/>
          <w:color w:val="auto"/>
          <w:sz w:val="32"/>
          <w:szCs w:val="32"/>
        </w:rPr>
        <w:t>各部门要结合实际，优化整合应急救援力量，健全完善统一指挥、信息共享、预警响应、应急联动、物资储备、联合保障等机制，提高综合应急救援效能。</w:t>
      </w:r>
      <w:r>
        <w:rPr>
          <w:rFonts w:hint="eastAsia" w:ascii="仿宋_GB2312" w:hAnsi="宋体" w:eastAsia="仿宋_GB2312" w:cs="宋体"/>
          <w:b/>
          <w:bCs/>
          <w:color w:val="auto"/>
          <w:sz w:val="32"/>
          <w:szCs w:val="32"/>
          <w:lang w:val="en-US" w:eastAsia="zh-CN"/>
        </w:rPr>
        <w:t>农机站</w:t>
      </w:r>
      <w:r>
        <w:rPr>
          <w:rFonts w:hint="eastAsia" w:ascii="仿宋_GB2312" w:hAnsi="宋体" w:eastAsia="仿宋_GB2312" w:cs="宋体"/>
          <w:b/>
          <w:bCs/>
          <w:color w:val="auto"/>
          <w:sz w:val="32"/>
          <w:szCs w:val="32"/>
        </w:rPr>
        <w:t>、</w:t>
      </w:r>
      <w:r>
        <w:rPr>
          <w:rFonts w:hint="eastAsia" w:ascii="仿宋_GB2312" w:hAnsi="宋体" w:eastAsia="仿宋_GB2312" w:cs="宋体"/>
          <w:b/>
          <w:bCs/>
          <w:color w:val="auto"/>
          <w:sz w:val="32"/>
          <w:szCs w:val="32"/>
          <w:lang w:val="en-US" w:eastAsia="zh-CN"/>
        </w:rPr>
        <w:t>交警中队</w:t>
      </w:r>
      <w:r>
        <w:rPr>
          <w:rFonts w:hint="eastAsia" w:ascii="仿宋_GB2312" w:hAnsi="宋体" w:eastAsia="仿宋_GB2312" w:cs="宋体"/>
          <w:b/>
          <w:bCs/>
          <w:color w:val="auto"/>
          <w:sz w:val="32"/>
          <w:szCs w:val="32"/>
        </w:rPr>
        <w:t>等部门要健全完善低温雨雪冰冻灾害部门应急联动机制，做好应急准备对重点单位、重要部位，加强熟悉演练，发生险情及时处置。</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textAlignment w:val="auto"/>
        <w:rPr>
          <w:rFonts w:hint="eastAsia" w:ascii="黑体" w:hAnsi="黑体" w:eastAsia="黑体" w:cs="黑体"/>
          <w:b/>
          <w:bCs/>
          <w:color w:val="auto"/>
          <w:sz w:val="32"/>
          <w:szCs w:val="32"/>
        </w:rPr>
      </w:pPr>
      <w:r>
        <w:rPr>
          <w:rFonts w:ascii="黑体" w:hAnsi="黑体" w:eastAsia="黑体" w:cs="黑体"/>
          <w:b/>
          <w:bCs/>
          <w:color w:val="auto"/>
          <w:sz w:val="32"/>
          <w:szCs w:val="32"/>
        </w:rPr>
        <w:t>三、责任分工</w:t>
      </w:r>
    </w:p>
    <w:p>
      <w:pPr>
        <w:keepNext w:val="0"/>
        <w:keepLines w:val="0"/>
        <w:pageBreakBefore w:val="0"/>
        <w:widowControl/>
        <w:kinsoku/>
        <w:wordWrap/>
        <w:overflowPunct/>
        <w:topLinePunct w:val="0"/>
        <w:autoSpaceDE/>
        <w:autoSpaceDN/>
        <w:bidi w:val="0"/>
        <w:adjustRightInd/>
        <w:snapToGrid/>
        <w:spacing w:line="560" w:lineRule="exact"/>
        <w:ind w:left="53" w:leftChars="25" w:right="38" w:rightChars="18" w:firstLine="643" w:firstLineChars="200"/>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（一）政府责任。</w:t>
      </w:r>
      <w:r>
        <w:rPr>
          <w:rFonts w:hint="eastAsia" w:ascii="仿宋_GB2312" w:hAnsi="宋体" w:eastAsia="仿宋_GB2312" w:cs="宋体"/>
          <w:b/>
          <w:bCs/>
          <w:color w:val="auto"/>
          <w:sz w:val="32"/>
          <w:szCs w:val="32"/>
        </w:rPr>
        <w:t>各</w:t>
      </w:r>
      <w:r>
        <w:rPr>
          <w:rFonts w:hint="eastAsia" w:ascii="仿宋_GB2312" w:hAnsi="宋体" w:eastAsia="仿宋_GB2312" w:cs="宋体"/>
          <w:b/>
          <w:bCs/>
          <w:color w:val="auto"/>
          <w:sz w:val="32"/>
          <w:szCs w:val="32"/>
          <w:lang w:val="en-US" w:eastAsia="zh-CN"/>
        </w:rPr>
        <w:t>村</w:t>
      </w:r>
      <w:r>
        <w:rPr>
          <w:rFonts w:hint="eastAsia" w:ascii="仿宋_GB2312" w:hAnsi="宋体" w:eastAsia="仿宋_GB2312" w:cs="宋体"/>
          <w:b/>
          <w:bCs/>
          <w:color w:val="auto"/>
          <w:sz w:val="32"/>
          <w:szCs w:val="32"/>
        </w:rPr>
        <w:t>要加强组织领导，结合辖区消防安全实际，统筹部署推进消防安全风险隐患“大起底、大整治”百日攻坚行动，针对可能造成群死群伤火灾的重点场所和突出风险，细化制定更具针对性的具体工作措施，并向社会公布。</w:t>
      </w:r>
    </w:p>
    <w:p>
      <w:pPr>
        <w:keepNext w:val="0"/>
        <w:keepLines w:val="0"/>
        <w:pageBreakBefore w:val="0"/>
        <w:widowControl/>
        <w:kinsoku/>
        <w:wordWrap/>
        <w:overflowPunct/>
        <w:topLinePunct w:val="0"/>
        <w:autoSpaceDE/>
        <w:autoSpaceDN/>
        <w:bidi w:val="0"/>
        <w:adjustRightInd/>
        <w:snapToGrid/>
        <w:spacing w:line="560" w:lineRule="exact"/>
        <w:ind w:right="102" w:firstLine="643" w:firstLineChars="200"/>
        <w:jc w:val="both"/>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1、科学研判预警。</w:t>
      </w:r>
      <w:r>
        <w:rPr>
          <w:rFonts w:hint="eastAsia" w:ascii="仿宋_GB2312" w:hAnsi="宋体" w:eastAsia="仿宋_GB2312" w:cs="宋体"/>
          <w:b/>
          <w:bCs/>
          <w:color w:val="auto"/>
          <w:sz w:val="32"/>
          <w:szCs w:val="32"/>
        </w:rPr>
        <w:t>各</w:t>
      </w:r>
      <w:r>
        <w:rPr>
          <w:rFonts w:hint="eastAsia" w:ascii="仿宋_GB2312" w:hAnsi="宋体" w:eastAsia="仿宋_GB2312" w:cs="宋体"/>
          <w:b/>
          <w:bCs/>
          <w:color w:val="auto"/>
          <w:sz w:val="32"/>
          <w:szCs w:val="32"/>
          <w:lang w:val="en-US" w:eastAsia="zh-CN"/>
        </w:rPr>
        <w:t>村</w:t>
      </w:r>
      <w:r>
        <w:rPr>
          <w:rFonts w:hint="eastAsia" w:ascii="仿宋_GB2312" w:hAnsi="宋体" w:eastAsia="仿宋_GB2312" w:cs="宋体"/>
          <w:b/>
          <w:bCs/>
          <w:color w:val="auto"/>
          <w:sz w:val="32"/>
          <w:szCs w:val="32"/>
        </w:rPr>
        <w:t>要专题研判一次本辖区冬春季火灾形势，部署分行业、分领域开展消防安全检查。</w:t>
      </w:r>
    </w:p>
    <w:p>
      <w:pPr>
        <w:keepNext w:val="0"/>
        <w:keepLines w:val="0"/>
        <w:pageBreakBefore w:val="0"/>
        <w:widowControl/>
        <w:kinsoku/>
        <w:wordWrap/>
        <w:overflowPunct/>
        <w:topLinePunct w:val="0"/>
        <w:autoSpaceDE/>
        <w:autoSpaceDN/>
        <w:bidi w:val="0"/>
        <w:adjustRightInd/>
        <w:snapToGrid/>
        <w:spacing w:line="560" w:lineRule="exact"/>
        <w:ind w:right="102" w:firstLine="643" w:firstLineChars="200"/>
        <w:jc w:val="both"/>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2、建立清单机制。</w:t>
      </w:r>
      <w:r>
        <w:rPr>
          <w:rFonts w:hint="eastAsia" w:ascii="仿宋_GB2312" w:hAnsi="宋体" w:eastAsia="仿宋_GB2312" w:cs="宋体"/>
          <w:b/>
          <w:bCs/>
          <w:color w:val="auto"/>
          <w:sz w:val="32"/>
          <w:szCs w:val="32"/>
        </w:rPr>
        <w:t>各</w:t>
      </w:r>
      <w:r>
        <w:rPr>
          <w:rFonts w:hint="eastAsia" w:ascii="仿宋_GB2312" w:hAnsi="宋体" w:eastAsia="仿宋_GB2312" w:cs="宋体"/>
          <w:b/>
          <w:bCs/>
          <w:color w:val="auto"/>
          <w:sz w:val="32"/>
          <w:szCs w:val="32"/>
          <w:lang w:val="en-US" w:eastAsia="zh-CN"/>
        </w:rPr>
        <w:t>村</w:t>
      </w:r>
      <w:r>
        <w:rPr>
          <w:rFonts w:hint="eastAsia" w:ascii="仿宋_GB2312" w:hAnsi="宋体" w:eastAsia="仿宋_GB2312" w:cs="宋体"/>
          <w:b/>
          <w:bCs/>
          <w:color w:val="auto"/>
          <w:sz w:val="32"/>
          <w:szCs w:val="32"/>
          <w:lang w:eastAsia="zh-CN"/>
        </w:rPr>
        <w:t>、</w:t>
      </w:r>
      <w:r>
        <w:rPr>
          <w:rFonts w:hint="eastAsia" w:ascii="仿宋_GB2312" w:hAnsi="宋体" w:eastAsia="仿宋_GB2312" w:cs="宋体"/>
          <w:b/>
          <w:bCs/>
          <w:strike w:val="0"/>
          <w:dstrike w:val="0"/>
          <w:color w:val="auto"/>
          <w:sz w:val="32"/>
          <w:szCs w:val="32"/>
        </w:rPr>
        <w:t>各</w:t>
      </w:r>
      <w:r>
        <w:rPr>
          <w:rFonts w:hint="eastAsia" w:ascii="仿宋_GB2312" w:hAnsi="宋体" w:eastAsia="仿宋_GB2312" w:cs="宋体"/>
          <w:b/>
          <w:bCs/>
          <w:color w:val="auto"/>
          <w:sz w:val="32"/>
          <w:szCs w:val="32"/>
          <w:lang w:val="en-US" w:eastAsia="zh-CN"/>
        </w:rPr>
        <w:t>部门</w:t>
      </w:r>
      <w:r>
        <w:rPr>
          <w:rFonts w:hint="eastAsia" w:ascii="仿宋_GB2312" w:hAnsi="宋体" w:eastAsia="仿宋_GB2312" w:cs="宋体"/>
          <w:b/>
          <w:bCs/>
          <w:color w:val="auto"/>
          <w:sz w:val="32"/>
          <w:szCs w:val="32"/>
        </w:rPr>
        <w:t>要制定“大起底、大整治”百日攻坚行动责任清单、任务清单，明确具体工作职责、任务要求，督促照单履职、照单排查、照单施策。</w:t>
      </w:r>
    </w:p>
    <w:p>
      <w:pPr>
        <w:keepNext w:val="0"/>
        <w:keepLines w:val="0"/>
        <w:pageBreakBefore w:val="0"/>
        <w:widowControl/>
        <w:kinsoku/>
        <w:wordWrap/>
        <w:overflowPunct/>
        <w:topLinePunct w:val="0"/>
        <w:autoSpaceDE/>
        <w:autoSpaceDN/>
        <w:bidi w:val="0"/>
        <w:adjustRightInd/>
        <w:snapToGrid/>
        <w:spacing w:line="560" w:lineRule="exact"/>
        <w:ind w:left="53" w:leftChars="25" w:right="102" w:firstLine="643" w:firstLineChars="200"/>
        <w:jc w:val="both"/>
        <w:textAlignment w:val="auto"/>
        <w:rPr>
          <w:b/>
          <w:bCs/>
          <w:color w:val="auto"/>
          <w:sz w:val="20"/>
          <w:szCs w:val="20"/>
        </w:rPr>
      </w:pPr>
      <w:r>
        <w:rPr>
          <w:rFonts w:hint="eastAsia" w:ascii="楷体_GB2312" w:hAnsi="楷体_GB2312" w:eastAsia="楷体_GB2312" w:cs="楷体_GB2312"/>
          <w:b/>
          <w:bCs/>
          <w:color w:val="auto"/>
          <w:sz w:val="32"/>
          <w:szCs w:val="32"/>
        </w:rPr>
        <w:t>3、重点约谈推进。</w:t>
      </w:r>
      <w:r>
        <w:rPr>
          <w:rFonts w:hint="eastAsia" w:ascii="仿宋_GB2312" w:hAnsi="宋体" w:eastAsia="仿宋_GB2312" w:cs="宋体"/>
          <w:b/>
          <w:bCs/>
          <w:color w:val="auto"/>
          <w:sz w:val="32"/>
          <w:szCs w:val="32"/>
        </w:rPr>
        <w:t>2020年1月底前，对存在重大火灾隐患且久拖不改的</w:t>
      </w:r>
      <w:r>
        <w:rPr>
          <w:rFonts w:hint="eastAsia" w:ascii="仿宋_GB2312" w:hAnsi="宋体" w:eastAsia="仿宋_GB2312" w:cs="宋体"/>
          <w:b/>
          <w:bCs/>
          <w:color w:val="auto"/>
          <w:sz w:val="32"/>
          <w:szCs w:val="32"/>
          <w:lang w:val="en-US" w:eastAsia="zh-CN"/>
        </w:rPr>
        <w:t>村、</w:t>
      </w:r>
      <w:r>
        <w:rPr>
          <w:rFonts w:hint="eastAsia" w:ascii="仿宋_GB2312" w:hAnsi="宋体" w:eastAsia="仿宋_GB2312" w:cs="宋体"/>
          <w:b/>
          <w:bCs/>
          <w:color w:val="auto"/>
          <w:sz w:val="32"/>
          <w:szCs w:val="32"/>
        </w:rPr>
        <w:t>部门及其负责人，</w:t>
      </w:r>
      <w:r>
        <w:rPr>
          <w:rFonts w:hint="eastAsia" w:ascii="仿宋_GB2312" w:hAnsi="宋体" w:eastAsia="仿宋_GB2312" w:cs="宋体"/>
          <w:b/>
          <w:bCs/>
          <w:color w:val="auto"/>
          <w:sz w:val="32"/>
          <w:szCs w:val="32"/>
          <w:lang w:val="en-US" w:eastAsia="zh-CN"/>
        </w:rPr>
        <w:t>镇</w:t>
      </w:r>
      <w:r>
        <w:rPr>
          <w:rFonts w:hint="eastAsia" w:ascii="仿宋_GB2312" w:hAnsi="宋体" w:eastAsia="仿宋_GB2312" w:cs="宋体"/>
          <w:b/>
          <w:bCs/>
          <w:color w:val="auto"/>
          <w:sz w:val="32"/>
          <w:szCs w:val="32"/>
        </w:rPr>
        <w:t>政府将组织提醒谈话；对发生亡人火灾的，要及时警示约谈。</w:t>
      </w:r>
    </w:p>
    <w:p>
      <w:pPr>
        <w:keepNext w:val="0"/>
        <w:keepLines w:val="0"/>
        <w:pageBreakBefore w:val="0"/>
        <w:widowControl/>
        <w:kinsoku/>
        <w:wordWrap/>
        <w:overflowPunct/>
        <w:topLinePunct w:val="0"/>
        <w:autoSpaceDE/>
        <w:autoSpaceDN/>
        <w:bidi w:val="0"/>
        <w:adjustRightInd/>
        <w:snapToGrid/>
        <w:spacing w:line="560" w:lineRule="exact"/>
        <w:ind w:left="53" w:leftChars="25" w:right="102" w:firstLine="643" w:firstLineChars="200"/>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（二）社会单位责任。</w:t>
      </w:r>
      <w:r>
        <w:rPr>
          <w:rFonts w:hint="eastAsia" w:ascii="仿宋_GB2312" w:hAnsi="宋体" w:eastAsia="仿宋_GB2312" w:cs="宋体"/>
          <w:b/>
          <w:bCs/>
          <w:color w:val="auto"/>
          <w:sz w:val="32"/>
          <w:szCs w:val="32"/>
        </w:rPr>
        <w:t>社会单位要按照《中华人民共和国消防法》《山东省消防条例》等法律法规，落实消防安全主体责任。</w:t>
      </w:r>
    </w:p>
    <w:p>
      <w:pPr>
        <w:keepNext w:val="0"/>
        <w:keepLines w:val="0"/>
        <w:pageBreakBefore w:val="0"/>
        <w:widowControl/>
        <w:kinsoku/>
        <w:wordWrap/>
        <w:overflowPunct/>
        <w:topLinePunct w:val="0"/>
        <w:autoSpaceDE/>
        <w:autoSpaceDN/>
        <w:bidi w:val="0"/>
        <w:adjustRightInd/>
        <w:snapToGrid/>
        <w:spacing w:line="560" w:lineRule="exact"/>
        <w:ind w:left="53" w:leftChars="25" w:right="38" w:rightChars="18" w:firstLine="643" w:firstLineChars="200"/>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1、落实“三自主两公开一承诺”。</w:t>
      </w:r>
      <w:r>
        <w:rPr>
          <w:rFonts w:hint="eastAsia" w:ascii="仿宋_GB2312" w:hAnsi="宋体" w:eastAsia="仿宋_GB2312" w:cs="宋体"/>
          <w:b/>
          <w:bCs/>
          <w:color w:val="auto"/>
          <w:sz w:val="32"/>
          <w:szCs w:val="32"/>
        </w:rPr>
        <w:t>自主评估风险、自主检查安全、自主整改隐患，向社会公开消防安全责任人、管理人，承诺本场所不存在突出风险或者已落实防范措施，并向当地消防救援机构备案。</w:t>
      </w:r>
    </w:p>
    <w:p>
      <w:pPr>
        <w:keepNext w:val="0"/>
        <w:keepLines w:val="0"/>
        <w:pageBreakBefore w:val="0"/>
        <w:widowControl/>
        <w:kinsoku/>
        <w:wordWrap/>
        <w:overflowPunct/>
        <w:topLinePunct w:val="0"/>
        <w:autoSpaceDE/>
        <w:autoSpaceDN/>
        <w:bidi w:val="0"/>
        <w:adjustRightInd/>
        <w:snapToGrid/>
        <w:spacing w:line="560" w:lineRule="exact"/>
        <w:ind w:left="53" w:leftChars="25" w:right="38" w:rightChars="18" w:firstLine="643" w:firstLineChars="200"/>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2、提升自防自救能力。</w:t>
      </w:r>
      <w:r>
        <w:rPr>
          <w:rFonts w:hint="eastAsia" w:ascii="仿宋_GB2312" w:hAnsi="宋体" w:eastAsia="仿宋_GB2312" w:cs="宋体"/>
          <w:b/>
          <w:bCs/>
          <w:color w:val="auto"/>
          <w:sz w:val="32"/>
          <w:szCs w:val="32"/>
          <w:lang w:eastAsia="zh-CN"/>
        </w:rPr>
        <w:t>社会单位要组织</w:t>
      </w:r>
      <w:r>
        <w:rPr>
          <w:rFonts w:hint="eastAsia" w:ascii="仿宋_GB2312" w:hAnsi="宋体" w:eastAsia="仿宋_GB2312" w:cs="宋体"/>
          <w:b/>
          <w:bCs/>
          <w:color w:val="auto"/>
          <w:sz w:val="32"/>
          <w:szCs w:val="32"/>
        </w:rPr>
        <w:t>消防控制室值班操作员、保安、电（气）焊工等人员进行培训，提高快速准确应急处置能力。</w:t>
      </w:r>
    </w:p>
    <w:p>
      <w:pPr>
        <w:keepNext w:val="0"/>
        <w:keepLines w:val="0"/>
        <w:pageBreakBefore w:val="0"/>
        <w:widowControl/>
        <w:kinsoku/>
        <w:wordWrap/>
        <w:overflowPunct/>
        <w:topLinePunct w:val="0"/>
        <w:autoSpaceDE/>
        <w:autoSpaceDN/>
        <w:bidi w:val="0"/>
        <w:adjustRightInd/>
        <w:snapToGrid/>
        <w:spacing w:line="560" w:lineRule="exact"/>
        <w:ind w:left="53" w:leftChars="25" w:right="38" w:rightChars="18" w:firstLine="643" w:firstLineChars="200"/>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3、开展应急演练。</w:t>
      </w:r>
      <w:r>
        <w:rPr>
          <w:rFonts w:hint="eastAsia" w:ascii="仿宋_GB2312" w:hAnsi="宋体" w:eastAsia="仿宋_GB2312" w:cs="宋体"/>
          <w:b/>
          <w:bCs/>
          <w:color w:val="auto"/>
          <w:sz w:val="32"/>
          <w:szCs w:val="32"/>
        </w:rPr>
        <w:t>各企业、单位要组织</w:t>
      </w:r>
      <w:r>
        <w:rPr>
          <w:rFonts w:hint="eastAsia" w:ascii="仿宋_GB2312" w:hAnsi="宋体" w:eastAsia="仿宋_GB2312" w:cs="宋体"/>
          <w:b/>
          <w:bCs/>
          <w:color w:val="auto"/>
          <w:sz w:val="32"/>
          <w:szCs w:val="32"/>
          <w:lang w:eastAsia="zh-CN"/>
        </w:rPr>
        <w:t>全体员工</w:t>
      </w:r>
      <w:r>
        <w:rPr>
          <w:rFonts w:hint="eastAsia" w:ascii="仿宋_GB2312" w:hAnsi="宋体" w:eastAsia="仿宋_GB2312" w:cs="宋体"/>
          <w:b/>
          <w:bCs/>
          <w:color w:val="auto"/>
          <w:sz w:val="32"/>
          <w:szCs w:val="32"/>
        </w:rPr>
        <w:t>对自己工作、生活、学习场所的疏散通道和安全出口进行一次疏散体验，了解疏散逃生知识和技能。特别是劳动密集型企业、商场市场、宾馆饭店、公共娱乐场所、学校等人员密集场所要重点参与体验、熟悉掌握逃生技能。</w:t>
      </w:r>
    </w:p>
    <w:p>
      <w:pPr>
        <w:keepNext w:val="0"/>
        <w:keepLines w:val="0"/>
        <w:pageBreakBefore w:val="0"/>
        <w:widowControl/>
        <w:kinsoku/>
        <w:wordWrap/>
        <w:overflowPunct/>
        <w:topLinePunct w:val="0"/>
        <w:autoSpaceDE/>
        <w:autoSpaceDN/>
        <w:bidi w:val="0"/>
        <w:adjustRightInd/>
        <w:snapToGrid/>
        <w:spacing w:line="560" w:lineRule="exact"/>
        <w:ind w:left="53" w:leftChars="25" w:right="38" w:rightChars="18" w:firstLine="643" w:firstLineChars="200"/>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（三）行业部门责任。</w:t>
      </w:r>
      <w:r>
        <w:rPr>
          <w:rFonts w:hint="eastAsia" w:ascii="仿宋_GB2312" w:hAnsi="宋体" w:eastAsia="仿宋_GB2312" w:cs="宋体"/>
          <w:b/>
          <w:bCs/>
          <w:color w:val="auto"/>
          <w:sz w:val="32"/>
          <w:szCs w:val="32"/>
        </w:rPr>
        <w:t>各有关部门要组织开展本行业本系统本领域内的消防安全风险隐患“大起底、大整治”百日攻坚行动，提升消防安全整体水平。重点约谈措施不落实、问题突出的所属行业系统单位负责人。</w:t>
      </w:r>
    </w:p>
    <w:p>
      <w:pPr>
        <w:keepNext w:val="0"/>
        <w:keepLines w:val="0"/>
        <w:pageBreakBefore w:val="0"/>
        <w:widowControl/>
        <w:kinsoku/>
        <w:wordWrap/>
        <w:overflowPunct/>
        <w:topLinePunct w:val="0"/>
        <w:autoSpaceDE/>
        <w:autoSpaceDN/>
        <w:bidi w:val="0"/>
        <w:adjustRightInd/>
        <w:snapToGrid/>
        <w:spacing w:line="560" w:lineRule="exact"/>
        <w:ind w:left="53" w:leftChars="25" w:right="38" w:rightChars="18" w:firstLine="643" w:firstLineChars="200"/>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1、教</w:t>
      </w:r>
      <w:r>
        <w:rPr>
          <w:rFonts w:hint="eastAsia" w:ascii="楷体_GB2312" w:hAnsi="楷体_GB2312" w:eastAsia="楷体_GB2312" w:cs="楷体_GB2312"/>
          <w:b/>
          <w:bCs/>
          <w:color w:val="auto"/>
          <w:sz w:val="32"/>
          <w:szCs w:val="32"/>
          <w:lang w:eastAsia="zh-CN"/>
        </w:rPr>
        <w:t>体</w:t>
      </w:r>
      <w:r>
        <w:rPr>
          <w:rFonts w:hint="eastAsia" w:ascii="楷体_GB2312" w:hAnsi="楷体_GB2312" w:eastAsia="楷体_GB2312" w:cs="楷体_GB2312"/>
          <w:b/>
          <w:bCs/>
          <w:color w:val="auto"/>
          <w:sz w:val="32"/>
          <w:szCs w:val="32"/>
          <w:lang w:val="en-US" w:eastAsia="zh-CN"/>
        </w:rPr>
        <w:t>办</w:t>
      </w:r>
      <w:r>
        <w:rPr>
          <w:rFonts w:hint="eastAsia" w:ascii="楷体_GB2312" w:hAnsi="楷体_GB2312" w:eastAsia="楷体_GB2312" w:cs="楷体_GB2312"/>
          <w:b/>
          <w:bCs/>
          <w:color w:val="auto"/>
          <w:sz w:val="32"/>
          <w:szCs w:val="32"/>
        </w:rPr>
        <w:t>、民政</w:t>
      </w:r>
      <w:r>
        <w:rPr>
          <w:rFonts w:hint="eastAsia" w:ascii="楷体_GB2312" w:hAnsi="楷体_GB2312" w:eastAsia="楷体_GB2312" w:cs="楷体_GB2312"/>
          <w:b/>
          <w:bCs/>
          <w:color w:val="auto"/>
          <w:sz w:val="32"/>
          <w:szCs w:val="32"/>
          <w:lang w:val="en-US" w:eastAsia="zh-CN"/>
        </w:rPr>
        <w:t>办</w:t>
      </w:r>
      <w:r>
        <w:rPr>
          <w:rFonts w:hint="eastAsia" w:ascii="楷体_GB2312" w:hAnsi="楷体_GB2312" w:eastAsia="楷体_GB2312" w:cs="楷体_GB2312"/>
          <w:b/>
          <w:bCs/>
          <w:color w:val="auto"/>
          <w:sz w:val="32"/>
          <w:szCs w:val="32"/>
        </w:rPr>
        <w:t>、卫生</w:t>
      </w:r>
      <w:r>
        <w:rPr>
          <w:rFonts w:hint="eastAsia" w:ascii="楷体_GB2312" w:hAnsi="楷体_GB2312" w:eastAsia="楷体_GB2312" w:cs="楷体_GB2312"/>
          <w:b/>
          <w:bCs/>
          <w:color w:val="auto"/>
          <w:sz w:val="32"/>
          <w:szCs w:val="32"/>
          <w:lang w:val="en-US" w:eastAsia="zh-CN"/>
        </w:rPr>
        <w:t>院</w:t>
      </w:r>
      <w:r>
        <w:rPr>
          <w:rFonts w:hint="eastAsia" w:ascii="楷体_GB2312" w:hAnsi="楷体_GB2312" w:eastAsia="楷体_GB2312" w:cs="楷体_GB2312"/>
          <w:b/>
          <w:bCs/>
          <w:color w:val="auto"/>
          <w:sz w:val="32"/>
          <w:szCs w:val="32"/>
        </w:rPr>
        <w:t>。</w:t>
      </w:r>
      <w:r>
        <w:rPr>
          <w:rFonts w:hint="eastAsia" w:ascii="仿宋_GB2312" w:hAnsi="宋体" w:eastAsia="仿宋_GB2312" w:cs="宋体"/>
          <w:b/>
          <w:bCs/>
          <w:color w:val="auto"/>
          <w:sz w:val="32"/>
          <w:szCs w:val="32"/>
        </w:rPr>
        <w:t>重点排查学校、幼儿园、养老院、</w:t>
      </w:r>
      <w:r>
        <w:rPr>
          <w:rFonts w:hint="eastAsia" w:ascii="仿宋_GB2312" w:hAnsi="宋体" w:eastAsia="仿宋_GB2312" w:cs="宋体"/>
          <w:b/>
          <w:bCs/>
          <w:color w:val="auto"/>
          <w:sz w:val="32"/>
          <w:szCs w:val="32"/>
          <w:lang w:eastAsia="zh-CN"/>
        </w:rPr>
        <w:t>幸福</w:t>
      </w:r>
      <w:r>
        <w:rPr>
          <w:rFonts w:hint="eastAsia" w:ascii="仿宋_GB2312" w:hAnsi="宋体" w:eastAsia="仿宋_GB2312" w:cs="宋体"/>
          <w:b/>
          <w:bCs/>
          <w:color w:val="auto"/>
          <w:sz w:val="32"/>
          <w:szCs w:val="32"/>
        </w:rPr>
        <w:t>院、医院</w:t>
      </w:r>
      <w:r>
        <w:rPr>
          <w:rFonts w:hint="eastAsia" w:ascii="仿宋_GB2312" w:hAnsi="宋体" w:eastAsia="仿宋_GB2312" w:cs="宋体"/>
          <w:b/>
          <w:bCs/>
          <w:color w:val="auto"/>
          <w:sz w:val="32"/>
          <w:szCs w:val="32"/>
          <w:lang w:eastAsia="zh-CN"/>
        </w:rPr>
        <w:t>、</w:t>
      </w:r>
      <w:r>
        <w:rPr>
          <w:rFonts w:hint="eastAsia" w:ascii="仿宋_GB2312" w:hAnsi="宋体" w:eastAsia="仿宋_GB2312" w:cs="宋体"/>
          <w:b/>
          <w:bCs/>
          <w:color w:val="auto"/>
          <w:sz w:val="32"/>
          <w:szCs w:val="32"/>
          <w:lang w:val="en-US" w:eastAsia="zh-CN"/>
        </w:rPr>
        <w:t>卫生室</w:t>
      </w:r>
      <w:r>
        <w:rPr>
          <w:rFonts w:hint="eastAsia" w:ascii="仿宋_GB2312" w:hAnsi="宋体" w:eastAsia="仿宋_GB2312" w:cs="宋体"/>
          <w:b/>
          <w:bCs/>
          <w:color w:val="auto"/>
          <w:sz w:val="32"/>
          <w:szCs w:val="32"/>
        </w:rPr>
        <w:t>等场所，整治违规用火、用电，占用、堵塞疏散通道、安全出口等突出风险。加强防火巡查和夜间值守。督促单位制定落实严格的用火用电安全管理制度，推进消防安全“四个能力”重点提升组织人员疏散、处置初期火灾能力。</w:t>
      </w:r>
    </w:p>
    <w:p>
      <w:pPr>
        <w:keepNext w:val="0"/>
        <w:keepLines w:val="0"/>
        <w:pageBreakBefore w:val="0"/>
        <w:widowControl/>
        <w:kinsoku/>
        <w:wordWrap/>
        <w:overflowPunct/>
        <w:topLinePunct w:val="0"/>
        <w:autoSpaceDE/>
        <w:autoSpaceDN/>
        <w:bidi w:val="0"/>
        <w:adjustRightInd/>
        <w:snapToGrid/>
        <w:spacing w:line="560" w:lineRule="exact"/>
        <w:ind w:left="53" w:leftChars="25" w:right="38" w:rightChars="18" w:firstLine="643" w:firstLineChars="200"/>
        <w:jc w:val="both"/>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2、</w:t>
      </w:r>
      <w:r>
        <w:rPr>
          <w:rFonts w:hint="eastAsia" w:ascii="楷体_GB2312" w:hAnsi="楷体_GB2312" w:eastAsia="楷体_GB2312" w:cs="楷体_GB2312"/>
          <w:b/>
          <w:bCs/>
          <w:color w:val="auto"/>
          <w:sz w:val="32"/>
          <w:szCs w:val="32"/>
          <w:lang w:val="en-US" w:eastAsia="zh-CN"/>
        </w:rPr>
        <w:t>村建办</w:t>
      </w:r>
      <w:r>
        <w:rPr>
          <w:rFonts w:hint="eastAsia" w:ascii="楷体_GB2312" w:hAnsi="楷体_GB2312" w:eastAsia="楷体_GB2312" w:cs="楷体_GB2312"/>
          <w:b/>
          <w:bCs/>
          <w:color w:val="auto"/>
          <w:sz w:val="32"/>
          <w:szCs w:val="32"/>
        </w:rPr>
        <w:t>。</w:t>
      </w:r>
      <w:r>
        <w:rPr>
          <w:rFonts w:hint="eastAsia" w:ascii="仿宋_GB2312" w:hAnsi="宋体" w:eastAsia="仿宋_GB2312" w:cs="宋体"/>
          <w:b/>
          <w:bCs/>
          <w:color w:val="auto"/>
          <w:sz w:val="32"/>
          <w:szCs w:val="32"/>
        </w:rPr>
        <w:t>排查建筑施工工地，整治施工作业现场管理混乱、住宅小区违规停放电动自行车等隐患。</w:t>
      </w:r>
    </w:p>
    <w:p>
      <w:pPr>
        <w:keepNext w:val="0"/>
        <w:keepLines w:val="0"/>
        <w:pageBreakBefore w:val="0"/>
        <w:widowControl/>
        <w:kinsoku/>
        <w:wordWrap/>
        <w:overflowPunct/>
        <w:topLinePunct w:val="0"/>
        <w:autoSpaceDE/>
        <w:autoSpaceDN/>
        <w:bidi w:val="0"/>
        <w:adjustRightInd/>
        <w:snapToGrid/>
        <w:spacing w:line="560" w:lineRule="exact"/>
        <w:ind w:left="53" w:leftChars="25" w:right="38" w:rightChars="18" w:firstLine="643" w:firstLineChars="200"/>
        <w:jc w:val="both"/>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3、</w:t>
      </w:r>
      <w:r>
        <w:rPr>
          <w:rFonts w:hint="eastAsia" w:ascii="楷体_GB2312" w:hAnsi="楷体_GB2312" w:eastAsia="楷体_GB2312" w:cs="楷体_GB2312"/>
          <w:b/>
          <w:bCs/>
          <w:color w:val="auto"/>
          <w:sz w:val="32"/>
          <w:szCs w:val="32"/>
          <w:lang w:val="en-US" w:eastAsia="zh-CN"/>
        </w:rPr>
        <w:t>派出所</w:t>
      </w:r>
      <w:r>
        <w:rPr>
          <w:rFonts w:hint="eastAsia" w:ascii="楷体_GB2312" w:hAnsi="楷体_GB2312" w:eastAsia="楷体_GB2312" w:cs="楷体_GB2312"/>
          <w:b/>
          <w:bCs/>
          <w:color w:val="auto"/>
          <w:sz w:val="32"/>
          <w:szCs w:val="32"/>
        </w:rPr>
        <w:t>。</w:t>
      </w:r>
      <w:r>
        <w:rPr>
          <w:rFonts w:hint="eastAsia" w:ascii="仿宋_GB2312" w:hAnsi="宋体" w:eastAsia="仿宋_GB2312" w:cs="宋体"/>
          <w:b/>
          <w:bCs/>
          <w:color w:val="auto"/>
          <w:sz w:val="32"/>
          <w:szCs w:val="32"/>
        </w:rPr>
        <w:t>负责对辖区村民委员会和“九小场所”履行消防安全职责的情况实施消防监督检查，并按照处罚权限依法实施处罚。组织开展经常性消防宣传教育，普及消防常识，提高人民群众消防安全素质。</w:t>
      </w:r>
    </w:p>
    <w:p>
      <w:pPr>
        <w:keepNext w:val="0"/>
        <w:keepLines w:val="0"/>
        <w:pageBreakBefore w:val="0"/>
        <w:widowControl/>
        <w:kinsoku/>
        <w:wordWrap/>
        <w:overflowPunct/>
        <w:topLinePunct w:val="0"/>
        <w:autoSpaceDE/>
        <w:autoSpaceDN/>
        <w:bidi w:val="0"/>
        <w:adjustRightInd/>
        <w:snapToGrid/>
        <w:spacing w:line="560" w:lineRule="exact"/>
        <w:ind w:left="53" w:leftChars="25" w:right="38" w:rightChars="18" w:firstLine="643" w:firstLineChars="200"/>
        <w:jc w:val="both"/>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4、</w:t>
      </w:r>
      <w:r>
        <w:rPr>
          <w:rFonts w:hint="eastAsia" w:ascii="楷体_GB2312" w:hAnsi="楷体_GB2312" w:eastAsia="楷体_GB2312" w:cs="楷体_GB2312"/>
          <w:b/>
          <w:bCs/>
          <w:color w:val="auto"/>
          <w:sz w:val="32"/>
          <w:szCs w:val="32"/>
          <w:lang w:val="en-US" w:eastAsia="zh-CN"/>
        </w:rPr>
        <w:t>文化站、旅游办。</w:t>
      </w:r>
      <w:r>
        <w:rPr>
          <w:rFonts w:hint="eastAsia" w:ascii="仿宋_GB2312" w:hAnsi="宋体" w:eastAsia="仿宋_GB2312" w:cs="宋体"/>
          <w:b/>
          <w:bCs/>
          <w:color w:val="auto"/>
          <w:sz w:val="32"/>
          <w:szCs w:val="32"/>
        </w:rPr>
        <w:t>重点排查公共娱乐、</w:t>
      </w:r>
      <w:r>
        <w:rPr>
          <w:rFonts w:hint="eastAsia" w:ascii="仿宋_GB2312" w:hAnsi="宋体" w:eastAsia="仿宋_GB2312" w:cs="宋体"/>
          <w:b/>
          <w:bCs/>
          <w:color w:val="auto"/>
          <w:sz w:val="32"/>
          <w:szCs w:val="32"/>
          <w:lang w:eastAsia="zh-CN"/>
        </w:rPr>
        <w:t>旅游景点</w:t>
      </w:r>
      <w:r>
        <w:rPr>
          <w:rFonts w:hint="eastAsia" w:ascii="仿宋_GB2312" w:hAnsi="宋体" w:eastAsia="仿宋_GB2312" w:cs="宋体"/>
          <w:b/>
          <w:bCs/>
          <w:color w:val="auto"/>
          <w:sz w:val="32"/>
          <w:szCs w:val="32"/>
        </w:rPr>
        <w:t>等场所，整治易燃可燃装饰装修、锁闭安全出口、私拉乱接电线等突出风险。</w:t>
      </w:r>
    </w:p>
    <w:p>
      <w:pPr>
        <w:keepNext w:val="0"/>
        <w:keepLines w:val="0"/>
        <w:pageBreakBefore w:val="0"/>
        <w:widowControl/>
        <w:kinsoku/>
        <w:wordWrap/>
        <w:overflowPunct/>
        <w:topLinePunct w:val="0"/>
        <w:autoSpaceDE/>
        <w:autoSpaceDN/>
        <w:bidi w:val="0"/>
        <w:adjustRightInd/>
        <w:snapToGrid/>
        <w:spacing w:line="560" w:lineRule="exact"/>
        <w:ind w:left="53" w:leftChars="25" w:right="38" w:rightChars="18" w:firstLine="643" w:firstLineChars="200"/>
        <w:jc w:val="both"/>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6、</w:t>
      </w:r>
      <w:r>
        <w:rPr>
          <w:rFonts w:hint="eastAsia" w:ascii="楷体_GB2312" w:hAnsi="楷体_GB2312" w:eastAsia="楷体_GB2312" w:cs="楷体_GB2312"/>
          <w:b/>
          <w:bCs/>
          <w:color w:val="auto"/>
          <w:sz w:val="32"/>
          <w:szCs w:val="32"/>
          <w:lang w:val="en-US" w:eastAsia="zh-CN"/>
        </w:rPr>
        <w:t>安环办</w:t>
      </w:r>
      <w:r>
        <w:rPr>
          <w:rFonts w:hint="eastAsia" w:ascii="楷体_GB2312" w:hAnsi="楷体_GB2312" w:eastAsia="楷体_GB2312" w:cs="楷体_GB2312"/>
          <w:b/>
          <w:bCs/>
          <w:color w:val="auto"/>
          <w:sz w:val="32"/>
          <w:szCs w:val="32"/>
        </w:rPr>
        <w:t>。</w:t>
      </w:r>
      <w:r>
        <w:rPr>
          <w:rFonts w:hint="eastAsia" w:ascii="仿宋_GB2312" w:hAnsi="宋体" w:eastAsia="仿宋_GB2312" w:cs="宋体"/>
          <w:b/>
          <w:bCs/>
          <w:color w:val="auto"/>
          <w:sz w:val="32"/>
          <w:szCs w:val="32"/>
        </w:rPr>
        <w:t>突出动火、受限空间等特殊作业环节、部位，督促危化品企业开展自查自改，加强职工安全教育培训，进一步增强从业人员安全意识和操作技能。</w:t>
      </w:r>
    </w:p>
    <w:p>
      <w:pPr>
        <w:keepNext w:val="0"/>
        <w:keepLines w:val="0"/>
        <w:pageBreakBefore w:val="0"/>
        <w:widowControl/>
        <w:kinsoku/>
        <w:wordWrap/>
        <w:overflowPunct/>
        <w:topLinePunct w:val="0"/>
        <w:autoSpaceDE/>
        <w:autoSpaceDN/>
        <w:bidi w:val="0"/>
        <w:adjustRightInd/>
        <w:snapToGrid/>
        <w:spacing w:line="560" w:lineRule="exact"/>
        <w:ind w:left="53" w:leftChars="25" w:right="38" w:rightChars="18" w:firstLine="643" w:firstLineChars="200"/>
        <w:textAlignment w:val="auto"/>
        <w:rPr>
          <w:rFonts w:hint="eastAsia" w:ascii="仿宋_GB2312" w:hAnsi="宋体" w:eastAsia="仿宋_GB2312" w:cs="宋体"/>
          <w:b/>
          <w:bCs/>
          <w:color w:val="auto"/>
          <w:sz w:val="32"/>
          <w:szCs w:val="32"/>
        </w:rPr>
        <w:sectPr>
          <w:footerReference r:id="rId3" w:type="default"/>
          <w:type w:val="continuous"/>
          <w:pgSz w:w="11920" w:h="16840"/>
          <w:pgMar w:top="1417" w:right="1701" w:bottom="1417" w:left="1701" w:header="0" w:footer="0" w:gutter="0"/>
          <w:cols w:equalWidth="0" w:num="1">
            <w:col w:w="8670"/>
          </w:cols>
          <w:rtlGutter w:val="0"/>
          <w:docGrid w:linePitch="0" w:charSpace="0"/>
        </w:sectPr>
      </w:pPr>
      <w:r>
        <w:rPr>
          <w:rFonts w:hint="eastAsia" w:ascii="楷体_GB2312" w:hAnsi="楷体_GB2312" w:eastAsia="楷体_GB2312" w:cs="楷体_GB2312"/>
          <w:b/>
          <w:bCs/>
          <w:color w:val="auto"/>
          <w:sz w:val="32"/>
          <w:szCs w:val="32"/>
        </w:rPr>
        <w:t>7、市场监管</w:t>
      </w:r>
      <w:r>
        <w:rPr>
          <w:rFonts w:hint="eastAsia" w:ascii="楷体_GB2312" w:hAnsi="楷体_GB2312" w:eastAsia="楷体_GB2312" w:cs="楷体_GB2312"/>
          <w:b/>
          <w:bCs/>
          <w:color w:val="auto"/>
          <w:sz w:val="32"/>
          <w:szCs w:val="32"/>
          <w:lang w:val="en-US" w:eastAsia="zh-CN"/>
        </w:rPr>
        <w:t>所</w:t>
      </w:r>
      <w:r>
        <w:rPr>
          <w:rFonts w:hint="eastAsia" w:ascii="楷体_GB2312" w:hAnsi="楷体_GB2312" w:eastAsia="楷体_GB2312" w:cs="楷体_GB2312"/>
          <w:b/>
          <w:bCs/>
          <w:color w:val="auto"/>
          <w:sz w:val="32"/>
          <w:szCs w:val="32"/>
        </w:rPr>
        <w:t>。</w:t>
      </w:r>
      <w:r>
        <w:rPr>
          <w:rFonts w:hint="eastAsia" w:ascii="仿宋_GB2312" w:hAnsi="宋体" w:eastAsia="仿宋_GB2312" w:cs="宋体"/>
          <w:b/>
          <w:bCs/>
          <w:color w:val="auto"/>
          <w:sz w:val="32"/>
          <w:szCs w:val="32"/>
        </w:rPr>
        <w:t>负责对流通领域的消防产品质量实施监督检查，依法查处销售质量不合格消防产品的违法行为。</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textAlignment w:val="auto"/>
        <w:rPr>
          <w:rFonts w:ascii="黑体" w:hAnsi="黑体" w:eastAsia="黑体" w:cs="黑体"/>
          <w:b/>
          <w:bCs/>
          <w:color w:val="auto"/>
          <w:sz w:val="32"/>
          <w:szCs w:val="32"/>
        </w:rPr>
      </w:pPr>
      <w:bookmarkStart w:id="1" w:name="page10"/>
      <w:bookmarkEnd w:id="1"/>
      <w:r>
        <w:rPr>
          <w:rFonts w:ascii="黑体" w:hAnsi="黑体" w:eastAsia="黑体" w:cs="黑体"/>
          <w:b/>
          <w:bCs/>
          <w:color w:val="auto"/>
          <w:sz w:val="32"/>
          <w:szCs w:val="32"/>
        </w:rPr>
        <w:t>四、时间步骤</w:t>
      </w:r>
    </w:p>
    <w:p>
      <w:pPr>
        <w:keepNext w:val="0"/>
        <w:keepLines w:val="0"/>
        <w:pageBreakBefore w:val="0"/>
        <w:widowControl/>
        <w:kinsoku/>
        <w:wordWrap/>
        <w:overflowPunct/>
        <w:topLinePunct w:val="0"/>
        <w:autoSpaceDE/>
        <w:autoSpaceDN/>
        <w:bidi w:val="0"/>
        <w:adjustRightInd/>
        <w:snapToGrid/>
        <w:spacing w:line="560" w:lineRule="exact"/>
        <w:ind w:right="102" w:firstLine="643" w:firstLineChars="200"/>
        <w:jc w:val="both"/>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（一）部署发动阶段。</w:t>
      </w:r>
      <w:r>
        <w:rPr>
          <w:rFonts w:hint="eastAsia" w:ascii="仿宋_GB2312" w:hAnsi="宋体" w:eastAsia="仿宋_GB2312" w:cs="宋体"/>
          <w:b/>
          <w:bCs/>
          <w:color w:val="auto"/>
          <w:sz w:val="32"/>
          <w:szCs w:val="32"/>
        </w:rPr>
        <w:t>各</w:t>
      </w:r>
      <w:r>
        <w:rPr>
          <w:rFonts w:hint="eastAsia" w:ascii="仿宋_GB2312" w:hAnsi="宋体" w:eastAsia="仿宋_GB2312" w:cs="宋体"/>
          <w:b/>
          <w:bCs/>
          <w:color w:val="auto"/>
          <w:sz w:val="32"/>
          <w:szCs w:val="32"/>
          <w:lang w:val="en-US" w:eastAsia="zh-CN"/>
        </w:rPr>
        <w:t>村</w:t>
      </w:r>
      <w:r>
        <w:rPr>
          <w:rFonts w:hint="eastAsia" w:ascii="仿宋_GB2312" w:hAnsi="宋体" w:eastAsia="仿宋_GB2312" w:cs="宋体"/>
          <w:b/>
          <w:bCs/>
          <w:color w:val="auto"/>
          <w:sz w:val="32"/>
          <w:szCs w:val="32"/>
        </w:rPr>
        <w:t>、</w:t>
      </w:r>
      <w:r>
        <w:rPr>
          <w:rFonts w:hint="eastAsia" w:ascii="仿宋_GB2312" w:hAnsi="宋体" w:eastAsia="仿宋_GB2312" w:cs="宋体"/>
          <w:b/>
          <w:bCs/>
          <w:strike w:val="0"/>
          <w:dstrike w:val="0"/>
          <w:color w:val="auto"/>
          <w:sz w:val="32"/>
          <w:szCs w:val="32"/>
        </w:rPr>
        <w:t>各</w:t>
      </w:r>
      <w:r>
        <w:rPr>
          <w:rFonts w:hint="eastAsia" w:ascii="仿宋_GB2312" w:hAnsi="宋体" w:eastAsia="仿宋_GB2312" w:cs="宋体"/>
          <w:b/>
          <w:bCs/>
          <w:color w:val="auto"/>
          <w:sz w:val="32"/>
          <w:szCs w:val="32"/>
        </w:rPr>
        <w:t>有关部门要分别</w:t>
      </w:r>
      <w:r>
        <w:rPr>
          <w:rFonts w:hint="eastAsia" w:ascii="仿宋_GB2312" w:hAnsi="宋体" w:eastAsia="仿宋_GB2312" w:cs="宋体"/>
          <w:b/>
          <w:bCs/>
          <w:color w:val="auto"/>
          <w:sz w:val="32"/>
          <w:szCs w:val="32"/>
          <w:lang w:val="en-US" w:eastAsia="zh-CN"/>
        </w:rPr>
        <w:t>制定</w:t>
      </w:r>
      <w:r>
        <w:rPr>
          <w:rFonts w:hint="eastAsia" w:ascii="仿宋_GB2312" w:hAnsi="宋体" w:eastAsia="仿宋_GB2312" w:cs="宋体"/>
          <w:b/>
          <w:bCs/>
          <w:color w:val="auto"/>
          <w:sz w:val="32"/>
          <w:szCs w:val="32"/>
        </w:rPr>
        <w:t>方案、召开会议，明确工作职责、细化工作措施，广泛发动、部署到位。</w:t>
      </w:r>
    </w:p>
    <w:p>
      <w:pPr>
        <w:keepNext w:val="0"/>
        <w:keepLines w:val="0"/>
        <w:pageBreakBefore w:val="0"/>
        <w:widowControl/>
        <w:kinsoku/>
        <w:wordWrap/>
        <w:overflowPunct/>
        <w:topLinePunct w:val="0"/>
        <w:autoSpaceDE/>
        <w:autoSpaceDN/>
        <w:bidi w:val="0"/>
        <w:adjustRightInd/>
        <w:snapToGrid/>
        <w:spacing w:line="560" w:lineRule="exact"/>
        <w:ind w:left="53" w:leftChars="25" w:right="38" w:rightChars="18" w:firstLine="643" w:firstLineChars="200"/>
        <w:jc w:val="both"/>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（二）组织实施阶段（即日起至2020年3月下旬）。</w:t>
      </w:r>
      <w:r>
        <w:rPr>
          <w:rFonts w:hint="eastAsia" w:ascii="仿宋_GB2312" w:hAnsi="宋体" w:eastAsia="仿宋_GB2312" w:cs="宋体"/>
          <w:b/>
          <w:bCs/>
          <w:color w:val="auto"/>
          <w:sz w:val="32"/>
          <w:szCs w:val="32"/>
        </w:rPr>
        <w:t>组织社会单位开展“三自主两公开一承诺”活动，相关部门开展排查，针对突出风险召开约谈会、推进会，发出提示函、建议书，曝光重大火灾隐患，重要节点落实严管严控措施。</w:t>
      </w:r>
    </w:p>
    <w:p>
      <w:pPr>
        <w:keepNext w:val="0"/>
        <w:keepLines w:val="0"/>
        <w:pageBreakBefore w:val="0"/>
        <w:widowControl/>
        <w:kinsoku/>
        <w:wordWrap/>
        <w:overflowPunct/>
        <w:topLinePunct w:val="0"/>
        <w:autoSpaceDE/>
        <w:autoSpaceDN/>
        <w:bidi w:val="0"/>
        <w:adjustRightInd/>
        <w:snapToGrid/>
        <w:spacing w:line="560" w:lineRule="exact"/>
        <w:ind w:right="102" w:firstLine="643" w:firstLineChars="200"/>
        <w:jc w:val="both"/>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（三）巩固提升阶段（2020年4月至5月下旬）。</w:t>
      </w:r>
      <w:r>
        <w:rPr>
          <w:rFonts w:hint="eastAsia" w:ascii="仿宋_GB2312" w:hAnsi="宋体" w:eastAsia="仿宋_GB2312" w:cs="宋体"/>
          <w:b/>
          <w:bCs/>
          <w:color w:val="auto"/>
          <w:sz w:val="32"/>
          <w:szCs w:val="32"/>
        </w:rPr>
        <w:t>各</w:t>
      </w:r>
      <w:r>
        <w:rPr>
          <w:rFonts w:hint="eastAsia" w:ascii="仿宋_GB2312" w:hAnsi="宋体" w:eastAsia="仿宋_GB2312" w:cs="宋体"/>
          <w:b/>
          <w:bCs/>
          <w:color w:val="auto"/>
          <w:sz w:val="32"/>
          <w:szCs w:val="32"/>
          <w:lang w:val="en-US" w:eastAsia="zh-CN"/>
        </w:rPr>
        <w:t>村</w:t>
      </w:r>
      <w:r>
        <w:rPr>
          <w:rFonts w:hint="eastAsia" w:ascii="仿宋_GB2312" w:hAnsi="宋体" w:eastAsia="仿宋_GB2312" w:cs="宋体"/>
          <w:b/>
          <w:bCs/>
          <w:color w:val="auto"/>
          <w:sz w:val="32"/>
          <w:szCs w:val="32"/>
          <w:lang w:eastAsia="zh-CN"/>
        </w:rPr>
        <w:t>、</w:t>
      </w:r>
      <w:r>
        <w:rPr>
          <w:rFonts w:hint="eastAsia" w:ascii="仿宋_GB2312" w:hAnsi="宋体" w:eastAsia="仿宋_GB2312" w:cs="宋体"/>
          <w:b/>
          <w:bCs/>
          <w:strike w:val="0"/>
          <w:dstrike w:val="0"/>
          <w:color w:val="auto"/>
          <w:sz w:val="32"/>
          <w:szCs w:val="32"/>
        </w:rPr>
        <w:t>各</w:t>
      </w:r>
      <w:r>
        <w:rPr>
          <w:rFonts w:hint="eastAsia" w:ascii="仿宋_GB2312" w:hAnsi="宋体" w:eastAsia="仿宋_GB2312" w:cs="宋体"/>
          <w:b/>
          <w:bCs/>
          <w:color w:val="auto"/>
          <w:sz w:val="32"/>
          <w:szCs w:val="32"/>
        </w:rPr>
        <w:t>部门要组织开展“回头看”活动，检查验收前期“大起底、大整治”百日攻坚行动情况，总结经验做法，固化工作成效，完善防范化解重大风险长效机制。</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textAlignment w:val="auto"/>
        <w:rPr>
          <w:rFonts w:ascii="黑体" w:hAnsi="黑体" w:eastAsia="黑体" w:cs="黑体"/>
          <w:b/>
          <w:bCs/>
          <w:color w:val="auto"/>
          <w:sz w:val="32"/>
          <w:szCs w:val="32"/>
        </w:rPr>
      </w:pPr>
      <w:r>
        <w:rPr>
          <w:rFonts w:ascii="黑体" w:hAnsi="黑体" w:eastAsia="黑体" w:cs="黑体"/>
          <w:b/>
          <w:bCs/>
          <w:color w:val="auto"/>
          <w:sz w:val="32"/>
          <w:szCs w:val="32"/>
        </w:rPr>
        <w:t>五、工作要求</w:t>
      </w:r>
    </w:p>
    <w:p>
      <w:pPr>
        <w:keepNext w:val="0"/>
        <w:keepLines w:val="0"/>
        <w:pageBreakBefore w:val="0"/>
        <w:widowControl/>
        <w:kinsoku/>
        <w:wordWrap/>
        <w:overflowPunct/>
        <w:topLinePunct w:val="0"/>
        <w:autoSpaceDE/>
        <w:autoSpaceDN/>
        <w:bidi w:val="0"/>
        <w:adjustRightInd/>
        <w:snapToGrid/>
        <w:spacing w:line="560" w:lineRule="exact"/>
        <w:ind w:left="53" w:leftChars="25" w:right="102" w:firstLine="643" w:firstLineChars="200"/>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（一）加强组织领导。</w:t>
      </w:r>
      <w:r>
        <w:rPr>
          <w:rFonts w:hint="eastAsia" w:ascii="仿宋_GB2312" w:hAnsi="宋体" w:eastAsia="仿宋_GB2312" w:cs="宋体"/>
          <w:b/>
          <w:bCs/>
          <w:color w:val="auto"/>
          <w:sz w:val="32"/>
          <w:szCs w:val="32"/>
        </w:rPr>
        <w:t>各部门要切实担负起防范化解重大消防安全风险的政治责任，全力抓好消防安全风险隐患“大起底、大整治”百日攻坚行动。</w:t>
      </w:r>
      <w:r>
        <w:rPr>
          <w:rFonts w:hint="eastAsia" w:ascii="仿宋_GB2312" w:hAnsi="宋体" w:eastAsia="仿宋_GB2312" w:cs="宋体"/>
          <w:b/>
          <w:bCs/>
          <w:color w:val="auto"/>
          <w:sz w:val="32"/>
          <w:szCs w:val="32"/>
          <w:lang w:val="en-US" w:eastAsia="zh-CN"/>
        </w:rPr>
        <w:t>镇</w:t>
      </w:r>
      <w:r>
        <w:rPr>
          <w:rFonts w:hint="eastAsia" w:ascii="仿宋_GB2312" w:hAnsi="宋体" w:eastAsia="仿宋_GB2312" w:cs="宋体"/>
          <w:b/>
          <w:bCs/>
          <w:color w:val="auto"/>
          <w:sz w:val="32"/>
          <w:szCs w:val="32"/>
        </w:rPr>
        <w:t>将成立专项协调小组，办公室设在</w:t>
      </w:r>
      <w:r>
        <w:rPr>
          <w:rFonts w:hint="eastAsia" w:ascii="仿宋_GB2312" w:hAnsi="宋体" w:eastAsia="仿宋_GB2312" w:cs="宋体"/>
          <w:b/>
          <w:bCs/>
          <w:color w:val="auto"/>
          <w:sz w:val="32"/>
          <w:szCs w:val="32"/>
          <w:lang w:val="en-US" w:eastAsia="zh-CN"/>
        </w:rPr>
        <w:t>镇安环办</w:t>
      </w:r>
      <w:r>
        <w:rPr>
          <w:rFonts w:hint="eastAsia" w:ascii="仿宋_GB2312" w:hAnsi="宋体" w:eastAsia="仿宋_GB2312" w:cs="宋体"/>
          <w:b/>
          <w:bCs/>
          <w:color w:val="auto"/>
          <w:sz w:val="32"/>
          <w:szCs w:val="32"/>
        </w:rPr>
        <w:t>，承担日常工作。</w:t>
      </w:r>
    </w:p>
    <w:p>
      <w:pPr>
        <w:keepNext w:val="0"/>
        <w:keepLines w:val="0"/>
        <w:pageBreakBefore w:val="0"/>
        <w:widowControl/>
        <w:kinsoku/>
        <w:wordWrap/>
        <w:overflowPunct/>
        <w:topLinePunct w:val="0"/>
        <w:autoSpaceDE/>
        <w:autoSpaceDN/>
        <w:bidi w:val="0"/>
        <w:adjustRightInd/>
        <w:snapToGrid/>
        <w:spacing w:line="560" w:lineRule="exact"/>
        <w:ind w:left="53" w:leftChars="25" w:right="102" w:firstLine="643" w:firstLineChars="200"/>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（二）强化监管协作。</w:t>
      </w:r>
      <w:r>
        <w:rPr>
          <w:rFonts w:hint="eastAsia" w:ascii="仿宋_GB2312" w:hAnsi="宋体" w:eastAsia="仿宋_GB2312" w:cs="宋体"/>
          <w:b/>
          <w:bCs/>
          <w:color w:val="auto"/>
          <w:sz w:val="32"/>
          <w:szCs w:val="32"/>
        </w:rPr>
        <w:t>各有关部门要按照“三个必管”要求，各负其责，强化条线监管，建立健全信息共享、情况通报、联合执法等机制。教</w:t>
      </w:r>
      <w:r>
        <w:rPr>
          <w:rFonts w:hint="eastAsia" w:ascii="仿宋_GB2312" w:hAnsi="宋体" w:eastAsia="仿宋_GB2312" w:cs="宋体"/>
          <w:b/>
          <w:bCs/>
          <w:color w:val="auto"/>
          <w:sz w:val="32"/>
          <w:szCs w:val="32"/>
          <w:lang w:eastAsia="zh-CN"/>
        </w:rPr>
        <w:t>体</w:t>
      </w:r>
      <w:r>
        <w:rPr>
          <w:rFonts w:hint="eastAsia" w:ascii="仿宋_GB2312" w:hAnsi="宋体" w:eastAsia="仿宋_GB2312" w:cs="宋体"/>
          <w:b/>
          <w:bCs/>
          <w:color w:val="auto"/>
          <w:sz w:val="32"/>
          <w:szCs w:val="32"/>
          <w:lang w:val="en-US" w:eastAsia="zh-CN"/>
        </w:rPr>
        <w:t>办</w:t>
      </w:r>
      <w:r>
        <w:rPr>
          <w:rFonts w:hint="eastAsia" w:ascii="仿宋_GB2312" w:hAnsi="宋体" w:eastAsia="仿宋_GB2312" w:cs="宋体"/>
          <w:b/>
          <w:bCs/>
          <w:color w:val="auto"/>
          <w:sz w:val="32"/>
          <w:szCs w:val="32"/>
        </w:rPr>
        <w:t>、</w:t>
      </w:r>
      <w:r>
        <w:rPr>
          <w:rFonts w:hint="eastAsia" w:ascii="仿宋_GB2312" w:hAnsi="宋体" w:eastAsia="仿宋_GB2312" w:cs="宋体"/>
          <w:b/>
          <w:bCs/>
          <w:color w:val="auto"/>
          <w:sz w:val="32"/>
          <w:szCs w:val="32"/>
          <w:u w:val="none"/>
          <w:lang w:val="en-US" w:eastAsia="zh-CN"/>
        </w:rPr>
        <w:t>工信办</w:t>
      </w:r>
      <w:r>
        <w:rPr>
          <w:rFonts w:hint="eastAsia" w:ascii="仿宋_GB2312" w:hAnsi="宋体" w:eastAsia="仿宋_GB2312" w:cs="宋体"/>
          <w:b/>
          <w:bCs/>
          <w:color w:val="auto"/>
          <w:sz w:val="32"/>
          <w:szCs w:val="32"/>
          <w:u w:val="none"/>
        </w:rPr>
        <w:t>、民政</w:t>
      </w:r>
      <w:r>
        <w:rPr>
          <w:rFonts w:hint="eastAsia" w:ascii="仿宋_GB2312" w:hAnsi="宋体" w:eastAsia="仿宋_GB2312" w:cs="宋体"/>
          <w:b/>
          <w:bCs/>
          <w:color w:val="auto"/>
          <w:sz w:val="32"/>
          <w:szCs w:val="32"/>
          <w:u w:val="none"/>
          <w:lang w:val="en-US" w:eastAsia="zh-CN"/>
        </w:rPr>
        <w:t>办</w:t>
      </w:r>
      <w:r>
        <w:rPr>
          <w:rFonts w:hint="eastAsia" w:ascii="仿宋_GB2312" w:hAnsi="宋体" w:eastAsia="仿宋_GB2312" w:cs="宋体"/>
          <w:b/>
          <w:bCs/>
          <w:color w:val="auto"/>
          <w:sz w:val="32"/>
          <w:szCs w:val="32"/>
          <w:u w:val="none"/>
        </w:rPr>
        <w:t>、</w:t>
      </w:r>
      <w:r>
        <w:rPr>
          <w:rFonts w:hint="eastAsia" w:ascii="仿宋_GB2312" w:hAnsi="宋体" w:eastAsia="仿宋_GB2312" w:cs="宋体"/>
          <w:b/>
          <w:bCs/>
          <w:color w:val="auto"/>
          <w:sz w:val="32"/>
          <w:szCs w:val="32"/>
          <w:u w:val="none"/>
          <w:lang w:val="en-US" w:eastAsia="zh-CN"/>
        </w:rPr>
        <w:t>村建办</w:t>
      </w:r>
      <w:r>
        <w:rPr>
          <w:rFonts w:hint="eastAsia" w:ascii="仿宋_GB2312" w:hAnsi="宋体" w:eastAsia="仿宋_GB2312" w:cs="宋体"/>
          <w:b/>
          <w:bCs/>
          <w:color w:val="auto"/>
          <w:sz w:val="32"/>
          <w:szCs w:val="32"/>
          <w:u w:val="none"/>
        </w:rPr>
        <w:t>、</w:t>
      </w:r>
      <w:r>
        <w:rPr>
          <w:rFonts w:hint="eastAsia" w:ascii="仿宋_GB2312" w:hAnsi="宋体" w:eastAsia="仿宋_GB2312" w:cs="宋体"/>
          <w:b/>
          <w:bCs/>
          <w:color w:val="auto"/>
          <w:sz w:val="32"/>
          <w:szCs w:val="32"/>
          <w:u w:val="none"/>
          <w:lang w:val="en-US" w:eastAsia="zh-CN"/>
        </w:rPr>
        <w:t>派出</w:t>
      </w:r>
      <w:r>
        <w:rPr>
          <w:rFonts w:hint="eastAsia" w:ascii="仿宋_GB2312" w:hAnsi="宋体" w:eastAsia="仿宋_GB2312" w:cs="宋体"/>
          <w:b/>
          <w:bCs/>
          <w:color w:val="auto"/>
          <w:sz w:val="32"/>
          <w:szCs w:val="32"/>
          <w:lang w:val="en-US" w:eastAsia="zh-CN"/>
        </w:rPr>
        <w:t>所</w:t>
      </w:r>
      <w:r>
        <w:rPr>
          <w:rFonts w:hint="eastAsia" w:ascii="仿宋_GB2312" w:hAnsi="宋体" w:eastAsia="仿宋_GB2312" w:cs="宋体"/>
          <w:b/>
          <w:bCs/>
          <w:color w:val="auto"/>
          <w:sz w:val="32"/>
          <w:szCs w:val="32"/>
        </w:rPr>
        <w:t>、</w:t>
      </w:r>
      <w:r>
        <w:rPr>
          <w:rFonts w:hint="eastAsia" w:ascii="仿宋_GB2312" w:hAnsi="宋体" w:eastAsia="仿宋_GB2312" w:cs="宋体"/>
          <w:b/>
          <w:bCs/>
          <w:color w:val="auto"/>
          <w:sz w:val="32"/>
          <w:szCs w:val="32"/>
          <w:lang w:val="en-US" w:eastAsia="zh-CN"/>
        </w:rPr>
        <w:t>文化站、旅游办</w:t>
      </w:r>
      <w:r>
        <w:rPr>
          <w:rFonts w:hint="eastAsia" w:ascii="仿宋_GB2312" w:hAnsi="宋体" w:eastAsia="仿宋_GB2312" w:cs="宋体"/>
          <w:b/>
          <w:bCs/>
          <w:color w:val="auto"/>
          <w:sz w:val="32"/>
          <w:szCs w:val="32"/>
        </w:rPr>
        <w:t>、</w:t>
      </w:r>
      <w:r>
        <w:rPr>
          <w:rFonts w:hint="eastAsia" w:ascii="仿宋_GB2312" w:hAnsi="宋体" w:eastAsia="仿宋_GB2312" w:cs="宋体"/>
          <w:b/>
          <w:bCs/>
          <w:color w:val="auto"/>
          <w:sz w:val="32"/>
          <w:szCs w:val="32"/>
          <w:lang w:val="en-US" w:eastAsia="zh-CN"/>
        </w:rPr>
        <w:t>卫生院</w:t>
      </w:r>
      <w:r>
        <w:rPr>
          <w:rFonts w:hint="eastAsia" w:ascii="仿宋_GB2312" w:hAnsi="宋体" w:eastAsia="仿宋_GB2312" w:cs="宋体"/>
          <w:b/>
          <w:bCs/>
          <w:color w:val="auto"/>
          <w:sz w:val="32"/>
          <w:szCs w:val="32"/>
        </w:rPr>
        <w:t>、</w:t>
      </w:r>
      <w:r>
        <w:rPr>
          <w:rFonts w:hint="eastAsia" w:ascii="仿宋_GB2312" w:hAnsi="宋体" w:eastAsia="仿宋_GB2312" w:cs="宋体"/>
          <w:b/>
          <w:bCs/>
          <w:color w:val="auto"/>
          <w:sz w:val="32"/>
          <w:szCs w:val="32"/>
          <w:lang w:val="en-US" w:eastAsia="zh-CN"/>
        </w:rPr>
        <w:t>安环办</w:t>
      </w:r>
      <w:r>
        <w:rPr>
          <w:rFonts w:hint="eastAsia" w:ascii="仿宋_GB2312" w:hAnsi="宋体" w:eastAsia="仿宋_GB2312" w:cs="宋体"/>
          <w:b/>
          <w:bCs/>
          <w:color w:val="auto"/>
          <w:sz w:val="32"/>
          <w:szCs w:val="32"/>
        </w:rPr>
        <w:t>、市场监管</w:t>
      </w:r>
      <w:r>
        <w:rPr>
          <w:rFonts w:hint="eastAsia" w:ascii="仿宋_GB2312" w:hAnsi="宋体" w:eastAsia="仿宋_GB2312" w:cs="宋体"/>
          <w:b/>
          <w:bCs/>
          <w:color w:val="auto"/>
          <w:sz w:val="32"/>
          <w:szCs w:val="32"/>
          <w:lang w:val="en-US" w:eastAsia="zh-CN"/>
        </w:rPr>
        <w:t>所</w:t>
      </w:r>
      <w:r>
        <w:rPr>
          <w:rFonts w:hint="eastAsia" w:ascii="仿宋_GB2312" w:hAnsi="宋体" w:eastAsia="仿宋_GB2312" w:cs="宋体"/>
          <w:b/>
          <w:bCs/>
          <w:color w:val="auto"/>
          <w:sz w:val="32"/>
          <w:szCs w:val="32"/>
        </w:rPr>
        <w:t>等部门，要按照职责任务开展行业系统排查整治，切实形成监管工作合力。</w:t>
      </w:r>
    </w:p>
    <w:p>
      <w:pPr>
        <w:keepNext w:val="0"/>
        <w:keepLines w:val="0"/>
        <w:pageBreakBefore w:val="0"/>
        <w:widowControl/>
        <w:kinsoku/>
        <w:wordWrap/>
        <w:overflowPunct/>
        <w:topLinePunct w:val="0"/>
        <w:autoSpaceDE/>
        <w:autoSpaceDN/>
        <w:bidi w:val="0"/>
        <w:adjustRightInd/>
        <w:snapToGrid/>
        <w:spacing w:line="560" w:lineRule="exact"/>
        <w:ind w:left="53" w:leftChars="25" w:right="102" w:firstLine="643" w:firstLineChars="200"/>
        <w:jc w:val="both"/>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（三）严查违法行为。</w:t>
      </w:r>
      <w:r>
        <w:rPr>
          <w:rFonts w:hint="eastAsia" w:ascii="仿宋_GB2312" w:hAnsi="宋体" w:eastAsia="仿宋_GB2312" w:cs="宋体"/>
          <w:b/>
          <w:bCs/>
          <w:color w:val="auto"/>
          <w:sz w:val="32"/>
          <w:szCs w:val="32"/>
        </w:rPr>
        <w:t>各</w:t>
      </w:r>
      <w:r>
        <w:rPr>
          <w:rFonts w:hint="eastAsia" w:ascii="仿宋_GB2312" w:hAnsi="宋体" w:eastAsia="仿宋_GB2312" w:cs="宋体"/>
          <w:b/>
          <w:bCs/>
          <w:color w:val="auto"/>
          <w:sz w:val="32"/>
          <w:szCs w:val="32"/>
          <w:lang w:val="en-US" w:eastAsia="zh-CN"/>
        </w:rPr>
        <w:t>村</w:t>
      </w:r>
      <w:r>
        <w:rPr>
          <w:rFonts w:hint="eastAsia" w:ascii="仿宋_GB2312" w:hAnsi="宋体" w:eastAsia="仿宋_GB2312" w:cs="宋体"/>
          <w:b/>
          <w:bCs/>
          <w:color w:val="auto"/>
          <w:sz w:val="32"/>
          <w:szCs w:val="32"/>
          <w:lang w:eastAsia="zh-CN"/>
        </w:rPr>
        <w:t>，</w:t>
      </w:r>
      <w:r>
        <w:rPr>
          <w:rFonts w:hint="eastAsia" w:ascii="仿宋_GB2312" w:hAnsi="宋体" w:eastAsia="仿宋_GB2312" w:cs="宋体"/>
          <w:b/>
          <w:bCs/>
          <w:strike w:val="0"/>
          <w:dstrike w:val="0"/>
          <w:color w:val="auto"/>
          <w:sz w:val="32"/>
          <w:szCs w:val="32"/>
        </w:rPr>
        <w:t>各</w:t>
      </w:r>
      <w:r>
        <w:rPr>
          <w:rFonts w:hint="eastAsia" w:ascii="仿宋_GB2312" w:hAnsi="宋体" w:eastAsia="仿宋_GB2312" w:cs="宋体"/>
          <w:b/>
          <w:bCs/>
          <w:color w:val="auto"/>
          <w:sz w:val="32"/>
          <w:szCs w:val="32"/>
        </w:rPr>
        <w:t>部门要坚持严格执法，坚决做到“六个一律”，即对构成重大火灾隐患的，一律提请政府挂牌督办并依法责令停产停业整改；对存在火灾隐患不能按要求整改的，一律给予处罚直至临时查封；对占用、堵塞、封闭疏散通道、安全出口、消防车通道不能当场整改的，一律采取临时查封措施；对消防车通道不畅、影响消防车通行拒不整改的，一律强制消除；对投入使用建筑中存在泡沫夹芯板搭建现象不符合消防安全要求的，一律强制拆除；对建筑消防设施不能正常运行的，一律从重处罚直至责令停业整改。</w:t>
      </w:r>
    </w:p>
    <w:p>
      <w:pPr>
        <w:keepNext w:val="0"/>
        <w:keepLines w:val="0"/>
        <w:pageBreakBefore w:val="0"/>
        <w:widowControl/>
        <w:kinsoku/>
        <w:wordWrap/>
        <w:overflowPunct/>
        <w:topLinePunct w:val="0"/>
        <w:autoSpaceDE/>
        <w:autoSpaceDN/>
        <w:bidi w:val="0"/>
        <w:adjustRightInd/>
        <w:snapToGrid/>
        <w:spacing w:line="560" w:lineRule="exact"/>
        <w:ind w:left="53" w:leftChars="25" w:right="102" w:firstLine="643" w:firstLineChars="200"/>
        <w:jc w:val="both"/>
        <w:textAlignment w:val="auto"/>
        <w:rPr>
          <w:rFonts w:hint="eastAsia" w:ascii="仿宋_GB2312" w:hAnsi="宋体" w:eastAsia="仿宋_GB2312" w:cs="宋体"/>
          <w:b/>
          <w:bCs/>
          <w:color w:val="auto"/>
          <w:sz w:val="32"/>
          <w:szCs w:val="32"/>
        </w:rPr>
      </w:pPr>
      <w:r>
        <w:rPr>
          <w:rFonts w:hint="eastAsia" w:ascii="楷体_GB2312" w:hAnsi="楷体_GB2312" w:eastAsia="楷体_GB2312" w:cs="楷体_GB2312"/>
          <w:b/>
          <w:bCs/>
          <w:color w:val="auto"/>
          <w:sz w:val="32"/>
          <w:szCs w:val="32"/>
        </w:rPr>
        <w:t>（四）严格督导问责。</w:t>
      </w:r>
      <w:r>
        <w:rPr>
          <w:rFonts w:hint="eastAsia" w:ascii="仿宋_GB2312" w:hAnsi="宋体" w:eastAsia="仿宋_GB2312" w:cs="宋体"/>
          <w:b/>
          <w:bCs/>
          <w:color w:val="auto"/>
          <w:sz w:val="32"/>
          <w:szCs w:val="32"/>
          <w:lang w:val="en-US" w:eastAsia="zh-CN"/>
        </w:rPr>
        <w:t>镇</w:t>
      </w:r>
      <w:r>
        <w:rPr>
          <w:rFonts w:hint="eastAsia" w:ascii="仿宋_GB2312" w:hAnsi="宋体" w:eastAsia="仿宋_GB2312" w:cs="宋体"/>
          <w:b/>
          <w:bCs/>
          <w:color w:val="auto"/>
          <w:sz w:val="32"/>
          <w:szCs w:val="32"/>
          <w:lang w:eastAsia="zh-CN"/>
        </w:rPr>
        <w:t>将</w:t>
      </w:r>
      <w:r>
        <w:rPr>
          <w:rFonts w:hint="eastAsia" w:ascii="仿宋_GB2312" w:hAnsi="宋体" w:eastAsia="仿宋_GB2312" w:cs="宋体"/>
          <w:b/>
          <w:bCs/>
          <w:color w:val="auto"/>
          <w:sz w:val="32"/>
          <w:szCs w:val="32"/>
        </w:rPr>
        <w:t>对消防安全风险隐患“大起底、大整治”百日攻坚行动开展明察暗访，并纳入</w:t>
      </w:r>
      <w:r>
        <w:rPr>
          <w:rFonts w:hint="eastAsia" w:ascii="仿宋_GB2312" w:hAnsi="宋体" w:eastAsia="仿宋_GB2312" w:cs="宋体"/>
          <w:b/>
          <w:bCs/>
          <w:color w:val="auto"/>
          <w:sz w:val="32"/>
          <w:szCs w:val="32"/>
          <w:lang w:eastAsia="zh-CN"/>
        </w:rPr>
        <w:t>全镇</w:t>
      </w:r>
      <w:r>
        <w:rPr>
          <w:rFonts w:hint="eastAsia" w:ascii="仿宋_GB2312" w:hAnsi="宋体" w:eastAsia="仿宋_GB2312" w:cs="宋体"/>
          <w:b/>
          <w:bCs/>
          <w:color w:val="auto"/>
          <w:sz w:val="32"/>
          <w:szCs w:val="32"/>
        </w:rPr>
        <w:t>安全生产和消防工作考核内容，强化事前、事中监管和问责，严格事故查处，对工作不落实、成效不明显的区域和单位，要及时提醒约谈。对发生火灾事故的，要依法从严追究有关单位和人员的责任。</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jc w:val="both"/>
        <w:textAlignment w:val="auto"/>
        <w:rPr>
          <w:rFonts w:hint="eastAsia" w:ascii="仿宋_GB2312" w:hAnsi="宋体" w:eastAsia="仿宋_GB2312" w:cs="宋体"/>
          <w:b/>
          <w:bCs/>
          <w:color w:val="auto"/>
          <w:sz w:val="32"/>
          <w:szCs w:val="32"/>
        </w:rPr>
      </w:pPr>
      <w:r>
        <w:rPr>
          <w:rFonts w:hint="eastAsia" w:ascii="仿宋_GB2312" w:hAnsi="宋体" w:eastAsia="仿宋_GB2312" w:cs="宋体"/>
          <w:b/>
          <w:bCs/>
          <w:color w:val="auto"/>
          <w:sz w:val="32"/>
          <w:szCs w:val="32"/>
        </w:rPr>
        <w:t>各</w:t>
      </w:r>
      <w:r>
        <w:rPr>
          <w:rFonts w:hint="eastAsia" w:ascii="仿宋_GB2312" w:hAnsi="宋体" w:eastAsia="仿宋_GB2312" w:cs="宋体"/>
          <w:b/>
          <w:bCs/>
          <w:color w:val="auto"/>
          <w:sz w:val="32"/>
          <w:szCs w:val="32"/>
          <w:lang w:val="en-US" w:eastAsia="zh-CN"/>
        </w:rPr>
        <w:t>村</w:t>
      </w:r>
      <w:r>
        <w:rPr>
          <w:rFonts w:hint="eastAsia" w:ascii="仿宋_GB2312" w:hAnsi="宋体" w:eastAsia="仿宋_GB2312" w:cs="宋体"/>
          <w:b/>
          <w:bCs/>
          <w:color w:val="auto"/>
          <w:sz w:val="32"/>
          <w:szCs w:val="32"/>
        </w:rPr>
        <w:t>及相关部门</w:t>
      </w:r>
      <w:r>
        <w:rPr>
          <w:rFonts w:hint="eastAsia" w:ascii="仿宋_GB2312" w:hAnsi="宋体" w:eastAsia="仿宋_GB2312" w:cs="宋体"/>
          <w:b/>
          <w:bCs/>
          <w:color w:val="auto"/>
          <w:sz w:val="32"/>
          <w:szCs w:val="32"/>
          <w:lang w:eastAsia="zh-CN"/>
        </w:rPr>
        <w:t>做好</w:t>
      </w:r>
      <w:r>
        <w:rPr>
          <w:rFonts w:hint="eastAsia" w:ascii="仿宋_GB2312" w:hAnsi="宋体" w:eastAsia="仿宋_GB2312" w:cs="宋体"/>
          <w:b/>
          <w:bCs/>
          <w:color w:val="auto"/>
          <w:sz w:val="32"/>
          <w:szCs w:val="32"/>
        </w:rPr>
        <w:t>动员部署行动期间，每月2</w:t>
      </w:r>
      <w:r>
        <w:rPr>
          <w:rFonts w:hint="eastAsia" w:ascii="仿宋_GB2312" w:hAnsi="宋体" w:eastAsia="仿宋_GB2312" w:cs="宋体"/>
          <w:b/>
          <w:bCs/>
          <w:color w:val="auto"/>
          <w:sz w:val="32"/>
          <w:szCs w:val="32"/>
          <w:lang w:val="en-US" w:eastAsia="zh-CN"/>
        </w:rPr>
        <w:t>6</w:t>
      </w:r>
      <w:r>
        <w:rPr>
          <w:rFonts w:hint="eastAsia" w:ascii="仿宋_GB2312" w:hAnsi="宋体" w:eastAsia="仿宋_GB2312" w:cs="宋体"/>
          <w:b/>
          <w:bCs/>
          <w:color w:val="auto"/>
          <w:sz w:val="32"/>
          <w:szCs w:val="32"/>
        </w:rPr>
        <w:t>日报送附件1、附件2及工作小结。2020年2月2</w:t>
      </w:r>
      <w:r>
        <w:rPr>
          <w:rFonts w:hint="eastAsia" w:ascii="仿宋_GB2312" w:hAnsi="宋体" w:eastAsia="仿宋_GB2312" w:cs="宋体"/>
          <w:b/>
          <w:bCs/>
          <w:color w:val="auto"/>
          <w:sz w:val="32"/>
          <w:szCs w:val="32"/>
          <w:lang w:val="en-US" w:eastAsia="zh-CN"/>
        </w:rPr>
        <w:t>7</w:t>
      </w:r>
      <w:r>
        <w:rPr>
          <w:rFonts w:hint="eastAsia" w:ascii="仿宋_GB2312" w:hAnsi="宋体" w:eastAsia="仿宋_GB2312" w:cs="宋体"/>
          <w:b/>
          <w:bCs/>
          <w:color w:val="auto"/>
          <w:sz w:val="32"/>
          <w:szCs w:val="32"/>
        </w:rPr>
        <w:t>日前，报送阶段性工作总结，5月26日前，报送整体工作总结。请将上述材料加盖公章通过邮箱（</w:t>
      </w:r>
      <w:r>
        <w:rPr>
          <w:rFonts w:hint="eastAsia" w:ascii="仿宋_GB2312" w:hAnsi="宋体" w:eastAsia="仿宋_GB2312" w:cs="宋体"/>
          <w:b/>
          <w:bCs/>
          <w:color w:val="auto"/>
          <w:sz w:val="32"/>
          <w:szCs w:val="32"/>
          <w:u w:val="none"/>
          <w:lang w:val="en-US" w:eastAsia="zh-CN"/>
        </w:rPr>
        <w:t>zsb3440011</w:t>
      </w:r>
      <w:r>
        <w:rPr>
          <w:rFonts w:hint="eastAsia" w:ascii="仿宋_GB2312" w:hAnsi="宋体" w:eastAsia="仿宋_GB2312" w:cs="宋体"/>
          <w:b/>
          <w:bCs/>
          <w:color w:val="auto"/>
          <w:sz w:val="32"/>
          <w:szCs w:val="32"/>
          <w:u w:val="none"/>
        </w:rPr>
        <w:t>@</w:t>
      </w:r>
      <w:r>
        <w:rPr>
          <w:rFonts w:hint="eastAsia" w:ascii="仿宋_GB2312" w:hAnsi="宋体" w:eastAsia="仿宋_GB2312" w:cs="宋体"/>
          <w:b/>
          <w:bCs/>
          <w:color w:val="auto"/>
          <w:sz w:val="32"/>
          <w:szCs w:val="32"/>
          <w:u w:val="none"/>
          <w:lang w:val="en-US" w:eastAsia="zh-CN"/>
        </w:rPr>
        <w:t>163</w:t>
      </w:r>
      <w:r>
        <w:rPr>
          <w:rFonts w:hint="eastAsia" w:ascii="仿宋_GB2312" w:hAnsi="宋体" w:eastAsia="仿宋_GB2312" w:cs="宋体"/>
          <w:b/>
          <w:bCs/>
          <w:color w:val="auto"/>
          <w:sz w:val="32"/>
          <w:szCs w:val="32"/>
          <w:u w:val="none"/>
        </w:rPr>
        <w:t>.c</w:t>
      </w:r>
      <w:r>
        <w:rPr>
          <w:rFonts w:hint="eastAsia" w:ascii="仿宋_GB2312" w:hAnsi="宋体" w:eastAsia="仿宋_GB2312" w:cs="宋体"/>
          <w:b/>
          <w:bCs/>
          <w:color w:val="auto"/>
          <w:sz w:val="32"/>
          <w:szCs w:val="32"/>
          <w:u w:val="none"/>
          <w:lang w:val="en-US" w:eastAsia="zh-CN"/>
        </w:rPr>
        <w:t>om</w:t>
      </w:r>
      <w:r>
        <w:rPr>
          <w:rFonts w:hint="eastAsia" w:ascii="仿宋_GB2312" w:hAnsi="宋体" w:eastAsia="仿宋_GB2312" w:cs="宋体"/>
          <w:b/>
          <w:bCs/>
          <w:color w:val="auto"/>
          <w:sz w:val="32"/>
          <w:szCs w:val="32"/>
        </w:rPr>
        <w:t>）及时报消防安全风险隐患“大起底、大整治”百日攻坚行动专项协调小组办公室（</w:t>
      </w:r>
      <w:r>
        <w:rPr>
          <w:rFonts w:hint="eastAsia" w:ascii="仿宋_GB2312" w:hAnsi="宋体" w:eastAsia="仿宋_GB2312" w:cs="宋体"/>
          <w:b/>
          <w:bCs/>
          <w:color w:val="auto"/>
          <w:sz w:val="32"/>
          <w:szCs w:val="32"/>
          <w:lang w:val="en-US" w:eastAsia="zh-CN"/>
        </w:rPr>
        <w:t>安环办</w:t>
      </w:r>
      <w:r>
        <w:rPr>
          <w:rFonts w:hint="eastAsia" w:ascii="仿宋_GB2312" w:hAnsi="宋体" w:eastAsia="仿宋_GB2312" w:cs="宋体"/>
          <w:b/>
          <w:bCs/>
          <w:color w:val="auto"/>
          <w:sz w:val="32"/>
          <w:szCs w:val="32"/>
        </w:rPr>
        <w:t>）。</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jc w:val="both"/>
        <w:textAlignment w:val="auto"/>
        <w:rPr>
          <w:rFonts w:hint="eastAsia" w:ascii="宋体" w:hAnsi="宋体" w:eastAsia="宋体" w:cs="宋体"/>
          <w:b/>
          <w:bCs/>
          <w:color w:val="auto"/>
          <w:sz w:val="32"/>
          <w:szCs w:val="32"/>
        </w:rPr>
      </w:pPr>
      <w:r>
        <w:rPr>
          <w:rFonts w:hint="eastAsia" w:ascii="仿宋_GB2312" w:hAnsi="宋体" w:eastAsia="仿宋_GB2312" w:cs="宋体"/>
          <w:b/>
          <w:bCs/>
          <w:color w:val="auto"/>
          <w:sz w:val="32"/>
          <w:szCs w:val="32"/>
        </w:rPr>
        <w:t>联系人：</w:t>
      </w:r>
      <w:r>
        <w:rPr>
          <w:rFonts w:hint="eastAsia" w:ascii="仿宋_GB2312" w:hAnsi="宋体" w:eastAsia="仿宋_GB2312" w:cs="宋体"/>
          <w:b/>
          <w:bCs/>
          <w:color w:val="auto"/>
          <w:sz w:val="32"/>
          <w:szCs w:val="32"/>
          <w:lang w:val="en-US" w:eastAsia="zh-CN"/>
        </w:rPr>
        <w:t>李学军</w:t>
      </w:r>
      <w:r>
        <w:rPr>
          <w:rFonts w:hint="eastAsia" w:ascii="仿宋_GB2312" w:hAnsi="宋体" w:eastAsia="仿宋_GB2312" w:cs="宋体"/>
          <w:b/>
          <w:bCs/>
          <w:color w:val="auto"/>
          <w:sz w:val="32"/>
          <w:szCs w:val="32"/>
        </w:rPr>
        <w:t>；联系电话：</w:t>
      </w:r>
      <w:r>
        <w:rPr>
          <w:rFonts w:hint="eastAsia" w:ascii="仿宋_GB2312" w:hAnsi="宋体" w:eastAsia="仿宋_GB2312" w:cs="宋体"/>
          <w:b/>
          <w:bCs/>
          <w:color w:val="auto"/>
          <w:sz w:val="32"/>
          <w:szCs w:val="32"/>
          <w:lang w:val="en-US" w:eastAsia="zh-CN"/>
        </w:rPr>
        <w:t>13884610685</w:t>
      </w:r>
      <w:r>
        <w:rPr>
          <w:rFonts w:hint="eastAsia" w:ascii="仿宋_GB2312" w:hAnsi="宋体" w:eastAsia="仿宋_GB2312" w:cs="宋体"/>
          <w:b/>
          <w:bCs/>
          <w:color w:val="auto"/>
          <w:sz w:val="32"/>
          <w:szCs w:val="32"/>
        </w:rPr>
        <w:t xml:space="preserve">。 </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jc w:val="both"/>
        <w:textAlignment w:val="auto"/>
        <w:rPr>
          <w:rFonts w:hint="eastAsia" w:ascii="仿宋_GB2312" w:hAnsi="宋体" w:eastAsia="仿宋_GB2312" w:cs="宋体"/>
          <w:b/>
          <w:bCs/>
          <w:color w:val="auto"/>
          <w:sz w:val="32"/>
          <w:szCs w:val="32"/>
        </w:rPr>
      </w:pPr>
      <w:r>
        <w:rPr>
          <w:rFonts w:hint="eastAsia" w:ascii="仿宋_GB2312" w:hAnsi="宋体" w:eastAsia="仿宋_GB2312" w:cs="宋体"/>
          <w:b/>
          <w:bCs/>
          <w:color w:val="auto"/>
          <w:sz w:val="32"/>
          <w:szCs w:val="32"/>
        </w:rPr>
        <w:t>附件：</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jc w:val="both"/>
        <w:textAlignment w:val="auto"/>
        <w:rPr>
          <w:rFonts w:hint="default" w:ascii="仿宋_GB2312" w:hAnsi="宋体" w:eastAsia="仿宋_GB2312" w:cs="宋体"/>
          <w:b/>
          <w:bCs/>
          <w:color w:val="auto"/>
          <w:sz w:val="32"/>
          <w:szCs w:val="32"/>
          <w:lang w:val="en-US"/>
        </w:rPr>
      </w:pPr>
      <w:r>
        <w:rPr>
          <w:rFonts w:hint="eastAsia" w:ascii="仿宋_GB2312" w:hAnsi="宋体" w:eastAsia="仿宋_GB2312" w:cs="宋体"/>
          <w:b/>
          <w:bCs/>
          <w:color w:val="auto"/>
          <w:sz w:val="32"/>
          <w:szCs w:val="32"/>
        </w:rPr>
        <w:t>1.消防安全风险隐患“大起底、大整治”百日攻坚行动摸底排查情况统计表</w:t>
      </w:r>
      <w:r>
        <w:rPr>
          <w:rFonts w:hint="eastAsia" w:ascii="仿宋_GB2312" w:hAnsi="宋体" w:eastAsia="仿宋_GB2312" w:cs="宋体"/>
          <w:b/>
          <w:bCs/>
          <w:color w:val="auto"/>
          <w:sz w:val="32"/>
          <w:szCs w:val="32"/>
          <w:lang w:val="en-US" w:eastAsia="zh-CN"/>
        </w:rPr>
        <w:t>（</w:t>
      </w:r>
      <w:r>
        <w:rPr>
          <w:rFonts w:hint="eastAsia" w:ascii="仿宋_GB2312" w:hAnsi="宋体" w:eastAsia="仿宋_GB2312" w:cs="宋体"/>
          <w:b/>
          <w:bCs/>
          <w:color w:val="auto"/>
          <w:sz w:val="32"/>
          <w:szCs w:val="32"/>
        </w:rPr>
        <w:t>各</w:t>
      </w:r>
      <w:r>
        <w:rPr>
          <w:rFonts w:hint="eastAsia" w:ascii="仿宋_GB2312" w:hAnsi="宋体" w:eastAsia="仿宋_GB2312" w:cs="宋体"/>
          <w:b/>
          <w:bCs/>
          <w:color w:val="auto"/>
          <w:sz w:val="32"/>
          <w:szCs w:val="32"/>
          <w:lang w:val="en-US" w:eastAsia="zh-CN"/>
        </w:rPr>
        <w:t>村）</w:t>
      </w:r>
    </w:p>
    <w:p>
      <w:pPr>
        <w:keepNext w:val="0"/>
        <w:keepLines w:val="0"/>
        <w:pageBreakBefore w:val="0"/>
        <w:widowControl/>
        <w:kinsoku/>
        <w:wordWrap/>
        <w:overflowPunct/>
        <w:topLinePunct w:val="0"/>
        <w:autoSpaceDE/>
        <w:autoSpaceDN/>
        <w:bidi w:val="0"/>
        <w:adjustRightInd/>
        <w:spacing w:line="560" w:lineRule="exact"/>
        <w:ind w:left="53" w:leftChars="25" w:right="102" w:firstLine="643" w:firstLineChars="200"/>
        <w:jc w:val="both"/>
        <w:textAlignment w:val="auto"/>
        <w:rPr>
          <w:rFonts w:hint="eastAsia" w:ascii="仿宋_GB2312" w:hAnsi="宋体" w:eastAsia="仿宋_GB2312" w:cs="宋体"/>
          <w:b/>
          <w:bCs/>
          <w:color w:val="auto"/>
          <w:sz w:val="32"/>
          <w:szCs w:val="32"/>
        </w:rPr>
        <w:sectPr>
          <w:type w:val="continuous"/>
          <w:pgSz w:w="11920" w:h="16840"/>
          <w:pgMar w:top="1440" w:right="1800" w:bottom="1440" w:left="1800" w:header="0" w:footer="0" w:gutter="0"/>
          <w:cols w:equalWidth="0" w:num="1">
            <w:col w:w="8670"/>
          </w:cols>
        </w:sectPr>
      </w:pPr>
      <w:r>
        <w:rPr>
          <w:rFonts w:hint="eastAsia" w:ascii="仿宋_GB2312" w:hAnsi="宋体" w:eastAsia="仿宋_GB2312" w:cs="宋体"/>
          <w:b/>
          <w:bCs/>
          <w:color w:val="auto"/>
          <w:sz w:val="32"/>
          <w:szCs w:val="32"/>
        </w:rPr>
        <w:t>2.消防安全风险隐患“大起底、大整治”百日攻坚行动摸底排查情况统计表（部门）</w:t>
      </w:r>
    </w:p>
    <w:p>
      <w:pPr>
        <w:spacing w:line="56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附件1</w:t>
      </w:r>
    </w:p>
    <w:p>
      <w:pPr>
        <w:spacing w:line="560" w:lineRule="exact"/>
        <w:jc w:val="center"/>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消防安全风险隐患“大起底、大整治”百日攻坚行动摸底排查情况统计表</w:t>
      </w:r>
    </w:p>
    <w:p>
      <w:pPr>
        <w:spacing w:line="560" w:lineRule="exact"/>
        <w:jc w:val="center"/>
        <w:rPr>
          <w:rFonts w:hint="default" w:ascii="方正小标宋简体" w:hAnsi="方正小标宋简体" w:eastAsia="方正小标宋简体" w:cs="方正小标宋简体"/>
          <w:b/>
          <w:bCs/>
          <w:color w:val="auto"/>
          <w:sz w:val="36"/>
          <w:szCs w:val="36"/>
          <w:lang w:val="en-US"/>
        </w:rPr>
      </w:pPr>
      <w:r>
        <w:rPr>
          <w:rFonts w:hint="eastAsia" w:ascii="仿宋_GB2312" w:hAnsi="宋体" w:eastAsia="仿宋_GB2312" w:cs="宋体"/>
          <w:b/>
          <w:bCs/>
          <w:color w:val="auto"/>
          <w:sz w:val="32"/>
          <w:szCs w:val="32"/>
          <w:lang w:eastAsia="zh-CN"/>
        </w:rPr>
        <w:t>（</w:t>
      </w:r>
      <w:r>
        <w:rPr>
          <w:rFonts w:hint="eastAsia" w:ascii="仿宋_GB2312" w:hAnsi="宋体" w:eastAsia="仿宋_GB2312" w:cs="宋体"/>
          <w:b/>
          <w:bCs/>
          <w:color w:val="auto"/>
          <w:sz w:val="32"/>
          <w:szCs w:val="32"/>
        </w:rPr>
        <w:t>各</w:t>
      </w:r>
      <w:r>
        <w:rPr>
          <w:rFonts w:hint="eastAsia" w:ascii="仿宋_GB2312" w:hAnsi="宋体" w:eastAsia="仿宋_GB2312" w:cs="宋体"/>
          <w:b/>
          <w:bCs/>
          <w:color w:val="auto"/>
          <w:sz w:val="32"/>
          <w:szCs w:val="32"/>
          <w:lang w:val="en-US" w:eastAsia="zh-CN"/>
        </w:rPr>
        <w:t>村</w:t>
      </w:r>
      <w:r>
        <w:rPr>
          <w:rFonts w:hint="eastAsia" w:ascii="仿宋_GB2312" w:hAnsi="宋体" w:eastAsia="仿宋_GB2312" w:cs="宋体"/>
          <w:b/>
          <w:bCs/>
          <w:color w:val="auto"/>
          <w:sz w:val="32"/>
          <w:szCs w:val="32"/>
          <w:lang w:eastAsia="zh-CN"/>
        </w:rPr>
        <w:t>）</w:t>
      </w:r>
    </w:p>
    <w:p>
      <w:pPr>
        <w:spacing w:line="560" w:lineRule="exact"/>
        <w:jc w:val="both"/>
        <w:rPr>
          <w:rFonts w:hint="eastAsia" w:ascii="仿宋_GB2312" w:hAnsi="仿宋_GB2312" w:eastAsia="仿宋_GB2312" w:cs="仿宋_GB2312"/>
          <w:b/>
          <w:bCs/>
          <w:color w:val="auto"/>
          <w:sz w:val="32"/>
          <w:szCs w:val="32"/>
        </w:rPr>
      </w:pPr>
      <w:r>
        <w:rPr>
          <w:rFonts w:hint="eastAsia" w:ascii="仿宋_GB2312" w:hAnsi="宋体" w:eastAsia="仿宋_GB2312" w:cs="宋体"/>
          <w:b/>
          <w:bCs/>
          <w:color w:val="auto"/>
          <w:sz w:val="32"/>
          <w:szCs w:val="32"/>
          <w:lang w:val="en-US" w:eastAsia="zh-CN"/>
        </w:rPr>
        <w:t>村</w:t>
      </w:r>
      <w:r>
        <w:rPr>
          <w:rFonts w:hint="eastAsia" w:ascii="仿宋_GB2312" w:hAnsi="仿宋_GB2312" w:eastAsia="仿宋_GB2312" w:cs="仿宋_GB2312"/>
          <w:b/>
          <w:bCs/>
          <w:color w:val="auto"/>
          <w:sz w:val="32"/>
          <w:szCs w:val="32"/>
        </w:rPr>
        <w:t>（公章）：</w:t>
      </w:r>
    </w:p>
    <w:tbl>
      <w:tblPr>
        <w:tblStyle w:val="13"/>
        <w:tblpPr w:leftFromText="180" w:rightFromText="180" w:vertAnchor="text" w:horzAnchor="page" w:tblpX="734" w:tblpY="192"/>
        <w:tblW w:w="15192" w:type="dxa"/>
        <w:tblInd w:w="0" w:type="dxa"/>
        <w:tblLayout w:type="fixed"/>
        <w:tblCellMar>
          <w:top w:w="0" w:type="dxa"/>
          <w:left w:w="0" w:type="dxa"/>
          <w:bottom w:w="0" w:type="dxa"/>
          <w:right w:w="0" w:type="dxa"/>
        </w:tblCellMar>
      </w:tblPr>
      <w:tblGrid>
        <w:gridCol w:w="364"/>
        <w:gridCol w:w="1885"/>
        <w:gridCol w:w="2250"/>
        <w:gridCol w:w="2083"/>
        <w:gridCol w:w="988"/>
        <w:gridCol w:w="1231"/>
        <w:gridCol w:w="836"/>
        <w:gridCol w:w="760"/>
        <w:gridCol w:w="775"/>
        <w:gridCol w:w="1155"/>
        <w:gridCol w:w="1885"/>
        <w:gridCol w:w="950"/>
        <w:gridCol w:w="30"/>
      </w:tblGrid>
      <w:tr>
        <w:tblPrEx>
          <w:tblLayout w:type="fixed"/>
          <w:tblCellMar>
            <w:top w:w="0" w:type="dxa"/>
            <w:left w:w="0" w:type="dxa"/>
            <w:bottom w:w="0" w:type="dxa"/>
            <w:right w:w="0" w:type="dxa"/>
          </w:tblCellMar>
        </w:tblPrEx>
        <w:trPr>
          <w:trHeight w:val="1110" w:hRule="atLeast"/>
        </w:trPr>
        <w:tc>
          <w:tcPr>
            <w:tcW w:w="364" w:type="dxa"/>
            <w:tcBorders>
              <w:top w:val="single" w:color="auto" w:sz="4" w:space="0"/>
              <w:left w:val="single" w:color="auto" w:sz="8"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1885" w:type="dxa"/>
            <w:tcBorders>
              <w:top w:val="single" w:color="auto" w:sz="4"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各</w:t>
            </w:r>
            <w:r>
              <w:rPr>
                <w:rFonts w:hint="eastAsia" w:ascii="仿宋_GB2312" w:hAnsi="仿宋_GB2312" w:eastAsia="仿宋_GB2312" w:cs="仿宋_GB2312"/>
                <w:b/>
                <w:bCs/>
                <w:color w:val="auto"/>
                <w:sz w:val="24"/>
                <w:szCs w:val="24"/>
                <w:lang w:val="en-US" w:eastAsia="zh-CN"/>
              </w:rPr>
              <w:t>村</w:t>
            </w:r>
          </w:p>
        </w:tc>
        <w:tc>
          <w:tcPr>
            <w:tcW w:w="2250" w:type="dxa"/>
            <w:tcBorders>
              <w:top w:val="single" w:color="auto" w:sz="4"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单位名称</w:t>
            </w:r>
          </w:p>
        </w:tc>
        <w:tc>
          <w:tcPr>
            <w:tcW w:w="2083" w:type="dxa"/>
            <w:tcBorders>
              <w:top w:val="single" w:color="auto" w:sz="4"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单位地址</w:t>
            </w:r>
          </w:p>
        </w:tc>
        <w:tc>
          <w:tcPr>
            <w:tcW w:w="988" w:type="dxa"/>
            <w:tcBorders>
              <w:top w:val="single" w:color="auto" w:sz="4"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单位类别</w:t>
            </w:r>
          </w:p>
        </w:tc>
        <w:tc>
          <w:tcPr>
            <w:tcW w:w="1231" w:type="dxa"/>
            <w:tcBorders>
              <w:top w:val="single" w:color="auto" w:sz="4"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建筑面积（㎡）</w:t>
            </w:r>
          </w:p>
        </w:tc>
        <w:tc>
          <w:tcPr>
            <w:tcW w:w="836" w:type="dxa"/>
            <w:tcBorders>
              <w:top w:val="single" w:color="auto" w:sz="4"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是否存在违章使用彩钢板</w:t>
            </w:r>
          </w:p>
        </w:tc>
        <w:tc>
          <w:tcPr>
            <w:tcW w:w="760" w:type="dxa"/>
            <w:tcBorders>
              <w:top w:val="single" w:color="auto" w:sz="4"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违章使用彩钢板部位</w:t>
            </w:r>
          </w:p>
        </w:tc>
        <w:tc>
          <w:tcPr>
            <w:tcW w:w="775" w:type="dxa"/>
            <w:tcBorders>
              <w:top w:val="single" w:color="auto" w:sz="4"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违章彩钢板建筑面积（㎡）</w:t>
            </w:r>
          </w:p>
        </w:tc>
        <w:tc>
          <w:tcPr>
            <w:tcW w:w="1155" w:type="dxa"/>
            <w:tcBorders>
              <w:top w:val="single" w:color="auto" w:sz="4" w:space="0"/>
              <w:bottom w:val="single" w:color="auto" w:sz="8" w:space="0"/>
              <w:right w:val="single" w:color="auto" w:sz="8" w:space="0"/>
            </w:tcBorders>
            <w:vAlign w:val="center"/>
          </w:tcPr>
          <w:p>
            <w:pPr>
              <w:spacing w:line="5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火灾隐患情况</w:t>
            </w:r>
          </w:p>
        </w:tc>
        <w:tc>
          <w:tcPr>
            <w:tcW w:w="1885" w:type="dxa"/>
            <w:tcBorders>
              <w:top w:val="single" w:color="auto" w:sz="4" w:space="0"/>
              <w:bottom w:val="single" w:color="auto" w:sz="8" w:space="0"/>
              <w:right w:val="single" w:color="auto" w:sz="8" w:space="0"/>
            </w:tcBorders>
            <w:vAlign w:val="center"/>
          </w:tcPr>
          <w:p>
            <w:pPr>
              <w:spacing w:line="5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整改措施</w:t>
            </w:r>
          </w:p>
        </w:tc>
        <w:tc>
          <w:tcPr>
            <w:tcW w:w="950" w:type="dxa"/>
            <w:tcBorders>
              <w:top w:val="single" w:color="auto" w:sz="4" w:space="0"/>
              <w:bottom w:val="single" w:color="auto" w:sz="8" w:space="0"/>
              <w:right w:val="single" w:color="auto" w:sz="8" w:space="0"/>
            </w:tcBorders>
            <w:vAlign w:val="center"/>
          </w:tcPr>
          <w:p>
            <w:pPr>
              <w:spacing w:line="5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检查人</w:t>
            </w:r>
          </w:p>
        </w:tc>
        <w:tc>
          <w:tcPr>
            <w:tcW w:w="30" w:type="dxa"/>
            <w:tcBorders>
              <w:top w:val="single" w:color="auto" w:sz="4" w:space="0"/>
            </w:tcBorders>
            <w:vAlign w:val="bottom"/>
          </w:tcPr>
          <w:p>
            <w:pPr>
              <w:spacing w:line="560" w:lineRule="exact"/>
              <w:rPr>
                <w:b/>
                <w:bCs/>
                <w:color w:val="auto"/>
                <w:sz w:val="1"/>
                <w:szCs w:val="1"/>
              </w:rPr>
            </w:pPr>
          </w:p>
        </w:tc>
      </w:tr>
      <w:tr>
        <w:tblPrEx>
          <w:tblLayout w:type="fixed"/>
          <w:tblCellMar>
            <w:top w:w="0" w:type="dxa"/>
            <w:left w:w="0" w:type="dxa"/>
            <w:bottom w:w="0" w:type="dxa"/>
            <w:right w:w="0" w:type="dxa"/>
          </w:tblCellMar>
        </w:tblPrEx>
        <w:trPr>
          <w:trHeight w:val="1024" w:hRule="atLeast"/>
        </w:trPr>
        <w:tc>
          <w:tcPr>
            <w:tcW w:w="364" w:type="dxa"/>
            <w:tcBorders>
              <w:left w:val="single" w:color="auto" w:sz="8" w:space="0"/>
              <w:bottom w:val="single" w:color="auto" w:sz="8" w:space="0"/>
              <w:right w:val="single" w:color="auto" w:sz="8" w:space="0"/>
            </w:tcBorders>
            <w:vAlign w:val="bottom"/>
          </w:tcPr>
          <w:p>
            <w:pPr>
              <w:spacing w:line="560" w:lineRule="exact"/>
              <w:rPr>
                <w:b/>
                <w:bCs/>
                <w:color w:val="auto"/>
                <w:sz w:val="24"/>
                <w:szCs w:val="24"/>
              </w:rPr>
            </w:pPr>
          </w:p>
        </w:tc>
        <w:tc>
          <w:tcPr>
            <w:tcW w:w="1885" w:type="dxa"/>
            <w:tcBorders>
              <w:bottom w:val="single" w:color="auto" w:sz="8" w:space="0"/>
              <w:right w:val="single" w:color="auto" w:sz="8" w:space="0"/>
            </w:tcBorders>
            <w:vAlign w:val="bottom"/>
          </w:tcPr>
          <w:p>
            <w:pPr>
              <w:spacing w:line="560" w:lineRule="exact"/>
              <w:rPr>
                <w:b/>
                <w:bCs/>
                <w:color w:val="auto"/>
                <w:sz w:val="24"/>
                <w:szCs w:val="24"/>
              </w:rPr>
            </w:pPr>
          </w:p>
        </w:tc>
        <w:tc>
          <w:tcPr>
            <w:tcW w:w="2250" w:type="dxa"/>
            <w:tcBorders>
              <w:bottom w:val="single" w:color="auto" w:sz="8" w:space="0"/>
              <w:right w:val="single" w:color="auto" w:sz="8" w:space="0"/>
            </w:tcBorders>
            <w:vAlign w:val="bottom"/>
          </w:tcPr>
          <w:p>
            <w:pPr>
              <w:spacing w:line="560" w:lineRule="exact"/>
              <w:rPr>
                <w:b/>
                <w:bCs/>
                <w:color w:val="auto"/>
                <w:sz w:val="24"/>
                <w:szCs w:val="24"/>
              </w:rPr>
            </w:pPr>
          </w:p>
        </w:tc>
        <w:tc>
          <w:tcPr>
            <w:tcW w:w="2083" w:type="dxa"/>
            <w:tcBorders>
              <w:bottom w:val="single" w:color="auto" w:sz="8" w:space="0"/>
              <w:right w:val="single" w:color="auto" w:sz="8" w:space="0"/>
            </w:tcBorders>
            <w:vAlign w:val="bottom"/>
          </w:tcPr>
          <w:p>
            <w:pPr>
              <w:spacing w:line="560" w:lineRule="exact"/>
              <w:rPr>
                <w:b/>
                <w:bCs/>
                <w:color w:val="auto"/>
                <w:sz w:val="24"/>
                <w:szCs w:val="24"/>
              </w:rPr>
            </w:pPr>
          </w:p>
        </w:tc>
        <w:tc>
          <w:tcPr>
            <w:tcW w:w="988" w:type="dxa"/>
            <w:tcBorders>
              <w:bottom w:val="single" w:color="auto" w:sz="8" w:space="0"/>
              <w:right w:val="single" w:color="auto" w:sz="8" w:space="0"/>
            </w:tcBorders>
            <w:vAlign w:val="bottom"/>
          </w:tcPr>
          <w:p>
            <w:pPr>
              <w:spacing w:line="560" w:lineRule="exact"/>
              <w:rPr>
                <w:b/>
                <w:bCs/>
                <w:color w:val="auto"/>
                <w:sz w:val="24"/>
                <w:szCs w:val="24"/>
              </w:rPr>
            </w:pPr>
          </w:p>
        </w:tc>
        <w:tc>
          <w:tcPr>
            <w:tcW w:w="1231" w:type="dxa"/>
            <w:tcBorders>
              <w:bottom w:val="single" w:color="auto" w:sz="8" w:space="0"/>
              <w:right w:val="single" w:color="auto" w:sz="8" w:space="0"/>
            </w:tcBorders>
            <w:vAlign w:val="bottom"/>
          </w:tcPr>
          <w:p>
            <w:pPr>
              <w:spacing w:line="560" w:lineRule="exact"/>
              <w:rPr>
                <w:b/>
                <w:bCs/>
                <w:color w:val="auto"/>
                <w:sz w:val="24"/>
                <w:szCs w:val="24"/>
              </w:rPr>
            </w:pPr>
          </w:p>
        </w:tc>
        <w:tc>
          <w:tcPr>
            <w:tcW w:w="836" w:type="dxa"/>
            <w:tcBorders>
              <w:bottom w:val="single" w:color="auto" w:sz="8" w:space="0"/>
              <w:right w:val="single" w:color="auto" w:sz="8" w:space="0"/>
            </w:tcBorders>
            <w:vAlign w:val="bottom"/>
          </w:tcPr>
          <w:p>
            <w:pPr>
              <w:spacing w:line="560" w:lineRule="exact"/>
              <w:rPr>
                <w:b/>
                <w:bCs/>
                <w:color w:val="auto"/>
                <w:sz w:val="24"/>
                <w:szCs w:val="24"/>
              </w:rPr>
            </w:pPr>
          </w:p>
        </w:tc>
        <w:tc>
          <w:tcPr>
            <w:tcW w:w="760" w:type="dxa"/>
            <w:tcBorders>
              <w:bottom w:val="single" w:color="auto" w:sz="8" w:space="0"/>
              <w:right w:val="single" w:color="auto" w:sz="8" w:space="0"/>
            </w:tcBorders>
            <w:vAlign w:val="bottom"/>
          </w:tcPr>
          <w:p>
            <w:pPr>
              <w:spacing w:line="560" w:lineRule="exact"/>
              <w:rPr>
                <w:b/>
                <w:bCs/>
                <w:color w:val="auto"/>
                <w:sz w:val="24"/>
                <w:szCs w:val="24"/>
              </w:rPr>
            </w:pPr>
          </w:p>
        </w:tc>
        <w:tc>
          <w:tcPr>
            <w:tcW w:w="775" w:type="dxa"/>
            <w:tcBorders>
              <w:bottom w:val="single" w:color="auto" w:sz="8" w:space="0"/>
              <w:right w:val="single" w:color="auto" w:sz="8" w:space="0"/>
            </w:tcBorders>
            <w:vAlign w:val="bottom"/>
          </w:tcPr>
          <w:p>
            <w:pPr>
              <w:spacing w:line="560" w:lineRule="exact"/>
              <w:rPr>
                <w:b/>
                <w:bCs/>
                <w:color w:val="auto"/>
                <w:sz w:val="24"/>
                <w:szCs w:val="24"/>
              </w:rPr>
            </w:pPr>
          </w:p>
        </w:tc>
        <w:tc>
          <w:tcPr>
            <w:tcW w:w="1155" w:type="dxa"/>
            <w:tcBorders>
              <w:bottom w:val="single" w:color="auto" w:sz="8" w:space="0"/>
              <w:right w:val="single" w:color="auto" w:sz="8" w:space="0"/>
            </w:tcBorders>
            <w:vAlign w:val="bottom"/>
          </w:tcPr>
          <w:p>
            <w:pPr>
              <w:spacing w:line="560" w:lineRule="exact"/>
              <w:rPr>
                <w:b/>
                <w:bCs/>
                <w:color w:val="auto"/>
                <w:sz w:val="24"/>
                <w:szCs w:val="24"/>
              </w:rPr>
            </w:pPr>
          </w:p>
        </w:tc>
        <w:tc>
          <w:tcPr>
            <w:tcW w:w="1885" w:type="dxa"/>
            <w:tcBorders>
              <w:bottom w:val="single" w:color="auto" w:sz="8" w:space="0"/>
              <w:right w:val="single" w:color="auto" w:sz="8" w:space="0"/>
            </w:tcBorders>
            <w:vAlign w:val="bottom"/>
          </w:tcPr>
          <w:p>
            <w:pPr>
              <w:spacing w:line="560" w:lineRule="exact"/>
              <w:rPr>
                <w:b/>
                <w:bCs/>
                <w:color w:val="auto"/>
                <w:sz w:val="24"/>
                <w:szCs w:val="24"/>
              </w:rPr>
            </w:pPr>
          </w:p>
        </w:tc>
        <w:tc>
          <w:tcPr>
            <w:tcW w:w="950" w:type="dxa"/>
            <w:tcBorders>
              <w:bottom w:val="single" w:color="auto" w:sz="8" w:space="0"/>
              <w:right w:val="single" w:color="auto" w:sz="8" w:space="0"/>
            </w:tcBorders>
            <w:vAlign w:val="bottom"/>
          </w:tcPr>
          <w:p>
            <w:pPr>
              <w:spacing w:line="560" w:lineRule="exact"/>
              <w:rPr>
                <w:b/>
                <w:bCs/>
                <w:color w:val="auto"/>
                <w:sz w:val="24"/>
                <w:szCs w:val="24"/>
              </w:rPr>
            </w:pPr>
          </w:p>
        </w:tc>
        <w:tc>
          <w:tcPr>
            <w:tcW w:w="30" w:type="dxa"/>
            <w:vAlign w:val="bottom"/>
          </w:tcPr>
          <w:p>
            <w:pPr>
              <w:spacing w:line="560" w:lineRule="exact"/>
              <w:rPr>
                <w:b/>
                <w:bCs/>
                <w:color w:val="auto"/>
                <w:sz w:val="1"/>
                <w:szCs w:val="1"/>
              </w:rPr>
            </w:pPr>
          </w:p>
        </w:tc>
      </w:tr>
      <w:tr>
        <w:tblPrEx>
          <w:tblLayout w:type="fixed"/>
          <w:tblCellMar>
            <w:top w:w="0" w:type="dxa"/>
            <w:left w:w="0" w:type="dxa"/>
            <w:bottom w:w="0" w:type="dxa"/>
            <w:right w:w="0" w:type="dxa"/>
          </w:tblCellMar>
        </w:tblPrEx>
        <w:trPr>
          <w:trHeight w:val="963" w:hRule="atLeast"/>
        </w:trPr>
        <w:tc>
          <w:tcPr>
            <w:tcW w:w="364" w:type="dxa"/>
            <w:tcBorders>
              <w:left w:val="single" w:color="auto" w:sz="8" w:space="0"/>
              <w:bottom w:val="single" w:color="auto" w:sz="8" w:space="0"/>
              <w:right w:val="single" w:color="auto" w:sz="8" w:space="0"/>
            </w:tcBorders>
            <w:vAlign w:val="bottom"/>
          </w:tcPr>
          <w:p>
            <w:pPr>
              <w:spacing w:line="560" w:lineRule="exact"/>
              <w:rPr>
                <w:b/>
                <w:bCs/>
                <w:color w:val="auto"/>
                <w:sz w:val="24"/>
                <w:szCs w:val="24"/>
              </w:rPr>
            </w:pPr>
          </w:p>
        </w:tc>
        <w:tc>
          <w:tcPr>
            <w:tcW w:w="1885" w:type="dxa"/>
            <w:tcBorders>
              <w:bottom w:val="single" w:color="auto" w:sz="8" w:space="0"/>
              <w:right w:val="single" w:color="auto" w:sz="8" w:space="0"/>
            </w:tcBorders>
            <w:vAlign w:val="bottom"/>
          </w:tcPr>
          <w:p>
            <w:pPr>
              <w:spacing w:line="560" w:lineRule="exact"/>
              <w:rPr>
                <w:b/>
                <w:bCs/>
                <w:color w:val="auto"/>
                <w:sz w:val="24"/>
                <w:szCs w:val="24"/>
              </w:rPr>
            </w:pPr>
          </w:p>
        </w:tc>
        <w:tc>
          <w:tcPr>
            <w:tcW w:w="2250" w:type="dxa"/>
            <w:tcBorders>
              <w:bottom w:val="single" w:color="auto" w:sz="8" w:space="0"/>
              <w:right w:val="single" w:color="auto" w:sz="8" w:space="0"/>
            </w:tcBorders>
            <w:vAlign w:val="bottom"/>
          </w:tcPr>
          <w:p>
            <w:pPr>
              <w:spacing w:line="560" w:lineRule="exact"/>
              <w:rPr>
                <w:b/>
                <w:bCs/>
                <w:color w:val="auto"/>
                <w:sz w:val="24"/>
                <w:szCs w:val="24"/>
              </w:rPr>
            </w:pPr>
          </w:p>
        </w:tc>
        <w:tc>
          <w:tcPr>
            <w:tcW w:w="2083" w:type="dxa"/>
            <w:tcBorders>
              <w:bottom w:val="single" w:color="auto" w:sz="8" w:space="0"/>
              <w:right w:val="single" w:color="auto" w:sz="8" w:space="0"/>
            </w:tcBorders>
            <w:vAlign w:val="bottom"/>
          </w:tcPr>
          <w:p>
            <w:pPr>
              <w:spacing w:line="560" w:lineRule="exact"/>
              <w:rPr>
                <w:b/>
                <w:bCs/>
                <w:color w:val="auto"/>
                <w:sz w:val="24"/>
                <w:szCs w:val="24"/>
              </w:rPr>
            </w:pPr>
          </w:p>
        </w:tc>
        <w:tc>
          <w:tcPr>
            <w:tcW w:w="988" w:type="dxa"/>
            <w:tcBorders>
              <w:bottom w:val="single" w:color="auto" w:sz="8" w:space="0"/>
              <w:right w:val="single" w:color="auto" w:sz="8" w:space="0"/>
            </w:tcBorders>
            <w:vAlign w:val="bottom"/>
          </w:tcPr>
          <w:p>
            <w:pPr>
              <w:spacing w:line="560" w:lineRule="exact"/>
              <w:rPr>
                <w:b/>
                <w:bCs/>
                <w:color w:val="auto"/>
                <w:sz w:val="24"/>
                <w:szCs w:val="24"/>
              </w:rPr>
            </w:pPr>
          </w:p>
        </w:tc>
        <w:tc>
          <w:tcPr>
            <w:tcW w:w="1231" w:type="dxa"/>
            <w:tcBorders>
              <w:bottom w:val="single" w:color="auto" w:sz="8" w:space="0"/>
              <w:right w:val="single" w:color="auto" w:sz="8" w:space="0"/>
            </w:tcBorders>
            <w:vAlign w:val="bottom"/>
          </w:tcPr>
          <w:p>
            <w:pPr>
              <w:spacing w:line="560" w:lineRule="exact"/>
              <w:rPr>
                <w:b/>
                <w:bCs/>
                <w:color w:val="auto"/>
                <w:sz w:val="24"/>
                <w:szCs w:val="24"/>
              </w:rPr>
            </w:pPr>
          </w:p>
        </w:tc>
        <w:tc>
          <w:tcPr>
            <w:tcW w:w="836" w:type="dxa"/>
            <w:tcBorders>
              <w:bottom w:val="single" w:color="auto" w:sz="8" w:space="0"/>
              <w:right w:val="single" w:color="auto" w:sz="8" w:space="0"/>
            </w:tcBorders>
            <w:vAlign w:val="bottom"/>
          </w:tcPr>
          <w:p>
            <w:pPr>
              <w:spacing w:line="560" w:lineRule="exact"/>
              <w:rPr>
                <w:b/>
                <w:bCs/>
                <w:color w:val="auto"/>
                <w:sz w:val="24"/>
                <w:szCs w:val="24"/>
              </w:rPr>
            </w:pPr>
          </w:p>
        </w:tc>
        <w:tc>
          <w:tcPr>
            <w:tcW w:w="760" w:type="dxa"/>
            <w:tcBorders>
              <w:bottom w:val="single" w:color="auto" w:sz="8" w:space="0"/>
              <w:right w:val="single" w:color="auto" w:sz="8" w:space="0"/>
            </w:tcBorders>
            <w:vAlign w:val="bottom"/>
          </w:tcPr>
          <w:p>
            <w:pPr>
              <w:spacing w:line="560" w:lineRule="exact"/>
              <w:rPr>
                <w:b/>
                <w:bCs/>
                <w:color w:val="auto"/>
                <w:sz w:val="24"/>
                <w:szCs w:val="24"/>
              </w:rPr>
            </w:pPr>
          </w:p>
        </w:tc>
        <w:tc>
          <w:tcPr>
            <w:tcW w:w="775" w:type="dxa"/>
            <w:tcBorders>
              <w:bottom w:val="single" w:color="auto" w:sz="8" w:space="0"/>
              <w:right w:val="single" w:color="auto" w:sz="8" w:space="0"/>
            </w:tcBorders>
            <w:vAlign w:val="bottom"/>
          </w:tcPr>
          <w:p>
            <w:pPr>
              <w:spacing w:line="560" w:lineRule="exact"/>
              <w:rPr>
                <w:b/>
                <w:bCs/>
                <w:color w:val="auto"/>
                <w:sz w:val="24"/>
                <w:szCs w:val="24"/>
              </w:rPr>
            </w:pPr>
          </w:p>
        </w:tc>
        <w:tc>
          <w:tcPr>
            <w:tcW w:w="1155" w:type="dxa"/>
            <w:tcBorders>
              <w:bottom w:val="single" w:color="auto" w:sz="8" w:space="0"/>
              <w:right w:val="single" w:color="auto" w:sz="8" w:space="0"/>
            </w:tcBorders>
            <w:vAlign w:val="bottom"/>
          </w:tcPr>
          <w:p>
            <w:pPr>
              <w:spacing w:line="560" w:lineRule="exact"/>
              <w:rPr>
                <w:b/>
                <w:bCs/>
                <w:color w:val="auto"/>
                <w:sz w:val="24"/>
                <w:szCs w:val="24"/>
              </w:rPr>
            </w:pPr>
          </w:p>
        </w:tc>
        <w:tc>
          <w:tcPr>
            <w:tcW w:w="1885" w:type="dxa"/>
            <w:tcBorders>
              <w:bottom w:val="single" w:color="auto" w:sz="8" w:space="0"/>
              <w:right w:val="single" w:color="auto" w:sz="8" w:space="0"/>
            </w:tcBorders>
            <w:vAlign w:val="bottom"/>
          </w:tcPr>
          <w:p>
            <w:pPr>
              <w:spacing w:line="560" w:lineRule="exact"/>
              <w:rPr>
                <w:b/>
                <w:bCs/>
                <w:color w:val="auto"/>
                <w:sz w:val="24"/>
                <w:szCs w:val="24"/>
              </w:rPr>
            </w:pPr>
          </w:p>
        </w:tc>
        <w:tc>
          <w:tcPr>
            <w:tcW w:w="950" w:type="dxa"/>
            <w:tcBorders>
              <w:bottom w:val="single" w:color="auto" w:sz="8" w:space="0"/>
              <w:right w:val="single" w:color="auto" w:sz="8" w:space="0"/>
            </w:tcBorders>
            <w:vAlign w:val="bottom"/>
          </w:tcPr>
          <w:p>
            <w:pPr>
              <w:spacing w:line="560" w:lineRule="exact"/>
              <w:rPr>
                <w:b/>
                <w:bCs/>
                <w:color w:val="auto"/>
                <w:sz w:val="24"/>
                <w:szCs w:val="24"/>
              </w:rPr>
            </w:pPr>
          </w:p>
        </w:tc>
        <w:tc>
          <w:tcPr>
            <w:tcW w:w="30" w:type="dxa"/>
            <w:vAlign w:val="bottom"/>
          </w:tcPr>
          <w:p>
            <w:pPr>
              <w:spacing w:line="560" w:lineRule="exact"/>
              <w:rPr>
                <w:b/>
                <w:bCs/>
                <w:color w:val="auto"/>
                <w:sz w:val="1"/>
                <w:szCs w:val="1"/>
              </w:rPr>
            </w:pPr>
          </w:p>
        </w:tc>
      </w:tr>
      <w:tr>
        <w:tblPrEx>
          <w:tblLayout w:type="fixed"/>
          <w:tblCellMar>
            <w:top w:w="0" w:type="dxa"/>
            <w:left w:w="0" w:type="dxa"/>
            <w:bottom w:w="0" w:type="dxa"/>
            <w:right w:w="0" w:type="dxa"/>
          </w:tblCellMar>
        </w:tblPrEx>
        <w:trPr>
          <w:trHeight w:val="1085" w:hRule="atLeast"/>
        </w:trPr>
        <w:tc>
          <w:tcPr>
            <w:tcW w:w="364" w:type="dxa"/>
            <w:tcBorders>
              <w:left w:val="single" w:color="auto" w:sz="8" w:space="0"/>
              <w:bottom w:val="single" w:color="auto" w:sz="4" w:space="0"/>
              <w:right w:val="single" w:color="auto" w:sz="8" w:space="0"/>
            </w:tcBorders>
            <w:vAlign w:val="bottom"/>
          </w:tcPr>
          <w:p>
            <w:pPr>
              <w:spacing w:line="560" w:lineRule="exact"/>
              <w:rPr>
                <w:b/>
                <w:bCs/>
                <w:color w:val="auto"/>
                <w:sz w:val="24"/>
                <w:szCs w:val="24"/>
              </w:rPr>
            </w:pPr>
          </w:p>
        </w:tc>
        <w:tc>
          <w:tcPr>
            <w:tcW w:w="1885" w:type="dxa"/>
            <w:tcBorders>
              <w:bottom w:val="single" w:color="auto" w:sz="4" w:space="0"/>
              <w:right w:val="single" w:color="auto" w:sz="8" w:space="0"/>
            </w:tcBorders>
            <w:vAlign w:val="bottom"/>
          </w:tcPr>
          <w:p>
            <w:pPr>
              <w:spacing w:line="560" w:lineRule="exact"/>
              <w:rPr>
                <w:b/>
                <w:bCs/>
                <w:color w:val="auto"/>
                <w:sz w:val="24"/>
                <w:szCs w:val="24"/>
              </w:rPr>
            </w:pPr>
          </w:p>
        </w:tc>
        <w:tc>
          <w:tcPr>
            <w:tcW w:w="2250" w:type="dxa"/>
            <w:tcBorders>
              <w:bottom w:val="single" w:color="auto" w:sz="4" w:space="0"/>
              <w:right w:val="single" w:color="auto" w:sz="8" w:space="0"/>
            </w:tcBorders>
            <w:vAlign w:val="bottom"/>
          </w:tcPr>
          <w:p>
            <w:pPr>
              <w:spacing w:line="560" w:lineRule="exact"/>
              <w:rPr>
                <w:b/>
                <w:bCs/>
                <w:color w:val="auto"/>
                <w:sz w:val="24"/>
                <w:szCs w:val="24"/>
              </w:rPr>
            </w:pPr>
          </w:p>
        </w:tc>
        <w:tc>
          <w:tcPr>
            <w:tcW w:w="2083" w:type="dxa"/>
            <w:tcBorders>
              <w:bottom w:val="single" w:color="auto" w:sz="4" w:space="0"/>
              <w:right w:val="single" w:color="auto" w:sz="8" w:space="0"/>
            </w:tcBorders>
            <w:vAlign w:val="bottom"/>
          </w:tcPr>
          <w:p>
            <w:pPr>
              <w:spacing w:line="560" w:lineRule="exact"/>
              <w:rPr>
                <w:b/>
                <w:bCs/>
                <w:color w:val="auto"/>
                <w:sz w:val="24"/>
                <w:szCs w:val="24"/>
              </w:rPr>
            </w:pPr>
          </w:p>
        </w:tc>
        <w:tc>
          <w:tcPr>
            <w:tcW w:w="988" w:type="dxa"/>
            <w:tcBorders>
              <w:bottom w:val="single" w:color="auto" w:sz="4" w:space="0"/>
              <w:right w:val="single" w:color="auto" w:sz="8" w:space="0"/>
            </w:tcBorders>
            <w:vAlign w:val="bottom"/>
          </w:tcPr>
          <w:p>
            <w:pPr>
              <w:spacing w:line="560" w:lineRule="exact"/>
              <w:rPr>
                <w:b/>
                <w:bCs/>
                <w:color w:val="auto"/>
                <w:sz w:val="24"/>
                <w:szCs w:val="24"/>
              </w:rPr>
            </w:pPr>
          </w:p>
        </w:tc>
        <w:tc>
          <w:tcPr>
            <w:tcW w:w="1231" w:type="dxa"/>
            <w:tcBorders>
              <w:bottom w:val="single" w:color="auto" w:sz="4" w:space="0"/>
              <w:right w:val="single" w:color="auto" w:sz="8" w:space="0"/>
            </w:tcBorders>
            <w:vAlign w:val="bottom"/>
          </w:tcPr>
          <w:p>
            <w:pPr>
              <w:spacing w:line="560" w:lineRule="exact"/>
              <w:rPr>
                <w:b/>
                <w:bCs/>
                <w:color w:val="auto"/>
                <w:sz w:val="24"/>
                <w:szCs w:val="24"/>
              </w:rPr>
            </w:pPr>
          </w:p>
        </w:tc>
        <w:tc>
          <w:tcPr>
            <w:tcW w:w="836" w:type="dxa"/>
            <w:tcBorders>
              <w:bottom w:val="single" w:color="auto" w:sz="4" w:space="0"/>
              <w:right w:val="single" w:color="auto" w:sz="8" w:space="0"/>
            </w:tcBorders>
            <w:vAlign w:val="bottom"/>
          </w:tcPr>
          <w:p>
            <w:pPr>
              <w:spacing w:line="560" w:lineRule="exact"/>
              <w:rPr>
                <w:b/>
                <w:bCs/>
                <w:color w:val="auto"/>
                <w:sz w:val="24"/>
                <w:szCs w:val="24"/>
              </w:rPr>
            </w:pPr>
          </w:p>
        </w:tc>
        <w:tc>
          <w:tcPr>
            <w:tcW w:w="760" w:type="dxa"/>
            <w:tcBorders>
              <w:bottom w:val="single" w:color="auto" w:sz="4" w:space="0"/>
              <w:right w:val="single" w:color="auto" w:sz="8" w:space="0"/>
            </w:tcBorders>
            <w:vAlign w:val="bottom"/>
          </w:tcPr>
          <w:p>
            <w:pPr>
              <w:spacing w:line="560" w:lineRule="exact"/>
              <w:rPr>
                <w:b/>
                <w:bCs/>
                <w:color w:val="auto"/>
                <w:sz w:val="24"/>
                <w:szCs w:val="24"/>
              </w:rPr>
            </w:pPr>
          </w:p>
        </w:tc>
        <w:tc>
          <w:tcPr>
            <w:tcW w:w="775" w:type="dxa"/>
            <w:tcBorders>
              <w:bottom w:val="single" w:color="auto" w:sz="4" w:space="0"/>
              <w:right w:val="single" w:color="auto" w:sz="8" w:space="0"/>
            </w:tcBorders>
            <w:vAlign w:val="bottom"/>
          </w:tcPr>
          <w:p>
            <w:pPr>
              <w:spacing w:line="560" w:lineRule="exact"/>
              <w:rPr>
                <w:b/>
                <w:bCs/>
                <w:color w:val="auto"/>
                <w:sz w:val="24"/>
                <w:szCs w:val="24"/>
              </w:rPr>
            </w:pPr>
          </w:p>
        </w:tc>
        <w:tc>
          <w:tcPr>
            <w:tcW w:w="1155" w:type="dxa"/>
            <w:tcBorders>
              <w:bottom w:val="single" w:color="auto" w:sz="4" w:space="0"/>
              <w:right w:val="single" w:color="auto" w:sz="8" w:space="0"/>
            </w:tcBorders>
            <w:vAlign w:val="bottom"/>
          </w:tcPr>
          <w:p>
            <w:pPr>
              <w:spacing w:line="560" w:lineRule="exact"/>
              <w:rPr>
                <w:b/>
                <w:bCs/>
                <w:color w:val="auto"/>
                <w:sz w:val="24"/>
                <w:szCs w:val="24"/>
              </w:rPr>
            </w:pPr>
          </w:p>
        </w:tc>
        <w:tc>
          <w:tcPr>
            <w:tcW w:w="1885" w:type="dxa"/>
            <w:tcBorders>
              <w:bottom w:val="single" w:color="auto" w:sz="4" w:space="0"/>
              <w:right w:val="single" w:color="auto" w:sz="8" w:space="0"/>
            </w:tcBorders>
            <w:vAlign w:val="bottom"/>
          </w:tcPr>
          <w:p>
            <w:pPr>
              <w:spacing w:line="560" w:lineRule="exact"/>
              <w:rPr>
                <w:b/>
                <w:bCs/>
                <w:color w:val="auto"/>
                <w:sz w:val="24"/>
                <w:szCs w:val="24"/>
              </w:rPr>
            </w:pPr>
          </w:p>
        </w:tc>
        <w:tc>
          <w:tcPr>
            <w:tcW w:w="950" w:type="dxa"/>
            <w:tcBorders>
              <w:bottom w:val="single" w:color="auto" w:sz="4" w:space="0"/>
              <w:right w:val="single" w:color="auto" w:sz="8" w:space="0"/>
            </w:tcBorders>
            <w:vAlign w:val="bottom"/>
          </w:tcPr>
          <w:p>
            <w:pPr>
              <w:spacing w:line="560" w:lineRule="exact"/>
              <w:rPr>
                <w:b/>
                <w:bCs/>
                <w:color w:val="auto"/>
                <w:sz w:val="24"/>
                <w:szCs w:val="24"/>
              </w:rPr>
            </w:pPr>
          </w:p>
        </w:tc>
        <w:tc>
          <w:tcPr>
            <w:tcW w:w="30" w:type="dxa"/>
            <w:vAlign w:val="bottom"/>
          </w:tcPr>
          <w:p>
            <w:pPr>
              <w:spacing w:line="560" w:lineRule="exact"/>
              <w:rPr>
                <w:b/>
                <w:bCs/>
                <w:color w:val="auto"/>
                <w:sz w:val="1"/>
                <w:szCs w:val="1"/>
              </w:rPr>
            </w:pPr>
          </w:p>
        </w:tc>
      </w:tr>
      <w:tr>
        <w:tblPrEx>
          <w:tblLayout w:type="fixed"/>
          <w:tblCellMar>
            <w:top w:w="0" w:type="dxa"/>
            <w:left w:w="0" w:type="dxa"/>
            <w:bottom w:w="0" w:type="dxa"/>
            <w:right w:w="0" w:type="dxa"/>
          </w:tblCellMar>
        </w:tblPrEx>
        <w:trPr>
          <w:trHeight w:val="861" w:hRule="atLeast"/>
        </w:trPr>
        <w:tc>
          <w:tcPr>
            <w:tcW w:w="364"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1885"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2250"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2083"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988"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1231"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836"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760"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775"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1155"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1885"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950"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30" w:type="dxa"/>
            <w:tcBorders>
              <w:left w:val="single" w:color="auto" w:sz="4" w:space="0"/>
            </w:tcBorders>
            <w:vAlign w:val="bottom"/>
          </w:tcPr>
          <w:p>
            <w:pPr>
              <w:spacing w:line="560" w:lineRule="exact"/>
              <w:rPr>
                <w:b/>
                <w:bCs/>
                <w:color w:val="auto"/>
                <w:sz w:val="1"/>
                <w:szCs w:val="1"/>
              </w:rPr>
            </w:pPr>
          </w:p>
        </w:tc>
      </w:tr>
    </w:tbl>
    <w:p>
      <w:pPr>
        <w:spacing w:line="560" w:lineRule="exact"/>
        <w:rPr>
          <w:rFonts w:hint="eastAsia" w:ascii="仿宋_GB2312" w:hAnsi="仿宋_GB2312" w:eastAsia="仿宋_GB2312" w:cs="仿宋_GB2312"/>
          <w:b/>
          <w:bCs/>
          <w:color w:val="auto"/>
          <w:sz w:val="24"/>
          <w:szCs w:val="24"/>
        </w:rPr>
        <w:sectPr>
          <w:type w:val="continuous"/>
          <w:pgSz w:w="16840" w:h="11910" w:orient="landscape"/>
          <w:pgMar w:top="1440" w:right="1800" w:bottom="1440" w:left="1800" w:header="0" w:footer="0" w:gutter="0"/>
          <w:cols w:equalWidth="0" w:num="1">
            <w:col w:w="14600"/>
          </w:cols>
          <w:docGrid w:linePitch="299" w:charSpace="0"/>
        </w:sectPr>
      </w:pPr>
      <w:r>
        <w:rPr>
          <w:rFonts w:hint="eastAsia" w:ascii="仿宋_GB2312" w:hAnsi="仿宋_GB2312" w:eastAsia="仿宋_GB2312" w:cs="仿宋_GB2312"/>
          <w:b/>
          <w:bCs/>
          <w:color w:val="auto"/>
          <w:sz w:val="24"/>
          <w:szCs w:val="24"/>
        </w:rPr>
        <w:t>备注：之前</w:t>
      </w:r>
      <w:r>
        <w:rPr>
          <w:rFonts w:hint="eastAsia" w:ascii="仿宋_GB2312" w:hAnsi="仿宋_GB2312" w:eastAsia="仿宋_GB2312" w:cs="仿宋_GB2312"/>
          <w:b/>
          <w:bCs/>
          <w:color w:val="auto"/>
          <w:sz w:val="24"/>
          <w:szCs w:val="24"/>
          <w:u w:val="none"/>
        </w:rPr>
        <w:t>安委会办公室</w:t>
      </w:r>
      <w:r>
        <w:rPr>
          <w:rFonts w:hint="eastAsia" w:ascii="仿宋_GB2312" w:hAnsi="仿宋_GB2312" w:eastAsia="仿宋_GB2312" w:cs="仿宋_GB2312"/>
          <w:b/>
          <w:bCs/>
          <w:color w:val="auto"/>
          <w:sz w:val="24"/>
          <w:szCs w:val="24"/>
        </w:rPr>
        <w:t>下发的消防安全“百日攻坚”专项整治情况表不再单独报送。</w:t>
      </w:r>
    </w:p>
    <w:p>
      <w:pPr>
        <w:spacing w:line="56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附件2</w:t>
      </w:r>
    </w:p>
    <w:p>
      <w:pPr>
        <w:spacing w:line="560" w:lineRule="exact"/>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消防安全风险隐患“大起底、大整治”百日攻坚行动摸底排查情况统计表（部门）</w:t>
      </w:r>
    </w:p>
    <w:p>
      <w:pPr>
        <w:spacing w:line="56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部门（公章）：</w:t>
      </w:r>
    </w:p>
    <w:tbl>
      <w:tblPr>
        <w:tblStyle w:val="13"/>
        <w:tblpPr w:leftFromText="180" w:rightFromText="180" w:vertAnchor="text" w:horzAnchor="page" w:tblpX="734" w:tblpY="192"/>
        <w:tblW w:w="15192" w:type="dxa"/>
        <w:tblInd w:w="0" w:type="dxa"/>
        <w:tblLayout w:type="fixed"/>
        <w:tblCellMar>
          <w:top w:w="0" w:type="dxa"/>
          <w:left w:w="0" w:type="dxa"/>
          <w:bottom w:w="0" w:type="dxa"/>
          <w:right w:w="0" w:type="dxa"/>
        </w:tblCellMar>
      </w:tblPr>
      <w:tblGrid>
        <w:gridCol w:w="364"/>
        <w:gridCol w:w="2636"/>
        <w:gridCol w:w="3582"/>
        <w:gridCol w:w="988"/>
        <w:gridCol w:w="1231"/>
        <w:gridCol w:w="836"/>
        <w:gridCol w:w="760"/>
        <w:gridCol w:w="775"/>
        <w:gridCol w:w="1155"/>
        <w:gridCol w:w="1885"/>
        <w:gridCol w:w="950"/>
        <w:gridCol w:w="30"/>
      </w:tblGrid>
      <w:tr>
        <w:tblPrEx>
          <w:tblLayout w:type="fixed"/>
          <w:tblCellMar>
            <w:top w:w="0" w:type="dxa"/>
            <w:left w:w="0" w:type="dxa"/>
            <w:bottom w:w="0" w:type="dxa"/>
            <w:right w:w="0" w:type="dxa"/>
          </w:tblCellMar>
        </w:tblPrEx>
        <w:trPr>
          <w:trHeight w:val="1110" w:hRule="atLeast"/>
        </w:trPr>
        <w:tc>
          <w:tcPr>
            <w:tcW w:w="364" w:type="dxa"/>
            <w:tcBorders>
              <w:top w:val="single" w:color="auto" w:sz="4" w:space="0"/>
              <w:left w:val="single" w:color="auto" w:sz="8"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2636" w:type="dxa"/>
            <w:tcBorders>
              <w:top w:val="single" w:color="auto" w:sz="4"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单位</w:t>
            </w:r>
            <w:r>
              <w:rPr>
                <w:rFonts w:hint="eastAsia" w:ascii="仿宋_GB2312" w:hAnsi="仿宋_GB2312" w:eastAsia="仿宋_GB2312" w:cs="仿宋_GB2312"/>
                <w:b/>
                <w:bCs/>
                <w:color w:val="auto"/>
                <w:sz w:val="24"/>
                <w:szCs w:val="24"/>
              </w:rPr>
              <w:t>名称</w:t>
            </w:r>
          </w:p>
        </w:tc>
        <w:tc>
          <w:tcPr>
            <w:tcW w:w="3582" w:type="dxa"/>
            <w:tcBorders>
              <w:top w:val="single" w:color="auto" w:sz="4"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单位地址</w:t>
            </w:r>
          </w:p>
        </w:tc>
        <w:tc>
          <w:tcPr>
            <w:tcW w:w="988" w:type="dxa"/>
            <w:tcBorders>
              <w:top w:val="single" w:color="auto" w:sz="4"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单位类别</w:t>
            </w:r>
          </w:p>
        </w:tc>
        <w:tc>
          <w:tcPr>
            <w:tcW w:w="1231" w:type="dxa"/>
            <w:tcBorders>
              <w:top w:val="single" w:color="auto" w:sz="4"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建筑面积（㎡）</w:t>
            </w:r>
          </w:p>
        </w:tc>
        <w:tc>
          <w:tcPr>
            <w:tcW w:w="836" w:type="dxa"/>
            <w:tcBorders>
              <w:top w:val="single" w:color="auto" w:sz="4"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是否存在违章使用彩钢板</w:t>
            </w:r>
          </w:p>
        </w:tc>
        <w:tc>
          <w:tcPr>
            <w:tcW w:w="760" w:type="dxa"/>
            <w:tcBorders>
              <w:top w:val="single" w:color="auto" w:sz="4"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违章使用彩钢板部位</w:t>
            </w:r>
          </w:p>
        </w:tc>
        <w:tc>
          <w:tcPr>
            <w:tcW w:w="775" w:type="dxa"/>
            <w:tcBorders>
              <w:top w:val="single" w:color="auto" w:sz="4" w:space="0"/>
              <w:bottom w:val="single" w:color="auto" w:sz="8" w:space="0"/>
              <w:right w:val="single" w:color="auto" w:sz="8" w:space="0"/>
            </w:tcBorders>
            <w:vAlign w:val="center"/>
          </w:tcPr>
          <w:p>
            <w:pPr>
              <w:spacing w:line="3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违章彩钢板建筑面积（㎡）</w:t>
            </w:r>
          </w:p>
        </w:tc>
        <w:tc>
          <w:tcPr>
            <w:tcW w:w="1155" w:type="dxa"/>
            <w:tcBorders>
              <w:top w:val="single" w:color="auto" w:sz="4" w:space="0"/>
              <w:bottom w:val="single" w:color="auto" w:sz="8" w:space="0"/>
              <w:right w:val="single" w:color="auto" w:sz="8" w:space="0"/>
            </w:tcBorders>
            <w:vAlign w:val="center"/>
          </w:tcPr>
          <w:p>
            <w:pPr>
              <w:spacing w:line="5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火灾隐患情况</w:t>
            </w:r>
          </w:p>
        </w:tc>
        <w:tc>
          <w:tcPr>
            <w:tcW w:w="1885" w:type="dxa"/>
            <w:tcBorders>
              <w:top w:val="single" w:color="auto" w:sz="4" w:space="0"/>
              <w:bottom w:val="single" w:color="auto" w:sz="8" w:space="0"/>
              <w:right w:val="single" w:color="auto" w:sz="8" w:space="0"/>
            </w:tcBorders>
            <w:vAlign w:val="center"/>
          </w:tcPr>
          <w:p>
            <w:pPr>
              <w:spacing w:line="5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整改措施</w:t>
            </w:r>
          </w:p>
        </w:tc>
        <w:tc>
          <w:tcPr>
            <w:tcW w:w="950" w:type="dxa"/>
            <w:tcBorders>
              <w:top w:val="single" w:color="auto" w:sz="4" w:space="0"/>
              <w:bottom w:val="single" w:color="auto" w:sz="8" w:space="0"/>
              <w:right w:val="single" w:color="auto" w:sz="8" w:space="0"/>
            </w:tcBorders>
            <w:vAlign w:val="center"/>
          </w:tcPr>
          <w:p>
            <w:pPr>
              <w:spacing w:line="56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检查人</w:t>
            </w:r>
          </w:p>
        </w:tc>
        <w:tc>
          <w:tcPr>
            <w:tcW w:w="30" w:type="dxa"/>
            <w:tcBorders>
              <w:top w:val="single" w:color="auto" w:sz="4" w:space="0"/>
            </w:tcBorders>
            <w:vAlign w:val="bottom"/>
          </w:tcPr>
          <w:p>
            <w:pPr>
              <w:spacing w:line="560" w:lineRule="exact"/>
              <w:rPr>
                <w:b/>
                <w:bCs/>
                <w:color w:val="auto"/>
                <w:sz w:val="1"/>
                <w:szCs w:val="1"/>
              </w:rPr>
            </w:pPr>
          </w:p>
        </w:tc>
      </w:tr>
      <w:tr>
        <w:tblPrEx>
          <w:tblLayout w:type="fixed"/>
          <w:tblCellMar>
            <w:top w:w="0" w:type="dxa"/>
            <w:left w:w="0" w:type="dxa"/>
            <w:bottom w:w="0" w:type="dxa"/>
            <w:right w:w="0" w:type="dxa"/>
          </w:tblCellMar>
        </w:tblPrEx>
        <w:trPr>
          <w:trHeight w:val="1024" w:hRule="atLeast"/>
        </w:trPr>
        <w:tc>
          <w:tcPr>
            <w:tcW w:w="364" w:type="dxa"/>
            <w:tcBorders>
              <w:left w:val="single" w:color="auto" w:sz="8" w:space="0"/>
              <w:bottom w:val="single" w:color="auto" w:sz="8" w:space="0"/>
              <w:right w:val="single" w:color="auto" w:sz="8" w:space="0"/>
            </w:tcBorders>
            <w:vAlign w:val="bottom"/>
          </w:tcPr>
          <w:p>
            <w:pPr>
              <w:spacing w:line="560" w:lineRule="exact"/>
              <w:rPr>
                <w:b/>
                <w:bCs/>
                <w:color w:val="auto"/>
                <w:sz w:val="24"/>
                <w:szCs w:val="24"/>
              </w:rPr>
            </w:pPr>
          </w:p>
        </w:tc>
        <w:tc>
          <w:tcPr>
            <w:tcW w:w="2636" w:type="dxa"/>
            <w:tcBorders>
              <w:bottom w:val="single" w:color="auto" w:sz="8" w:space="0"/>
              <w:right w:val="single" w:color="auto" w:sz="8" w:space="0"/>
            </w:tcBorders>
            <w:vAlign w:val="bottom"/>
          </w:tcPr>
          <w:p>
            <w:pPr>
              <w:spacing w:line="560" w:lineRule="exact"/>
              <w:rPr>
                <w:b/>
                <w:bCs/>
                <w:color w:val="auto"/>
                <w:sz w:val="24"/>
                <w:szCs w:val="24"/>
              </w:rPr>
            </w:pPr>
          </w:p>
        </w:tc>
        <w:tc>
          <w:tcPr>
            <w:tcW w:w="3582" w:type="dxa"/>
            <w:tcBorders>
              <w:bottom w:val="single" w:color="auto" w:sz="8" w:space="0"/>
              <w:right w:val="single" w:color="auto" w:sz="8" w:space="0"/>
            </w:tcBorders>
            <w:vAlign w:val="bottom"/>
          </w:tcPr>
          <w:p>
            <w:pPr>
              <w:spacing w:line="560" w:lineRule="exact"/>
              <w:rPr>
                <w:b/>
                <w:bCs/>
                <w:color w:val="auto"/>
                <w:sz w:val="24"/>
                <w:szCs w:val="24"/>
              </w:rPr>
            </w:pPr>
          </w:p>
        </w:tc>
        <w:tc>
          <w:tcPr>
            <w:tcW w:w="988" w:type="dxa"/>
            <w:tcBorders>
              <w:bottom w:val="single" w:color="auto" w:sz="8" w:space="0"/>
              <w:right w:val="single" w:color="auto" w:sz="8" w:space="0"/>
            </w:tcBorders>
            <w:vAlign w:val="bottom"/>
          </w:tcPr>
          <w:p>
            <w:pPr>
              <w:spacing w:line="560" w:lineRule="exact"/>
              <w:rPr>
                <w:b/>
                <w:bCs/>
                <w:color w:val="auto"/>
                <w:sz w:val="24"/>
                <w:szCs w:val="24"/>
              </w:rPr>
            </w:pPr>
          </w:p>
        </w:tc>
        <w:tc>
          <w:tcPr>
            <w:tcW w:w="1231" w:type="dxa"/>
            <w:tcBorders>
              <w:bottom w:val="single" w:color="auto" w:sz="8" w:space="0"/>
              <w:right w:val="single" w:color="auto" w:sz="8" w:space="0"/>
            </w:tcBorders>
            <w:vAlign w:val="bottom"/>
          </w:tcPr>
          <w:p>
            <w:pPr>
              <w:spacing w:line="560" w:lineRule="exact"/>
              <w:rPr>
                <w:b/>
                <w:bCs/>
                <w:color w:val="auto"/>
                <w:sz w:val="24"/>
                <w:szCs w:val="24"/>
              </w:rPr>
            </w:pPr>
          </w:p>
        </w:tc>
        <w:tc>
          <w:tcPr>
            <w:tcW w:w="836" w:type="dxa"/>
            <w:tcBorders>
              <w:bottom w:val="single" w:color="auto" w:sz="8" w:space="0"/>
              <w:right w:val="single" w:color="auto" w:sz="8" w:space="0"/>
            </w:tcBorders>
            <w:vAlign w:val="bottom"/>
          </w:tcPr>
          <w:p>
            <w:pPr>
              <w:spacing w:line="560" w:lineRule="exact"/>
              <w:rPr>
                <w:b/>
                <w:bCs/>
                <w:color w:val="auto"/>
                <w:sz w:val="24"/>
                <w:szCs w:val="24"/>
              </w:rPr>
            </w:pPr>
          </w:p>
        </w:tc>
        <w:tc>
          <w:tcPr>
            <w:tcW w:w="760" w:type="dxa"/>
            <w:tcBorders>
              <w:bottom w:val="single" w:color="auto" w:sz="8" w:space="0"/>
              <w:right w:val="single" w:color="auto" w:sz="8" w:space="0"/>
            </w:tcBorders>
            <w:vAlign w:val="bottom"/>
          </w:tcPr>
          <w:p>
            <w:pPr>
              <w:spacing w:line="560" w:lineRule="exact"/>
              <w:rPr>
                <w:b/>
                <w:bCs/>
                <w:color w:val="auto"/>
                <w:sz w:val="24"/>
                <w:szCs w:val="24"/>
              </w:rPr>
            </w:pPr>
          </w:p>
        </w:tc>
        <w:tc>
          <w:tcPr>
            <w:tcW w:w="775" w:type="dxa"/>
            <w:tcBorders>
              <w:bottom w:val="single" w:color="auto" w:sz="8" w:space="0"/>
              <w:right w:val="single" w:color="auto" w:sz="8" w:space="0"/>
            </w:tcBorders>
            <w:vAlign w:val="bottom"/>
          </w:tcPr>
          <w:p>
            <w:pPr>
              <w:spacing w:line="560" w:lineRule="exact"/>
              <w:rPr>
                <w:b/>
                <w:bCs/>
                <w:color w:val="auto"/>
                <w:sz w:val="24"/>
                <w:szCs w:val="24"/>
              </w:rPr>
            </w:pPr>
          </w:p>
        </w:tc>
        <w:tc>
          <w:tcPr>
            <w:tcW w:w="1155" w:type="dxa"/>
            <w:tcBorders>
              <w:bottom w:val="single" w:color="auto" w:sz="8" w:space="0"/>
              <w:right w:val="single" w:color="auto" w:sz="8" w:space="0"/>
            </w:tcBorders>
            <w:vAlign w:val="bottom"/>
          </w:tcPr>
          <w:p>
            <w:pPr>
              <w:spacing w:line="560" w:lineRule="exact"/>
              <w:rPr>
                <w:b/>
                <w:bCs/>
                <w:color w:val="auto"/>
                <w:sz w:val="24"/>
                <w:szCs w:val="24"/>
              </w:rPr>
            </w:pPr>
          </w:p>
        </w:tc>
        <w:tc>
          <w:tcPr>
            <w:tcW w:w="1885" w:type="dxa"/>
            <w:tcBorders>
              <w:bottom w:val="single" w:color="auto" w:sz="8" w:space="0"/>
              <w:right w:val="single" w:color="auto" w:sz="8" w:space="0"/>
            </w:tcBorders>
            <w:vAlign w:val="bottom"/>
          </w:tcPr>
          <w:p>
            <w:pPr>
              <w:spacing w:line="560" w:lineRule="exact"/>
              <w:rPr>
                <w:b/>
                <w:bCs/>
                <w:color w:val="auto"/>
                <w:sz w:val="24"/>
                <w:szCs w:val="24"/>
              </w:rPr>
            </w:pPr>
          </w:p>
        </w:tc>
        <w:tc>
          <w:tcPr>
            <w:tcW w:w="950" w:type="dxa"/>
            <w:tcBorders>
              <w:bottom w:val="single" w:color="auto" w:sz="8" w:space="0"/>
              <w:right w:val="single" w:color="auto" w:sz="8" w:space="0"/>
            </w:tcBorders>
            <w:vAlign w:val="bottom"/>
          </w:tcPr>
          <w:p>
            <w:pPr>
              <w:spacing w:line="560" w:lineRule="exact"/>
              <w:rPr>
                <w:b/>
                <w:bCs/>
                <w:color w:val="auto"/>
                <w:sz w:val="24"/>
                <w:szCs w:val="24"/>
              </w:rPr>
            </w:pPr>
          </w:p>
        </w:tc>
        <w:tc>
          <w:tcPr>
            <w:tcW w:w="30" w:type="dxa"/>
            <w:vAlign w:val="bottom"/>
          </w:tcPr>
          <w:p>
            <w:pPr>
              <w:spacing w:line="560" w:lineRule="exact"/>
              <w:rPr>
                <w:b/>
                <w:bCs/>
                <w:color w:val="auto"/>
                <w:sz w:val="1"/>
                <w:szCs w:val="1"/>
              </w:rPr>
            </w:pPr>
          </w:p>
        </w:tc>
      </w:tr>
      <w:tr>
        <w:tblPrEx>
          <w:tblLayout w:type="fixed"/>
          <w:tblCellMar>
            <w:top w:w="0" w:type="dxa"/>
            <w:left w:w="0" w:type="dxa"/>
            <w:bottom w:w="0" w:type="dxa"/>
            <w:right w:w="0" w:type="dxa"/>
          </w:tblCellMar>
        </w:tblPrEx>
        <w:trPr>
          <w:trHeight w:val="963" w:hRule="atLeast"/>
        </w:trPr>
        <w:tc>
          <w:tcPr>
            <w:tcW w:w="364" w:type="dxa"/>
            <w:tcBorders>
              <w:left w:val="single" w:color="auto" w:sz="8" w:space="0"/>
              <w:bottom w:val="single" w:color="auto" w:sz="8" w:space="0"/>
              <w:right w:val="single" w:color="auto" w:sz="8" w:space="0"/>
            </w:tcBorders>
            <w:vAlign w:val="bottom"/>
          </w:tcPr>
          <w:p>
            <w:pPr>
              <w:spacing w:line="560" w:lineRule="exact"/>
              <w:rPr>
                <w:b/>
                <w:bCs/>
                <w:color w:val="auto"/>
                <w:sz w:val="24"/>
                <w:szCs w:val="24"/>
              </w:rPr>
            </w:pPr>
          </w:p>
        </w:tc>
        <w:tc>
          <w:tcPr>
            <w:tcW w:w="2636" w:type="dxa"/>
            <w:tcBorders>
              <w:bottom w:val="single" w:color="auto" w:sz="8" w:space="0"/>
              <w:right w:val="single" w:color="auto" w:sz="8" w:space="0"/>
            </w:tcBorders>
            <w:vAlign w:val="bottom"/>
          </w:tcPr>
          <w:p>
            <w:pPr>
              <w:spacing w:line="560" w:lineRule="exact"/>
              <w:rPr>
                <w:b/>
                <w:bCs/>
                <w:color w:val="auto"/>
                <w:sz w:val="24"/>
                <w:szCs w:val="24"/>
              </w:rPr>
            </w:pPr>
          </w:p>
        </w:tc>
        <w:tc>
          <w:tcPr>
            <w:tcW w:w="3582" w:type="dxa"/>
            <w:tcBorders>
              <w:bottom w:val="single" w:color="auto" w:sz="8" w:space="0"/>
              <w:right w:val="single" w:color="auto" w:sz="8" w:space="0"/>
            </w:tcBorders>
            <w:vAlign w:val="bottom"/>
          </w:tcPr>
          <w:p>
            <w:pPr>
              <w:spacing w:line="560" w:lineRule="exact"/>
              <w:rPr>
                <w:b/>
                <w:bCs/>
                <w:color w:val="auto"/>
                <w:sz w:val="24"/>
                <w:szCs w:val="24"/>
              </w:rPr>
            </w:pPr>
          </w:p>
        </w:tc>
        <w:tc>
          <w:tcPr>
            <w:tcW w:w="988" w:type="dxa"/>
            <w:tcBorders>
              <w:bottom w:val="single" w:color="auto" w:sz="8" w:space="0"/>
              <w:right w:val="single" w:color="auto" w:sz="8" w:space="0"/>
            </w:tcBorders>
            <w:vAlign w:val="bottom"/>
          </w:tcPr>
          <w:p>
            <w:pPr>
              <w:spacing w:line="560" w:lineRule="exact"/>
              <w:rPr>
                <w:b/>
                <w:bCs/>
                <w:color w:val="auto"/>
                <w:sz w:val="24"/>
                <w:szCs w:val="24"/>
              </w:rPr>
            </w:pPr>
          </w:p>
        </w:tc>
        <w:tc>
          <w:tcPr>
            <w:tcW w:w="1231" w:type="dxa"/>
            <w:tcBorders>
              <w:bottom w:val="single" w:color="auto" w:sz="8" w:space="0"/>
              <w:right w:val="single" w:color="auto" w:sz="8" w:space="0"/>
            </w:tcBorders>
            <w:vAlign w:val="bottom"/>
          </w:tcPr>
          <w:p>
            <w:pPr>
              <w:spacing w:line="560" w:lineRule="exact"/>
              <w:rPr>
                <w:b/>
                <w:bCs/>
                <w:color w:val="auto"/>
                <w:sz w:val="24"/>
                <w:szCs w:val="24"/>
              </w:rPr>
            </w:pPr>
          </w:p>
        </w:tc>
        <w:tc>
          <w:tcPr>
            <w:tcW w:w="836" w:type="dxa"/>
            <w:tcBorders>
              <w:bottom w:val="single" w:color="auto" w:sz="8" w:space="0"/>
              <w:right w:val="single" w:color="auto" w:sz="8" w:space="0"/>
            </w:tcBorders>
            <w:vAlign w:val="bottom"/>
          </w:tcPr>
          <w:p>
            <w:pPr>
              <w:spacing w:line="560" w:lineRule="exact"/>
              <w:rPr>
                <w:b/>
                <w:bCs/>
                <w:color w:val="auto"/>
                <w:sz w:val="24"/>
                <w:szCs w:val="24"/>
              </w:rPr>
            </w:pPr>
          </w:p>
        </w:tc>
        <w:tc>
          <w:tcPr>
            <w:tcW w:w="760" w:type="dxa"/>
            <w:tcBorders>
              <w:bottom w:val="single" w:color="auto" w:sz="8" w:space="0"/>
              <w:right w:val="single" w:color="auto" w:sz="8" w:space="0"/>
            </w:tcBorders>
            <w:vAlign w:val="bottom"/>
          </w:tcPr>
          <w:p>
            <w:pPr>
              <w:spacing w:line="560" w:lineRule="exact"/>
              <w:rPr>
                <w:b/>
                <w:bCs/>
                <w:color w:val="auto"/>
                <w:sz w:val="24"/>
                <w:szCs w:val="24"/>
              </w:rPr>
            </w:pPr>
          </w:p>
        </w:tc>
        <w:tc>
          <w:tcPr>
            <w:tcW w:w="775" w:type="dxa"/>
            <w:tcBorders>
              <w:bottom w:val="single" w:color="auto" w:sz="8" w:space="0"/>
              <w:right w:val="single" w:color="auto" w:sz="8" w:space="0"/>
            </w:tcBorders>
            <w:vAlign w:val="bottom"/>
          </w:tcPr>
          <w:p>
            <w:pPr>
              <w:spacing w:line="560" w:lineRule="exact"/>
              <w:rPr>
                <w:b/>
                <w:bCs/>
                <w:color w:val="auto"/>
                <w:sz w:val="24"/>
                <w:szCs w:val="24"/>
              </w:rPr>
            </w:pPr>
          </w:p>
        </w:tc>
        <w:tc>
          <w:tcPr>
            <w:tcW w:w="1155" w:type="dxa"/>
            <w:tcBorders>
              <w:bottom w:val="single" w:color="auto" w:sz="8" w:space="0"/>
              <w:right w:val="single" w:color="auto" w:sz="8" w:space="0"/>
            </w:tcBorders>
            <w:vAlign w:val="bottom"/>
          </w:tcPr>
          <w:p>
            <w:pPr>
              <w:spacing w:line="560" w:lineRule="exact"/>
              <w:rPr>
                <w:b/>
                <w:bCs/>
                <w:color w:val="auto"/>
                <w:sz w:val="24"/>
                <w:szCs w:val="24"/>
              </w:rPr>
            </w:pPr>
          </w:p>
        </w:tc>
        <w:tc>
          <w:tcPr>
            <w:tcW w:w="1885" w:type="dxa"/>
            <w:tcBorders>
              <w:bottom w:val="single" w:color="auto" w:sz="8" w:space="0"/>
              <w:right w:val="single" w:color="auto" w:sz="8" w:space="0"/>
            </w:tcBorders>
            <w:vAlign w:val="bottom"/>
          </w:tcPr>
          <w:p>
            <w:pPr>
              <w:spacing w:line="560" w:lineRule="exact"/>
              <w:rPr>
                <w:b/>
                <w:bCs/>
                <w:color w:val="auto"/>
                <w:sz w:val="24"/>
                <w:szCs w:val="24"/>
              </w:rPr>
            </w:pPr>
          </w:p>
        </w:tc>
        <w:tc>
          <w:tcPr>
            <w:tcW w:w="950" w:type="dxa"/>
            <w:tcBorders>
              <w:bottom w:val="single" w:color="auto" w:sz="8" w:space="0"/>
              <w:right w:val="single" w:color="auto" w:sz="8" w:space="0"/>
            </w:tcBorders>
            <w:vAlign w:val="bottom"/>
          </w:tcPr>
          <w:p>
            <w:pPr>
              <w:spacing w:line="560" w:lineRule="exact"/>
              <w:rPr>
                <w:b/>
                <w:bCs/>
                <w:color w:val="auto"/>
                <w:sz w:val="24"/>
                <w:szCs w:val="24"/>
              </w:rPr>
            </w:pPr>
          </w:p>
        </w:tc>
        <w:tc>
          <w:tcPr>
            <w:tcW w:w="30" w:type="dxa"/>
            <w:vAlign w:val="bottom"/>
          </w:tcPr>
          <w:p>
            <w:pPr>
              <w:spacing w:line="560" w:lineRule="exact"/>
              <w:rPr>
                <w:b/>
                <w:bCs/>
                <w:color w:val="auto"/>
                <w:sz w:val="1"/>
                <w:szCs w:val="1"/>
              </w:rPr>
            </w:pPr>
          </w:p>
        </w:tc>
      </w:tr>
      <w:tr>
        <w:tblPrEx>
          <w:tblLayout w:type="fixed"/>
          <w:tblCellMar>
            <w:top w:w="0" w:type="dxa"/>
            <w:left w:w="0" w:type="dxa"/>
            <w:bottom w:w="0" w:type="dxa"/>
            <w:right w:w="0" w:type="dxa"/>
          </w:tblCellMar>
        </w:tblPrEx>
        <w:trPr>
          <w:trHeight w:val="1085" w:hRule="atLeast"/>
        </w:trPr>
        <w:tc>
          <w:tcPr>
            <w:tcW w:w="364" w:type="dxa"/>
            <w:tcBorders>
              <w:left w:val="single" w:color="auto" w:sz="8" w:space="0"/>
              <w:bottom w:val="single" w:color="auto" w:sz="4" w:space="0"/>
              <w:right w:val="single" w:color="auto" w:sz="8" w:space="0"/>
            </w:tcBorders>
            <w:vAlign w:val="bottom"/>
          </w:tcPr>
          <w:p>
            <w:pPr>
              <w:spacing w:line="560" w:lineRule="exact"/>
              <w:rPr>
                <w:b/>
                <w:bCs/>
                <w:color w:val="auto"/>
                <w:sz w:val="24"/>
                <w:szCs w:val="24"/>
              </w:rPr>
            </w:pPr>
          </w:p>
        </w:tc>
        <w:tc>
          <w:tcPr>
            <w:tcW w:w="2636" w:type="dxa"/>
            <w:tcBorders>
              <w:bottom w:val="single" w:color="auto" w:sz="4" w:space="0"/>
              <w:right w:val="single" w:color="auto" w:sz="8" w:space="0"/>
            </w:tcBorders>
            <w:vAlign w:val="bottom"/>
          </w:tcPr>
          <w:p>
            <w:pPr>
              <w:spacing w:line="560" w:lineRule="exact"/>
              <w:rPr>
                <w:b/>
                <w:bCs/>
                <w:color w:val="auto"/>
                <w:sz w:val="24"/>
                <w:szCs w:val="24"/>
              </w:rPr>
            </w:pPr>
          </w:p>
        </w:tc>
        <w:tc>
          <w:tcPr>
            <w:tcW w:w="3582" w:type="dxa"/>
            <w:tcBorders>
              <w:bottom w:val="single" w:color="auto" w:sz="4" w:space="0"/>
              <w:right w:val="single" w:color="auto" w:sz="8" w:space="0"/>
            </w:tcBorders>
            <w:vAlign w:val="bottom"/>
          </w:tcPr>
          <w:p>
            <w:pPr>
              <w:spacing w:line="560" w:lineRule="exact"/>
              <w:rPr>
                <w:b/>
                <w:bCs/>
                <w:color w:val="auto"/>
                <w:sz w:val="24"/>
                <w:szCs w:val="24"/>
              </w:rPr>
            </w:pPr>
          </w:p>
        </w:tc>
        <w:tc>
          <w:tcPr>
            <w:tcW w:w="988" w:type="dxa"/>
            <w:tcBorders>
              <w:bottom w:val="single" w:color="auto" w:sz="4" w:space="0"/>
              <w:right w:val="single" w:color="auto" w:sz="8" w:space="0"/>
            </w:tcBorders>
            <w:vAlign w:val="bottom"/>
          </w:tcPr>
          <w:p>
            <w:pPr>
              <w:spacing w:line="560" w:lineRule="exact"/>
              <w:rPr>
                <w:b/>
                <w:bCs/>
                <w:color w:val="auto"/>
                <w:sz w:val="24"/>
                <w:szCs w:val="24"/>
              </w:rPr>
            </w:pPr>
          </w:p>
        </w:tc>
        <w:tc>
          <w:tcPr>
            <w:tcW w:w="1231" w:type="dxa"/>
            <w:tcBorders>
              <w:bottom w:val="single" w:color="auto" w:sz="4" w:space="0"/>
              <w:right w:val="single" w:color="auto" w:sz="8" w:space="0"/>
            </w:tcBorders>
            <w:vAlign w:val="bottom"/>
          </w:tcPr>
          <w:p>
            <w:pPr>
              <w:spacing w:line="560" w:lineRule="exact"/>
              <w:rPr>
                <w:b/>
                <w:bCs/>
                <w:color w:val="auto"/>
                <w:sz w:val="24"/>
                <w:szCs w:val="24"/>
              </w:rPr>
            </w:pPr>
          </w:p>
        </w:tc>
        <w:tc>
          <w:tcPr>
            <w:tcW w:w="836" w:type="dxa"/>
            <w:tcBorders>
              <w:bottom w:val="single" w:color="auto" w:sz="4" w:space="0"/>
              <w:right w:val="single" w:color="auto" w:sz="8" w:space="0"/>
            </w:tcBorders>
            <w:vAlign w:val="bottom"/>
          </w:tcPr>
          <w:p>
            <w:pPr>
              <w:spacing w:line="560" w:lineRule="exact"/>
              <w:rPr>
                <w:b/>
                <w:bCs/>
                <w:color w:val="auto"/>
                <w:sz w:val="24"/>
                <w:szCs w:val="24"/>
              </w:rPr>
            </w:pPr>
          </w:p>
        </w:tc>
        <w:tc>
          <w:tcPr>
            <w:tcW w:w="760" w:type="dxa"/>
            <w:tcBorders>
              <w:bottom w:val="single" w:color="auto" w:sz="4" w:space="0"/>
              <w:right w:val="single" w:color="auto" w:sz="8" w:space="0"/>
            </w:tcBorders>
            <w:vAlign w:val="bottom"/>
          </w:tcPr>
          <w:p>
            <w:pPr>
              <w:spacing w:line="560" w:lineRule="exact"/>
              <w:rPr>
                <w:b/>
                <w:bCs/>
                <w:color w:val="auto"/>
                <w:sz w:val="24"/>
                <w:szCs w:val="24"/>
              </w:rPr>
            </w:pPr>
          </w:p>
        </w:tc>
        <w:tc>
          <w:tcPr>
            <w:tcW w:w="775" w:type="dxa"/>
            <w:tcBorders>
              <w:bottom w:val="single" w:color="auto" w:sz="4" w:space="0"/>
              <w:right w:val="single" w:color="auto" w:sz="8" w:space="0"/>
            </w:tcBorders>
            <w:vAlign w:val="bottom"/>
          </w:tcPr>
          <w:p>
            <w:pPr>
              <w:spacing w:line="560" w:lineRule="exact"/>
              <w:rPr>
                <w:b/>
                <w:bCs/>
                <w:color w:val="auto"/>
                <w:sz w:val="24"/>
                <w:szCs w:val="24"/>
              </w:rPr>
            </w:pPr>
          </w:p>
        </w:tc>
        <w:tc>
          <w:tcPr>
            <w:tcW w:w="1155" w:type="dxa"/>
            <w:tcBorders>
              <w:bottom w:val="single" w:color="auto" w:sz="4" w:space="0"/>
              <w:right w:val="single" w:color="auto" w:sz="8" w:space="0"/>
            </w:tcBorders>
            <w:vAlign w:val="bottom"/>
          </w:tcPr>
          <w:p>
            <w:pPr>
              <w:spacing w:line="560" w:lineRule="exact"/>
              <w:rPr>
                <w:b/>
                <w:bCs/>
                <w:color w:val="auto"/>
                <w:sz w:val="24"/>
                <w:szCs w:val="24"/>
              </w:rPr>
            </w:pPr>
          </w:p>
        </w:tc>
        <w:tc>
          <w:tcPr>
            <w:tcW w:w="1885" w:type="dxa"/>
            <w:tcBorders>
              <w:bottom w:val="single" w:color="auto" w:sz="4" w:space="0"/>
              <w:right w:val="single" w:color="auto" w:sz="8" w:space="0"/>
            </w:tcBorders>
            <w:vAlign w:val="bottom"/>
          </w:tcPr>
          <w:p>
            <w:pPr>
              <w:spacing w:line="560" w:lineRule="exact"/>
              <w:rPr>
                <w:b/>
                <w:bCs/>
                <w:color w:val="auto"/>
                <w:sz w:val="24"/>
                <w:szCs w:val="24"/>
              </w:rPr>
            </w:pPr>
          </w:p>
        </w:tc>
        <w:tc>
          <w:tcPr>
            <w:tcW w:w="950" w:type="dxa"/>
            <w:tcBorders>
              <w:bottom w:val="single" w:color="auto" w:sz="4" w:space="0"/>
              <w:right w:val="single" w:color="auto" w:sz="8" w:space="0"/>
            </w:tcBorders>
            <w:vAlign w:val="bottom"/>
          </w:tcPr>
          <w:p>
            <w:pPr>
              <w:spacing w:line="560" w:lineRule="exact"/>
              <w:rPr>
                <w:b/>
                <w:bCs/>
                <w:color w:val="auto"/>
                <w:sz w:val="24"/>
                <w:szCs w:val="24"/>
              </w:rPr>
            </w:pPr>
          </w:p>
        </w:tc>
        <w:tc>
          <w:tcPr>
            <w:tcW w:w="30" w:type="dxa"/>
            <w:vAlign w:val="bottom"/>
          </w:tcPr>
          <w:p>
            <w:pPr>
              <w:spacing w:line="560" w:lineRule="exact"/>
              <w:rPr>
                <w:b/>
                <w:bCs/>
                <w:color w:val="auto"/>
                <w:sz w:val="1"/>
                <w:szCs w:val="1"/>
              </w:rPr>
            </w:pPr>
          </w:p>
        </w:tc>
      </w:tr>
      <w:tr>
        <w:tblPrEx>
          <w:tblLayout w:type="fixed"/>
          <w:tblCellMar>
            <w:top w:w="0" w:type="dxa"/>
            <w:left w:w="0" w:type="dxa"/>
            <w:bottom w:w="0" w:type="dxa"/>
            <w:right w:w="0" w:type="dxa"/>
          </w:tblCellMar>
        </w:tblPrEx>
        <w:trPr>
          <w:trHeight w:val="496" w:hRule="atLeast"/>
        </w:trPr>
        <w:tc>
          <w:tcPr>
            <w:tcW w:w="364"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2636"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3582"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988"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1231"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836"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760"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775"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1155"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1885"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950" w:type="dxa"/>
            <w:tcBorders>
              <w:top w:val="single" w:color="auto" w:sz="4" w:space="0"/>
              <w:left w:val="single" w:color="auto" w:sz="4" w:space="0"/>
              <w:bottom w:val="single" w:color="auto" w:sz="4" w:space="0"/>
              <w:right w:val="single" w:color="auto" w:sz="4" w:space="0"/>
            </w:tcBorders>
            <w:vAlign w:val="bottom"/>
          </w:tcPr>
          <w:p>
            <w:pPr>
              <w:spacing w:line="560" w:lineRule="exact"/>
              <w:rPr>
                <w:b/>
                <w:bCs/>
                <w:color w:val="auto"/>
                <w:sz w:val="24"/>
                <w:szCs w:val="24"/>
              </w:rPr>
            </w:pPr>
          </w:p>
        </w:tc>
        <w:tc>
          <w:tcPr>
            <w:tcW w:w="30" w:type="dxa"/>
            <w:tcBorders>
              <w:left w:val="single" w:color="auto" w:sz="4" w:space="0"/>
            </w:tcBorders>
            <w:vAlign w:val="bottom"/>
          </w:tcPr>
          <w:p>
            <w:pPr>
              <w:spacing w:line="560" w:lineRule="exact"/>
              <w:rPr>
                <w:b/>
                <w:bCs/>
                <w:color w:val="auto"/>
                <w:sz w:val="1"/>
                <w:szCs w:val="1"/>
              </w:rPr>
            </w:pPr>
          </w:p>
        </w:tc>
      </w:tr>
    </w:tbl>
    <w:p>
      <w:pPr>
        <w:spacing w:line="560" w:lineRule="exact"/>
        <w:ind w:right="144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备注：1、之前</w:t>
      </w:r>
      <w:r>
        <w:rPr>
          <w:rFonts w:hint="eastAsia" w:ascii="仿宋_GB2312" w:hAnsi="仿宋_GB2312" w:eastAsia="仿宋_GB2312" w:cs="仿宋_GB2312"/>
          <w:b/>
          <w:bCs/>
          <w:color w:val="auto"/>
          <w:sz w:val="24"/>
          <w:szCs w:val="24"/>
          <w:u w:val="none"/>
        </w:rPr>
        <w:t>安委会办公室</w:t>
      </w:r>
      <w:r>
        <w:rPr>
          <w:rFonts w:hint="eastAsia" w:ascii="仿宋_GB2312" w:hAnsi="仿宋_GB2312" w:eastAsia="仿宋_GB2312" w:cs="仿宋_GB2312"/>
          <w:b/>
          <w:bCs/>
          <w:color w:val="auto"/>
          <w:sz w:val="24"/>
          <w:szCs w:val="24"/>
        </w:rPr>
        <w:t>下发的消防安全“百日攻坚”专项整治情况表不再单独报送；</w:t>
      </w:r>
    </w:p>
    <w:p>
      <w:pPr>
        <w:spacing w:line="560" w:lineRule="exact"/>
        <w:ind w:right="1440" w:firstLine="723" w:firstLineChars="300"/>
        <w:rPr>
          <w:rFonts w:hint="eastAsia" w:ascii="仿宋_GB2312" w:hAnsi="Times New Roman" w:eastAsia="仿宋_GB2312"/>
          <w:b/>
          <w:bCs/>
          <w:color w:val="auto"/>
          <w:sz w:val="32"/>
          <w:szCs w:val="32"/>
          <w:lang w:val="en-US" w:eastAsia="zh-CN"/>
        </w:rPr>
      </w:pPr>
      <w:r>
        <w:rPr>
          <w:rFonts w:hint="eastAsia" w:ascii="仿宋_GB2312" w:hAnsi="仿宋_GB2312" w:eastAsia="仿宋_GB2312" w:cs="仿宋_GB2312"/>
          <w:b/>
          <w:bCs/>
          <w:color w:val="auto"/>
          <w:sz w:val="24"/>
          <w:szCs w:val="24"/>
        </w:rPr>
        <w:t>2、报送全</w:t>
      </w:r>
      <w:r>
        <w:rPr>
          <w:rFonts w:hint="eastAsia" w:ascii="仿宋_GB2312" w:hAnsi="仿宋_GB2312" w:eastAsia="仿宋_GB2312" w:cs="仿宋_GB2312"/>
          <w:b/>
          <w:bCs/>
          <w:color w:val="auto"/>
          <w:sz w:val="24"/>
          <w:szCs w:val="24"/>
          <w:lang w:val="en-US" w:eastAsia="zh-CN"/>
        </w:rPr>
        <w:t>镇</w:t>
      </w:r>
      <w:r>
        <w:rPr>
          <w:rFonts w:hint="eastAsia" w:ascii="仿宋_GB2312" w:hAnsi="仿宋_GB2312" w:eastAsia="仿宋_GB2312" w:cs="仿宋_GB2312"/>
          <w:b/>
          <w:bCs/>
          <w:color w:val="auto"/>
          <w:sz w:val="24"/>
          <w:szCs w:val="24"/>
        </w:rPr>
        <w:t>系统内所有摸底排查</w:t>
      </w:r>
      <w:r>
        <w:rPr>
          <w:rFonts w:hint="eastAsia" w:ascii="仿宋_GB2312" w:hAnsi="仿宋_GB2312" w:eastAsia="仿宋_GB2312" w:cs="仿宋_GB2312"/>
          <w:b/>
          <w:bCs/>
          <w:color w:val="auto"/>
          <w:sz w:val="24"/>
          <w:szCs w:val="24"/>
          <w:lang w:val="en-US" w:eastAsia="zh-CN"/>
        </w:rPr>
        <w:t>单位。</w:t>
      </w:r>
    </w:p>
    <w:sectPr>
      <w:footerReference r:id="rId4" w:type="default"/>
      <w:type w:val="continuous"/>
      <w:pgSz w:w="16838" w:h="11906" w:orient="landscape"/>
      <w:pgMar w:top="1587" w:right="2098" w:bottom="1474" w:left="1985" w:header="851" w:footer="992" w:gutter="0"/>
      <w:pgNumType w:chapStyle="1" w:chapSep="em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posOffset>2633980</wp:posOffset>
              </wp:positionH>
              <wp:positionV relativeFrom="paragraph">
                <wp:posOffset>-476250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4pt;margin-top:-37.5pt;height:144pt;width:144pt;mso-position-horizontal-relative:margin;mso-wrap-style:none;z-index:251658240;mso-width-relative:page;mso-height-relative:page;" filled="f" stroked="f" coordsize="21600,21600" o:gfxdata="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FxW/2AAAAAsBAAAPAAAAAAAA&#10;AAEAIAAAACIAAABkcnMvZG93bnJldi54bWxQSwECFAAUAAAACACHTuJAStvN/xICAAATBAAADgAA&#10;AAAAAAABACAAAAAnAQAAZHJzL2Uyb0RvYy54bWxQSwUGAAAAAAYABgBZAQAAqwUAAAAA&#10;">
              <v:fill on="f" focussize="0,0"/>
              <v:stroke on="f" weight="0.5pt"/>
              <v:imagedata o:title=""/>
              <o:lock v:ext="edit" aspectratio="f"/>
              <v:textbox inset="0mm,0mm,0mm,0mm" style="mso-fit-shape-to-text:t;">
                <w:txbxContent>
                  <w:p>
                    <w:pPr>
                      <w:pStyle w:val="7"/>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771"/>
    <w:rsid w:val="00013D59"/>
    <w:rsid w:val="00014D30"/>
    <w:rsid w:val="00031EC3"/>
    <w:rsid w:val="0003305F"/>
    <w:rsid w:val="00034171"/>
    <w:rsid w:val="00034E41"/>
    <w:rsid w:val="00051760"/>
    <w:rsid w:val="000539A7"/>
    <w:rsid w:val="00055EB0"/>
    <w:rsid w:val="0005697A"/>
    <w:rsid w:val="00060011"/>
    <w:rsid w:val="00062227"/>
    <w:rsid w:val="000653E6"/>
    <w:rsid w:val="00065C58"/>
    <w:rsid w:val="00077E49"/>
    <w:rsid w:val="00090C5B"/>
    <w:rsid w:val="00091796"/>
    <w:rsid w:val="00093BAA"/>
    <w:rsid w:val="000A1F1F"/>
    <w:rsid w:val="000A51FD"/>
    <w:rsid w:val="000B6659"/>
    <w:rsid w:val="000C4735"/>
    <w:rsid w:val="000C5AB0"/>
    <w:rsid w:val="000C79DF"/>
    <w:rsid w:val="000D0745"/>
    <w:rsid w:val="000D32D2"/>
    <w:rsid w:val="000D50D2"/>
    <w:rsid w:val="000E287D"/>
    <w:rsid w:val="000E448C"/>
    <w:rsid w:val="000F0180"/>
    <w:rsid w:val="000F136B"/>
    <w:rsid w:val="000F4060"/>
    <w:rsid w:val="0011189F"/>
    <w:rsid w:val="001333FD"/>
    <w:rsid w:val="00172A27"/>
    <w:rsid w:val="001772F2"/>
    <w:rsid w:val="00185CF3"/>
    <w:rsid w:val="00185F86"/>
    <w:rsid w:val="0019280E"/>
    <w:rsid w:val="00196F11"/>
    <w:rsid w:val="001A3D7E"/>
    <w:rsid w:val="001A4BDC"/>
    <w:rsid w:val="001A5D37"/>
    <w:rsid w:val="001B7872"/>
    <w:rsid w:val="001C5E5D"/>
    <w:rsid w:val="001E3FF8"/>
    <w:rsid w:val="001E679A"/>
    <w:rsid w:val="001F226D"/>
    <w:rsid w:val="001F2678"/>
    <w:rsid w:val="001F4304"/>
    <w:rsid w:val="001F7966"/>
    <w:rsid w:val="002079EE"/>
    <w:rsid w:val="00214EE2"/>
    <w:rsid w:val="00224D52"/>
    <w:rsid w:val="00226885"/>
    <w:rsid w:val="00230B61"/>
    <w:rsid w:val="00233AF8"/>
    <w:rsid w:val="002468CA"/>
    <w:rsid w:val="00256AA1"/>
    <w:rsid w:val="002570B5"/>
    <w:rsid w:val="0026427C"/>
    <w:rsid w:val="00264F21"/>
    <w:rsid w:val="00267B4D"/>
    <w:rsid w:val="002924A9"/>
    <w:rsid w:val="00293ED5"/>
    <w:rsid w:val="0029463E"/>
    <w:rsid w:val="002B328E"/>
    <w:rsid w:val="002C0710"/>
    <w:rsid w:val="002C5644"/>
    <w:rsid w:val="002E5BD5"/>
    <w:rsid w:val="002F3FF3"/>
    <w:rsid w:val="002F46DD"/>
    <w:rsid w:val="00310434"/>
    <w:rsid w:val="003231FE"/>
    <w:rsid w:val="0032371E"/>
    <w:rsid w:val="003406EA"/>
    <w:rsid w:val="00340C4E"/>
    <w:rsid w:val="00347668"/>
    <w:rsid w:val="00350026"/>
    <w:rsid w:val="003602D9"/>
    <w:rsid w:val="003623CD"/>
    <w:rsid w:val="00362BE9"/>
    <w:rsid w:val="00371DCF"/>
    <w:rsid w:val="00374725"/>
    <w:rsid w:val="003806DA"/>
    <w:rsid w:val="00387C66"/>
    <w:rsid w:val="003950B6"/>
    <w:rsid w:val="003A6534"/>
    <w:rsid w:val="003B4836"/>
    <w:rsid w:val="003B7311"/>
    <w:rsid w:val="003B75E6"/>
    <w:rsid w:val="003B7664"/>
    <w:rsid w:val="003B7ECC"/>
    <w:rsid w:val="003C410C"/>
    <w:rsid w:val="003C752B"/>
    <w:rsid w:val="003D3871"/>
    <w:rsid w:val="003D5074"/>
    <w:rsid w:val="003E2CAF"/>
    <w:rsid w:val="003E502E"/>
    <w:rsid w:val="003E6EDD"/>
    <w:rsid w:val="003F2398"/>
    <w:rsid w:val="003F5562"/>
    <w:rsid w:val="003F62D4"/>
    <w:rsid w:val="00400E01"/>
    <w:rsid w:val="004122E1"/>
    <w:rsid w:val="00415452"/>
    <w:rsid w:val="00432D81"/>
    <w:rsid w:val="00443514"/>
    <w:rsid w:val="00443908"/>
    <w:rsid w:val="00455711"/>
    <w:rsid w:val="00464ACD"/>
    <w:rsid w:val="00481076"/>
    <w:rsid w:val="004824B6"/>
    <w:rsid w:val="00482EB4"/>
    <w:rsid w:val="0048502B"/>
    <w:rsid w:val="004A2A48"/>
    <w:rsid w:val="004A5A5A"/>
    <w:rsid w:val="004A5E07"/>
    <w:rsid w:val="004B3711"/>
    <w:rsid w:val="004B4C27"/>
    <w:rsid w:val="004D03E8"/>
    <w:rsid w:val="004D16A2"/>
    <w:rsid w:val="004D5D82"/>
    <w:rsid w:val="004E091D"/>
    <w:rsid w:val="004F046D"/>
    <w:rsid w:val="004F085C"/>
    <w:rsid w:val="00502DCC"/>
    <w:rsid w:val="00503805"/>
    <w:rsid w:val="00505CD6"/>
    <w:rsid w:val="00507894"/>
    <w:rsid w:val="00521C94"/>
    <w:rsid w:val="00522DE1"/>
    <w:rsid w:val="005348CD"/>
    <w:rsid w:val="00544095"/>
    <w:rsid w:val="005478C7"/>
    <w:rsid w:val="00553266"/>
    <w:rsid w:val="00554B3B"/>
    <w:rsid w:val="0057377C"/>
    <w:rsid w:val="005768CD"/>
    <w:rsid w:val="00581B2D"/>
    <w:rsid w:val="0059682C"/>
    <w:rsid w:val="005A1B02"/>
    <w:rsid w:val="005A64D2"/>
    <w:rsid w:val="005C69C8"/>
    <w:rsid w:val="005D43B0"/>
    <w:rsid w:val="005E0021"/>
    <w:rsid w:val="005E1FBD"/>
    <w:rsid w:val="005E41E2"/>
    <w:rsid w:val="005E5315"/>
    <w:rsid w:val="005F1842"/>
    <w:rsid w:val="00600185"/>
    <w:rsid w:val="006019CA"/>
    <w:rsid w:val="006078A0"/>
    <w:rsid w:val="00616D79"/>
    <w:rsid w:val="00624EC6"/>
    <w:rsid w:val="006253A5"/>
    <w:rsid w:val="0062657F"/>
    <w:rsid w:val="00630148"/>
    <w:rsid w:val="00637D5D"/>
    <w:rsid w:val="00641985"/>
    <w:rsid w:val="00654737"/>
    <w:rsid w:val="00655105"/>
    <w:rsid w:val="00662A40"/>
    <w:rsid w:val="00664FF0"/>
    <w:rsid w:val="00666C53"/>
    <w:rsid w:val="00675B11"/>
    <w:rsid w:val="006913B8"/>
    <w:rsid w:val="00691502"/>
    <w:rsid w:val="00692692"/>
    <w:rsid w:val="0069315C"/>
    <w:rsid w:val="006966D8"/>
    <w:rsid w:val="006A04FD"/>
    <w:rsid w:val="006A76E5"/>
    <w:rsid w:val="006B2003"/>
    <w:rsid w:val="006D39F1"/>
    <w:rsid w:val="006E112B"/>
    <w:rsid w:val="006E5F2E"/>
    <w:rsid w:val="006F4FC2"/>
    <w:rsid w:val="00700037"/>
    <w:rsid w:val="007009BE"/>
    <w:rsid w:val="007131CD"/>
    <w:rsid w:val="00717684"/>
    <w:rsid w:val="0072161E"/>
    <w:rsid w:val="00726814"/>
    <w:rsid w:val="00726D35"/>
    <w:rsid w:val="00726FAD"/>
    <w:rsid w:val="00742E6C"/>
    <w:rsid w:val="00753E71"/>
    <w:rsid w:val="007702E4"/>
    <w:rsid w:val="007724BA"/>
    <w:rsid w:val="00773BAB"/>
    <w:rsid w:val="00773EBF"/>
    <w:rsid w:val="00776CE4"/>
    <w:rsid w:val="00791E5C"/>
    <w:rsid w:val="007A1E62"/>
    <w:rsid w:val="007A480D"/>
    <w:rsid w:val="007B028D"/>
    <w:rsid w:val="007B711F"/>
    <w:rsid w:val="007C0FEB"/>
    <w:rsid w:val="007C4FC5"/>
    <w:rsid w:val="007C5F43"/>
    <w:rsid w:val="007D0BA9"/>
    <w:rsid w:val="007D13C9"/>
    <w:rsid w:val="007D2696"/>
    <w:rsid w:val="007D3DB0"/>
    <w:rsid w:val="007D5369"/>
    <w:rsid w:val="007D6576"/>
    <w:rsid w:val="007D665A"/>
    <w:rsid w:val="007E378B"/>
    <w:rsid w:val="007E6DBD"/>
    <w:rsid w:val="007F071B"/>
    <w:rsid w:val="007F2F1E"/>
    <w:rsid w:val="007F6CF3"/>
    <w:rsid w:val="00801718"/>
    <w:rsid w:val="00805A59"/>
    <w:rsid w:val="00824332"/>
    <w:rsid w:val="0083762E"/>
    <w:rsid w:val="008558B0"/>
    <w:rsid w:val="00856BDB"/>
    <w:rsid w:val="00862DD0"/>
    <w:rsid w:val="008631C0"/>
    <w:rsid w:val="008644B9"/>
    <w:rsid w:val="00867975"/>
    <w:rsid w:val="0087492C"/>
    <w:rsid w:val="008819E8"/>
    <w:rsid w:val="00882678"/>
    <w:rsid w:val="00884BC9"/>
    <w:rsid w:val="00887E40"/>
    <w:rsid w:val="00893998"/>
    <w:rsid w:val="008962EC"/>
    <w:rsid w:val="008A27D5"/>
    <w:rsid w:val="008A2CE7"/>
    <w:rsid w:val="008B09CE"/>
    <w:rsid w:val="008B3216"/>
    <w:rsid w:val="008B3D00"/>
    <w:rsid w:val="008B417B"/>
    <w:rsid w:val="008C1994"/>
    <w:rsid w:val="008C5DDE"/>
    <w:rsid w:val="008C6068"/>
    <w:rsid w:val="008D3C18"/>
    <w:rsid w:val="008D6DC2"/>
    <w:rsid w:val="008D7BDB"/>
    <w:rsid w:val="008F2392"/>
    <w:rsid w:val="008F2C78"/>
    <w:rsid w:val="008F305A"/>
    <w:rsid w:val="00906FCA"/>
    <w:rsid w:val="0091123F"/>
    <w:rsid w:val="00912D5F"/>
    <w:rsid w:val="009155FA"/>
    <w:rsid w:val="00916798"/>
    <w:rsid w:val="00923A13"/>
    <w:rsid w:val="009245D1"/>
    <w:rsid w:val="00925F41"/>
    <w:rsid w:val="00926B85"/>
    <w:rsid w:val="0093031C"/>
    <w:rsid w:val="009333FC"/>
    <w:rsid w:val="00936D6C"/>
    <w:rsid w:val="00937F35"/>
    <w:rsid w:val="009550EB"/>
    <w:rsid w:val="00961CA2"/>
    <w:rsid w:val="00964A3C"/>
    <w:rsid w:val="0098246C"/>
    <w:rsid w:val="00986B42"/>
    <w:rsid w:val="00993446"/>
    <w:rsid w:val="009A4163"/>
    <w:rsid w:val="009A590F"/>
    <w:rsid w:val="009A6ADE"/>
    <w:rsid w:val="009A70CF"/>
    <w:rsid w:val="009C3825"/>
    <w:rsid w:val="009D4066"/>
    <w:rsid w:val="009E12BD"/>
    <w:rsid w:val="00A03076"/>
    <w:rsid w:val="00A1301C"/>
    <w:rsid w:val="00A16F52"/>
    <w:rsid w:val="00A17609"/>
    <w:rsid w:val="00A24561"/>
    <w:rsid w:val="00A34C97"/>
    <w:rsid w:val="00A528C5"/>
    <w:rsid w:val="00A553E2"/>
    <w:rsid w:val="00A55427"/>
    <w:rsid w:val="00A563BB"/>
    <w:rsid w:val="00A85211"/>
    <w:rsid w:val="00A90A47"/>
    <w:rsid w:val="00A94BB7"/>
    <w:rsid w:val="00A95ECC"/>
    <w:rsid w:val="00A96BC1"/>
    <w:rsid w:val="00A97867"/>
    <w:rsid w:val="00AA0581"/>
    <w:rsid w:val="00AA223C"/>
    <w:rsid w:val="00AA4355"/>
    <w:rsid w:val="00AB54C2"/>
    <w:rsid w:val="00AB5A19"/>
    <w:rsid w:val="00AC07BE"/>
    <w:rsid w:val="00AE21E1"/>
    <w:rsid w:val="00AF054D"/>
    <w:rsid w:val="00B00FDA"/>
    <w:rsid w:val="00B041BD"/>
    <w:rsid w:val="00B046F4"/>
    <w:rsid w:val="00B1371F"/>
    <w:rsid w:val="00B14600"/>
    <w:rsid w:val="00B26822"/>
    <w:rsid w:val="00B27AEE"/>
    <w:rsid w:val="00B27F7D"/>
    <w:rsid w:val="00B30318"/>
    <w:rsid w:val="00B31E92"/>
    <w:rsid w:val="00B41070"/>
    <w:rsid w:val="00B57360"/>
    <w:rsid w:val="00B61744"/>
    <w:rsid w:val="00B64F99"/>
    <w:rsid w:val="00B747D4"/>
    <w:rsid w:val="00B77240"/>
    <w:rsid w:val="00B87086"/>
    <w:rsid w:val="00B94D94"/>
    <w:rsid w:val="00B9759E"/>
    <w:rsid w:val="00BA7605"/>
    <w:rsid w:val="00BB6457"/>
    <w:rsid w:val="00BC6E92"/>
    <w:rsid w:val="00BD410B"/>
    <w:rsid w:val="00BE175A"/>
    <w:rsid w:val="00BE75CD"/>
    <w:rsid w:val="00BF3165"/>
    <w:rsid w:val="00BF3E14"/>
    <w:rsid w:val="00C15AD1"/>
    <w:rsid w:val="00C22299"/>
    <w:rsid w:val="00C22D03"/>
    <w:rsid w:val="00C249C2"/>
    <w:rsid w:val="00C31892"/>
    <w:rsid w:val="00C3679D"/>
    <w:rsid w:val="00C4657B"/>
    <w:rsid w:val="00C4706C"/>
    <w:rsid w:val="00C70F54"/>
    <w:rsid w:val="00C722B2"/>
    <w:rsid w:val="00C75341"/>
    <w:rsid w:val="00CC03A5"/>
    <w:rsid w:val="00CC117D"/>
    <w:rsid w:val="00CD4341"/>
    <w:rsid w:val="00CE2B6D"/>
    <w:rsid w:val="00CF1B33"/>
    <w:rsid w:val="00D00CC2"/>
    <w:rsid w:val="00D1098C"/>
    <w:rsid w:val="00D124AF"/>
    <w:rsid w:val="00D202F9"/>
    <w:rsid w:val="00D23D85"/>
    <w:rsid w:val="00D252FF"/>
    <w:rsid w:val="00D25831"/>
    <w:rsid w:val="00D30F51"/>
    <w:rsid w:val="00D320C1"/>
    <w:rsid w:val="00D34E99"/>
    <w:rsid w:val="00D40934"/>
    <w:rsid w:val="00D428F4"/>
    <w:rsid w:val="00D44A89"/>
    <w:rsid w:val="00D510C3"/>
    <w:rsid w:val="00D624B5"/>
    <w:rsid w:val="00D645EC"/>
    <w:rsid w:val="00D71BC8"/>
    <w:rsid w:val="00D820F3"/>
    <w:rsid w:val="00D956A9"/>
    <w:rsid w:val="00D96EE6"/>
    <w:rsid w:val="00DA1BE1"/>
    <w:rsid w:val="00DA209F"/>
    <w:rsid w:val="00DA652B"/>
    <w:rsid w:val="00DB7561"/>
    <w:rsid w:val="00DD1299"/>
    <w:rsid w:val="00DE3A0C"/>
    <w:rsid w:val="00DF0D53"/>
    <w:rsid w:val="00E230BC"/>
    <w:rsid w:val="00E315EF"/>
    <w:rsid w:val="00E4637F"/>
    <w:rsid w:val="00E46968"/>
    <w:rsid w:val="00E50317"/>
    <w:rsid w:val="00E51274"/>
    <w:rsid w:val="00E531E6"/>
    <w:rsid w:val="00E60F9C"/>
    <w:rsid w:val="00E6612D"/>
    <w:rsid w:val="00E663A5"/>
    <w:rsid w:val="00E80FC7"/>
    <w:rsid w:val="00E85B80"/>
    <w:rsid w:val="00EA43A0"/>
    <w:rsid w:val="00EA7245"/>
    <w:rsid w:val="00EB688B"/>
    <w:rsid w:val="00EC58A4"/>
    <w:rsid w:val="00EE168E"/>
    <w:rsid w:val="00EE1756"/>
    <w:rsid w:val="00EE3233"/>
    <w:rsid w:val="00F02A38"/>
    <w:rsid w:val="00F11237"/>
    <w:rsid w:val="00F127B9"/>
    <w:rsid w:val="00F35382"/>
    <w:rsid w:val="00F514A5"/>
    <w:rsid w:val="00F53105"/>
    <w:rsid w:val="00F56662"/>
    <w:rsid w:val="00F56CA4"/>
    <w:rsid w:val="00F60BE1"/>
    <w:rsid w:val="00F65A46"/>
    <w:rsid w:val="00F66196"/>
    <w:rsid w:val="00F66C31"/>
    <w:rsid w:val="00F73EEF"/>
    <w:rsid w:val="00F845F4"/>
    <w:rsid w:val="00F86260"/>
    <w:rsid w:val="00F91140"/>
    <w:rsid w:val="00F92726"/>
    <w:rsid w:val="00F92E91"/>
    <w:rsid w:val="00FA49C3"/>
    <w:rsid w:val="00FB05D2"/>
    <w:rsid w:val="00FB0699"/>
    <w:rsid w:val="00FC3423"/>
    <w:rsid w:val="00FC6EE4"/>
    <w:rsid w:val="00FD6F89"/>
    <w:rsid w:val="00FE5171"/>
    <w:rsid w:val="00FE74A6"/>
    <w:rsid w:val="00FF61DC"/>
    <w:rsid w:val="00FF74DF"/>
    <w:rsid w:val="00FF7C36"/>
    <w:rsid w:val="0102006B"/>
    <w:rsid w:val="011E5949"/>
    <w:rsid w:val="0122785A"/>
    <w:rsid w:val="012D0030"/>
    <w:rsid w:val="01765116"/>
    <w:rsid w:val="018B3D07"/>
    <w:rsid w:val="019156AF"/>
    <w:rsid w:val="01BA7180"/>
    <w:rsid w:val="02061892"/>
    <w:rsid w:val="022C1554"/>
    <w:rsid w:val="02694CD5"/>
    <w:rsid w:val="029E3E43"/>
    <w:rsid w:val="02AD5223"/>
    <w:rsid w:val="02B81CAC"/>
    <w:rsid w:val="02C40460"/>
    <w:rsid w:val="02DD11CE"/>
    <w:rsid w:val="02E409D9"/>
    <w:rsid w:val="03207BD2"/>
    <w:rsid w:val="0348498B"/>
    <w:rsid w:val="03E27354"/>
    <w:rsid w:val="04276607"/>
    <w:rsid w:val="044F097A"/>
    <w:rsid w:val="049B46ED"/>
    <w:rsid w:val="05056E44"/>
    <w:rsid w:val="05454DED"/>
    <w:rsid w:val="05481ADF"/>
    <w:rsid w:val="054A77C5"/>
    <w:rsid w:val="0586601F"/>
    <w:rsid w:val="05A60F69"/>
    <w:rsid w:val="05B11952"/>
    <w:rsid w:val="060253CC"/>
    <w:rsid w:val="06497B39"/>
    <w:rsid w:val="0651538C"/>
    <w:rsid w:val="066077DF"/>
    <w:rsid w:val="06734528"/>
    <w:rsid w:val="067B5ACB"/>
    <w:rsid w:val="06A76C9D"/>
    <w:rsid w:val="06F1054B"/>
    <w:rsid w:val="07732E12"/>
    <w:rsid w:val="07A75541"/>
    <w:rsid w:val="084415B6"/>
    <w:rsid w:val="086A5955"/>
    <w:rsid w:val="088057BE"/>
    <w:rsid w:val="08BA6DDD"/>
    <w:rsid w:val="08E93FFD"/>
    <w:rsid w:val="09850D6C"/>
    <w:rsid w:val="09AA15E7"/>
    <w:rsid w:val="09D43861"/>
    <w:rsid w:val="0A122553"/>
    <w:rsid w:val="0A3A6D31"/>
    <w:rsid w:val="0A6E3F08"/>
    <w:rsid w:val="0A8964E8"/>
    <w:rsid w:val="0AB724F5"/>
    <w:rsid w:val="0ADC45AA"/>
    <w:rsid w:val="0B6A6485"/>
    <w:rsid w:val="0B8E60CD"/>
    <w:rsid w:val="0BD4754F"/>
    <w:rsid w:val="0BE735A0"/>
    <w:rsid w:val="0BFD4A9C"/>
    <w:rsid w:val="0C33574F"/>
    <w:rsid w:val="0CB44BFE"/>
    <w:rsid w:val="0CBA7083"/>
    <w:rsid w:val="0CE712CF"/>
    <w:rsid w:val="0CEA320B"/>
    <w:rsid w:val="0CF03977"/>
    <w:rsid w:val="0D095294"/>
    <w:rsid w:val="0D7E1E09"/>
    <w:rsid w:val="0D897553"/>
    <w:rsid w:val="0DAE15C9"/>
    <w:rsid w:val="0DCA426D"/>
    <w:rsid w:val="0E2677BC"/>
    <w:rsid w:val="0E9357B3"/>
    <w:rsid w:val="0ED84738"/>
    <w:rsid w:val="0EE077B4"/>
    <w:rsid w:val="0EEB75AB"/>
    <w:rsid w:val="0F081061"/>
    <w:rsid w:val="0F1E123F"/>
    <w:rsid w:val="0F2B34C9"/>
    <w:rsid w:val="0F3361D8"/>
    <w:rsid w:val="0F4C62C2"/>
    <w:rsid w:val="0F7E5AE8"/>
    <w:rsid w:val="0F8033A9"/>
    <w:rsid w:val="0FF123AD"/>
    <w:rsid w:val="10320771"/>
    <w:rsid w:val="1050156D"/>
    <w:rsid w:val="106D1490"/>
    <w:rsid w:val="10AE59D2"/>
    <w:rsid w:val="10DE6AB4"/>
    <w:rsid w:val="116E1B08"/>
    <w:rsid w:val="117B4B0C"/>
    <w:rsid w:val="119847B6"/>
    <w:rsid w:val="120B0B90"/>
    <w:rsid w:val="12470197"/>
    <w:rsid w:val="128D0978"/>
    <w:rsid w:val="12BB3757"/>
    <w:rsid w:val="12E2124A"/>
    <w:rsid w:val="12F747EF"/>
    <w:rsid w:val="13601333"/>
    <w:rsid w:val="139725AB"/>
    <w:rsid w:val="13E04B67"/>
    <w:rsid w:val="140D73E7"/>
    <w:rsid w:val="142F6233"/>
    <w:rsid w:val="15403ED5"/>
    <w:rsid w:val="157D3A43"/>
    <w:rsid w:val="15847FE1"/>
    <w:rsid w:val="15892FF6"/>
    <w:rsid w:val="15A16276"/>
    <w:rsid w:val="15FD11A2"/>
    <w:rsid w:val="15FE21B1"/>
    <w:rsid w:val="16107307"/>
    <w:rsid w:val="1669717E"/>
    <w:rsid w:val="167530E7"/>
    <w:rsid w:val="16AA2127"/>
    <w:rsid w:val="16E55092"/>
    <w:rsid w:val="17D37BCE"/>
    <w:rsid w:val="17E27C42"/>
    <w:rsid w:val="18831590"/>
    <w:rsid w:val="18A0422C"/>
    <w:rsid w:val="18E3392C"/>
    <w:rsid w:val="19752A02"/>
    <w:rsid w:val="19AA7427"/>
    <w:rsid w:val="19BD177C"/>
    <w:rsid w:val="19D55FEF"/>
    <w:rsid w:val="19EB768A"/>
    <w:rsid w:val="19F25140"/>
    <w:rsid w:val="1A095220"/>
    <w:rsid w:val="1A1355A7"/>
    <w:rsid w:val="1A1C6953"/>
    <w:rsid w:val="1A3C22B6"/>
    <w:rsid w:val="1AD92196"/>
    <w:rsid w:val="1B3640FA"/>
    <w:rsid w:val="1B5D5EAD"/>
    <w:rsid w:val="1B5F503A"/>
    <w:rsid w:val="1B705DA2"/>
    <w:rsid w:val="1BA32E9F"/>
    <w:rsid w:val="1BB71E78"/>
    <w:rsid w:val="1C1A07CF"/>
    <w:rsid w:val="1C4F3765"/>
    <w:rsid w:val="1CBA1E76"/>
    <w:rsid w:val="1CF95EEC"/>
    <w:rsid w:val="1DB00783"/>
    <w:rsid w:val="1DE109EC"/>
    <w:rsid w:val="1E1E6807"/>
    <w:rsid w:val="1E2A080E"/>
    <w:rsid w:val="1E4616C6"/>
    <w:rsid w:val="1E8A420E"/>
    <w:rsid w:val="1EEB7EFE"/>
    <w:rsid w:val="1EF35FEC"/>
    <w:rsid w:val="1F166755"/>
    <w:rsid w:val="1F8D0D84"/>
    <w:rsid w:val="20191412"/>
    <w:rsid w:val="201D5C65"/>
    <w:rsid w:val="201D67D3"/>
    <w:rsid w:val="205B6D6F"/>
    <w:rsid w:val="20AC0FF2"/>
    <w:rsid w:val="20FA75ED"/>
    <w:rsid w:val="21733A96"/>
    <w:rsid w:val="2174593B"/>
    <w:rsid w:val="21DC35EB"/>
    <w:rsid w:val="21E92A63"/>
    <w:rsid w:val="21EF6FF8"/>
    <w:rsid w:val="22A378D5"/>
    <w:rsid w:val="22FC0505"/>
    <w:rsid w:val="23116547"/>
    <w:rsid w:val="233B40AD"/>
    <w:rsid w:val="23790A1E"/>
    <w:rsid w:val="238E4585"/>
    <w:rsid w:val="23BD7E5F"/>
    <w:rsid w:val="24532016"/>
    <w:rsid w:val="24742664"/>
    <w:rsid w:val="24FE0EB4"/>
    <w:rsid w:val="25732FF7"/>
    <w:rsid w:val="25E360DB"/>
    <w:rsid w:val="260D0615"/>
    <w:rsid w:val="262D5B3C"/>
    <w:rsid w:val="26CA65AC"/>
    <w:rsid w:val="26F85774"/>
    <w:rsid w:val="274742F9"/>
    <w:rsid w:val="274D0EBF"/>
    <w:rsid w:val="27A86CFB"/>
    <w:rsid w:val="27E24D97"/>
    <w:rsid w:val="28287631"/>
    <w:rsid w:val="2899192E"/>
    <w:rsid w:val="28E0386B"/>
    <w:rsid w:val="29076D31"/>
    <w:rsid w:val="29610820"/>
    <w:rsid w:val="297D1FA4"/>
    <w:rsid w:val="29BC0A36"/>
    <w:rsid w:val="29ED6FE6"/>
    <w:rsid w:val="29F8459C"/>
    <w:rsid w:val="29FD2521"/>
    <w:rsid w:val="2A3C4AC2"/>
    <w:rsid w:val="2A3D507E"/>
    <w:rsid w:val="2ACF623C"/>
    <w:rsid w:val="2AD06B3C"/>
    <w:rsid w:val="2AF2444A"/>
    <w:rsid w:val="2BCC096B"/>
    <w:rsid w:val="2BDA7D32"/>
    <w:rsid w:val="2BFD7651"/>
    <w:rsid w:val="2C0D14D8"/>
    <w:rsid w:val="2C2B57B7"/>
    <w:rsid w:val="2C9B181C"/>
    <w:rsid w:val="2C9C2481"/>
    <w:rsid w:val="2CB06CAF"/>
    <w:rsid w:val="2CD53401"/>
    <w:rsid w:val="2D242F2D"/>
    <w:rsid w:val="2D5A562E"/>
    <w:rsid w:val="2D7823BF"/>
    <w:rsid w:val="2D7C2A2F"/>
    <w:rsid w:val="2DD71893"/>
    <w:rsid w:val="2E8221A9"/>
    <w:rsid w:val="2EBA0235"/>
    <w:rsid w:val="2ED44F84"/>
    <w:rsid w:val="2ED606C0"/>
    <w:rsid w:val="2EDC1898"/>
    <w:rsid w:val="31477BDB"/>
    <w:rsid w:val="31604C29"/>
    <w:rsid w:val="31BE09C3"/>
    <w:rsid w:val="31D20BBF"/>
    <w:rsid w:val="31DB16D1"/>
    <w:rsid w:val="32145B47"/>
    <w:rsid w:val="322B7EEC"/>
    <w:rsid w:val="327A7943"/>
    <w:rsid w:val="32806DD8"/>
    <w:rsid w:val="32CC019B"/>
    <w:rsid w:val="338C2EF5"/>
    <w:rsid w:val="339B06B8"/>
    <w:rsid w:val="33D01E4F"/>
    <w:rsid w:val="33F23261"/>
    <w:rsid w:val="342F3024"/>
    <w:rsid w:val="343C6006"/>
    <w:rsid w:val="3486214B"/>
    <w:rsid w:val="34A74348"/>
    <w:rsid w:val="35852026"/>
    <w:rsid w:val="35BC41B2"/>
    <w:rsid w:val="35E025B0"/>
    <w:rsid w:val="35E13C8C"/>
    <w:rsid w:val="36497995"/>
    <w:rsid w:val="368B1BB8"/>
    <w:rsid w:val="36924999"/>
    <w:rsid w:val="369A0067"/>
    <w:rsid w:val="36BA6B1B"/>
    <w:rsid w:val="36E4081B"/>
    <w:rsid w:val="37064814"/>
    <w:rsid w:val="37396745"/>
    <w:rsid w:val="373A538F"/>
    <w:rsid w:val="376F352C"/>
    <w:rsid w:val="378B5128"/>
    <w:rsid w:val="3797211E"/>
    <w:rsid w:val="379A6A48"/>
    <w:rsid w:val="37B25418"/>
    <w:rsid w:val="37B922B2"/>
    <w:rsid w:val="38295331"/>
    <w:rsid w:val="38502E92"/>
    <w:rsid w:val="388D106D"/>
    <w:rsid w:val="389F033C"/>
    <w:rsid w:val="38A40F0D"/>
    <w:rsid w:val="39107D2A"/>
    <w:rsid w:val="39370DA3"/>
    <w:rsid w:val="39631D2E"/>
    <w:rsid w:val="39780246"/>
    <w:rsid w:val="39B708FB"/>
    <w:rsid w:val="3AAE4716"/>
    <w:rsid w:val="3ADF2798"/>
    <w:rsid w:val="3B16376D"/>
    <w:rsid w:val="3B471785"/>
    <w:rsid w:val="3B727150"/>
    <w:rsid w:val="3B7847ED"/>
    <w:rsid w:val="3B7B79EB"/>
    <w:rsid w:val="3B852D05"/>
    <w:rsid w:val="3B9811F7"/>
    <w:rsid w:val="3BA70308"/>
    <w:rsid w:val="3BCB5A82"/>
    <w:rsid w:val="3D194234"/>
    <w:rsid w:val="3D453754"/>
    <w:rsid w:val="3D681759"/>
    <w:rsid w:val="3DB62A4B"/>
    <w:rsid w:val="3DC04D1B"/>
    <w:rsid w:val="3DD607B5"/>
    <w:rsid w:val="3E081C4C"/>
    <w:rsid w:val="3E26140C"/>
    <w:rsid w:val="3E753E5D"/>
    <w:rsid w:val="3EBA795B"/>
    <w:rsid w:val="3F684CE2"/>
    <w:rsid w:val="3F7A7975"/>
    <w:rsid w:val="3F8A26D0"/>
    <w:rsid w:val="3FE85B1D"/>
    <w:rsid w:val="400707F8"/>
    <w:rsid w:val="403955A9"/>
    <w:rsid w:val="407B38C3"/>
    <w:rsid w:val="407D3447"/>
    <w:rsid w:val="40FA0598"/>
    <w:rsid w:val="41906CA9"/>
    <w:rsid w:val="42162509"/>
    <w:rsid w:val="421D5E0A"/>
    <w:rsid w:val="427D4510"/>
    <w:rsid w:val="42B61E02"/>
    <w:rsid w:val="42F0070E"/>
    <w:rsid w:val="433C63FC"/>
    <w:rsid w:val="435022AE"/>
    <w:rsid w:val="43746E54"/>
    <w:rsid w:val="439974F5"/>
    <w:rsid w:val="43A519C7"/>
    <w:rsid w:val="43B54197"/>
    <w:rsid w:val="43BB4037"/>
    <w:rsid w:val="44851C2B"/>
    <w:rsid w:val="44A42EB4"/>
    <w:rsid w:val="44B63B11"/>
    <w:rsid w:val="44B70FD6"/>
    <w:rsid w:val="44EF42B2"/>
    <w:rsid w:val="45F11F42"/>
    <w:rsid w:val="463737B0"/>
    <w:rsid w:val="4693391D"/>
    <w:rsid w:val="46980B12"/>
    <w:rsid w:val="4698791C"/>
    <w:rsid w:val="47063ED1"/>
    <w:rsid w:val="47084C69"/>
    <w:rsid w:val="470F404D"/>
    <w:rsid w:val="47472717"/>
    <w:rsid w:val="47635F47"/>
    <w:rsid w:val="47C51D8F"/>
    <w:rsid w:val="47C553F8"/>
    <w:rsid w:val="47E87AB0"/>
    <w:rsid w:val="47F34603"/>
    <w:rsid w:val="48077030"/>
    <w:rsid w:val="48401EC1"/>
    <w:rsid w:val="48F342A5"/>
    <w:rsid w:val="49240BCF"/>
    <w:rsid w:val="495E364D"/>
    <w:rsid w:val="49607DA9"/>
    <w:rsid w:val="49AE4EE4"/>
    <w:rsid w:val="49B31C43"/>
    <w:rsid w:val="49BB6808"/>
    <w:rsid w:val="49D95D18"/>
    <w:rsid w:val="49DA17E1"/>
    <w:rsid w:val="49ED73BE"/>
    <w:rsid w:val="4A1C77F4"/>
    <w:rsid w:val="4A287406"/>
    <w:rsid w:val="4A293657"/>
    <w:rsid w:val="4A3B67FC"/>
    <w:rsid w:val="4A7E3955"/>
    <w:rsid w:val="4A915F83"/>
    <w:rsid w:val="4AA07B37"/>
    <w:rsid w:val="4AB60652"/>
    <w:rsid w:val="4ACF0859"/>
    <w:rsid w:val="4AD17EA0"/>
    <w:rsid w:val="4B044C1B"/>
    <w:rsid w:val="4B134D6F"/>
    <w:rsid w:val="4B93538C"/>
    <w:rsid w:val="4BD06CEB"/>
    <w:rsid w:val="4BDD550E"/>
    <w:rsid w:val="4C52102B"/>
    <w:rsid w:val="4C542F7F"/>
    <w:rsid w:val="4C9344EC"/>
    <w:rsid w:val="4C936475"/>
    <w:rsid w:val="4CDF53FD"/>
    <w:rsid w:val="4CF21565"/>
    <w:rsid w:val="4D470598"/>
    <w:rsid w:val="4D622C60"/>
    <w:rsid w:val="4E5761AC"/>
    <w:rsid w:val="4F3D5C5A"/>
    <w:rsid w:val="4F4D68EB"/>
    <w:rsid w:val="4F6B4AD2"/>
    <w:rsid w:val="4F866A13"/>
    <w:rsid w:val="500B6D68"/>
    <w:rsid w:val="50D942D6"/>
    <w:rsid w:val="50E37759"/>
    <w:rsid w:val="50F66F47"/>
    <w:rsid w:val="513962BE"/>
    <w:rsid w:val="51442622"/>
    <w:rsid w:val="51631BB4"/>
    <w:rsid w:val="516F2EAC"/>
    <w:rsid w:val="518E6CEF"/>
    <w:rsid w:val="51A35787"/>
    <w:rsid w:val="52282AAC"/>
    <w:rsid w:val="526675EC"/>
    <w:rsid w:val="526B62F6"/>
    <w:rsid w:val="527D40FF"/>
    <w:rsid w:val="52AD589B"/>
    <w:rsid w:val="52B964A2"/>
    <w:rsid w:val="52F90B31"/>
    <w:rsid w:val="530D650D"/>
    <w:rsid w:val="53265E84"/>
    <w:rsid w:val="535A2F57"/>
    <w:rsid w:val="538802D8"/>
    <w:rsid w:val="53AD0B7C"/>
    <w:rsid w:val="53C96E75"/>
    <w:rsid w:val="53D95035"/>
    <w:rsid w:val="54012EE3"/>
    <w:rsid w:val="54095976"/>
    <w:rsid w:val="54886C04"/>
    <w:rsid w:val="548C1E40"/>
    <w:rsid w:val="54D77CB8"/>
    <w:rsid w:val="54EA4CEB"/>
    <w:rsid w:val="54F65034"/>
    <w:rsid w:val="5517428F"/>
    <w:rsid w:val="551C114C"/>
    <w:rsid w:val="55792125"/>
    <w:rsid w:val="55C813FE"/>
    <w:rsid w:val="56B717C2"/>
    <w:rsid w:val="572B29FD"/>
    <w:rsid w:val="57553CF2"/>
    <w:rsid w:val="5834402B"/>
    <w:rsid w:val="58CB02AB"/>
    <w:rsid w:val="58CC6D46"/>
    <w:rsid w:val="58E86182"/>
    <w:rsid w:val="591C751D"/>
    <w:rsid w:val="59715639"/>
    <w:rsid w:val="5A1B68CB"/>
    <w:rsid w:val="5A6D18BF"/>
    <w:rsid w:val="5ABE4DF6"/>
    <w:rsid w:val="5AD827BE"/>
    <w:rsid w:val="5B3C6DC5"/>
    <w:rsid w:val="5B515A83"/>
    <w:rsid w:val="5BA61351"/>
    <w:rsid w:val="5BAB6C7D"/>
    <w:rsid w:val="5BCA6FEF"/>
    <w:rsid w:val="5C0640F6"/>
    <w:rsid w:val="5C0A1D71"/>
    <w:rsid w:val="5CB2745E"/>
    <w:rsid w:val="5CE71247"/>
    <w:rsid w:val="5CED4BB5"/>
    <w:rsid w:val="5CFA0FAF"/>
    <w:rsid w:val="5D0F20FA"/>
    <w:rsid w:val="5D863526"/>
    <w:rsid w:val="5DB27D85"/>
    <w:rsid w:val="5DD24CBE"/>
    <w:rsid w:val="5DE27E70"/>
    <w:rsid w:val="5DE91385"/>
    <w:rsid w:val="5DFD6F06"/>
    <w:rsid w:val="5E6A2603"/>
    <w:rsid w:val="5E6A2CC5"/>
    <w:rsid w:val="5E8E125D"/>
    <w:rsid w:val="5EB854D8"/>
    <w:rsid w:val="5EE966FD"/>
    <w:rsid w:val="5FDF7B7D"/>
    <w:rsid w:val="60DC7D77"/>
    <w:rsid w:val="61500A81"/>
    <w:rsid w:val="61895ED3"/>
    <w:rsid w:val="6195044B"/>
    <w:rsid w:val="61B25D74"/>
    <w:rsid w:val="61F713B3"/>
    <w:rsid w:val="62432D8D"/>
    <w:rsid w:val="6258674B"/>
    <w:rsid w:val="62F06E68"/>
    <w:rsid w:val="63281DC5"/>
    <w:rsid w:val="63436E74"/>
    <w:rsid w:val="635A4EF6"/>
    <w:rsid w:val="63C84037"/>
    <w:rsid w:val="643B6343"/>
    <w:rsid w:val="649F09CB"/>
    <w:rsid w:val="64A667DF"/>
    <w:rsid w:val="64FC0596"/>
    <w:rsid w:val="653665B4"/>
    <w:rsid w:val="65636C6A"/>
    <w:rsid w:val="66451683"/>
    <w:rsid w:val="664B7BE3"/>
    <w:rsid w:val="66674431"/>
    <w:rsid w:val="66D0475D"/>
    <w:rsid w:val="67436E96"/>
    <w:rsid w:val="676C564A"/>
    <w:rsid w:val="67895A21"/>
    <w:rsid w:val="68441D5C"/>
    <w:rsid w:val="6884683A"/>
    <w:rsid w:val="689D50A2"/>
    <w:rsid w:val="68C03F25"/>
    <w:rsid w:val="692721C2"/>
    <w:rsid w:val="69487E51"/>
    <w:rsid w:val="696B2867"/>
    <w:rsid w:val="69A71D03"/>
    <w:rsid w:val="69BB6C47"/>
    <w:rsid w:val="6A0620AC"/>
    <w:rsid w:val="6A0E66D0"/>
    <w:rsid w:val="6A26288E"/>
    <w:rsid w:val="6A315069"/>
    <w:rsid w:val="6A324D09"/>
    <w:rsid w:val="6A4F380A"/>
    <w:rsid w:val="6A5533ED"/>
    <w:rsid w:val="6AA80C27"/>
    <w:rsid w:val="6B230CCA"/>
    <w:rsid w:val="6B503846"/>
    <w:rsid w:val="6C39066B"/>
    <w:rsid w:val="6C6615D6"/>
    <w:rsid w:val="6C820B52"/>
    <w:rsid w:val="6CBD5DC9"/>
    <w:rsid w:val="6CCF3571"/>
    <w:rsid w:val="6CD07610"/>
    <w:rsid w:val="6CFC7752"/>
    <w:rsid w:val="6CFE648C"/>
    <w:rsid w:val="6D045574"/>
    <w:rsid w:val="6D1300D4"/>
    <w:rsid w:val="6D866A47"/>
    <w:rsid w:val="6DF41EB9"/>
    <w:rsid w:val="6DFD1C01"/>
    <w:rsid w:val="6E065090"/>
    <w:rsid w:val="6E3634AC"/>
    <w:rsid w:val="6E6242B9"/>
    <w:rsid w:val="6E716557"/>
    <w:rsid w:val="6EAA7544"/>
    <w:rsid w:val="6EE11511"/>
    <w:rsid w:val="6EE552BE"/>
    <w:rsid w:val="6F14496B"/>
    <w:rsid w:val="6F6114A6"/>
    <w:rsid w:val="6FA83551"/>
    <w:rsid w:val="70BA5B1C"/>
    <w:rsid w:val="70DE21A8"/>
    <w:rsid w:val="70F41165"/>
    <w:rsid w:val="71843039"/>
    <w:rsid w:val="72054178"/>
    <w:rsid w:val="72525434"/>
    <w:rsid w:val="727D535D"/>
    <w:rsid w:val="72A83C6E"/>
    <w:rsid w:val="731C2E0A"/>
    <w:rsid w:val="733E120F"/>
    <w:rsid w:val="738F2BF6"/>
    <w:rsid w:val="739D3404"/>
    <w:rsid w:val="73A109B1"/>
    <w:rsid w:val="73C116C4"/>
    <w:rsid w:val="73C42FE4"/>
    <w:rsid w:val="73ED7C01"/>
    <w:rsid w:val="74096BAE"/>
    <w:rsid w:val="75306D3C"/>
    <w:rsid w:val="75360973"/>
    <w:rsid w:val="753E6337"/>
    <w:rsid w:val="758D092D"/>
    <w:rsid w:val="75C30154"/>
    <w:rsid w:val="75EC6E86"/>
    <w:rsid w:val="75F52BE3"/>
    <w:rsid w:val="762A1EA7"/>
    <w:rsid w:val="768C2520"/>
    <w:rsid w:val="769E76ED"/>
    <w:rsid w:val="76A9298B"/>
    <w:rsid w:val="76C74164"/>
    <w:rsid w:val="76CC3EC0"/>
    <w:rsid w:val="76F26089"/>
    <w:rsid w:val="76F66046"/>
    <w:rsid w:val="76FD7D18"/>
    <w:rsid w:val="773B5ABC"/>
    <w:rsid w:val="77412D0B"/>
    <w:rsid w:val="77463D39"/>
    <w:rsid w:val="77912B43"/>
    <w:rsid w:val="77A84E5D"/>
    <w:rsid w:val="77EA68FC"/>
    <w:rsid w:val="77EE42C6"/>
    <w:rsid w:val="78130DBA"/>
    <w:rsid w:val="787C0EC2"/>
    <w:rsid w:val="78835AAC"/>
    <w:rsid w:val="78910D2B"/>
    <w:rsid w:val="78921B6A"/>
    <w:rsid w:val="789F00EC"/>
    <w:rsid w:val="791A0A09"/>
    <w:rsid w:val="79643127"/>
    <w:rsid w:val="79B165E0"/>
    <w:rsid w:val="7A3C1827"/>
    <w:rsid w:val="7A4775DC"/>
    <w:rsid w:val="7A662C24"/>
    <w:rsid w:val="7AB143EE"/>
    <w:rsid w:val="7AC92365"/>
    <w:rsid w:val="7AE93928"/>
    <w:rsid w:val="7B306EE6"/>
    <w:rsid w:val="7B820A5E"/>
    <w:rsid w:val="7B9B004B"/>
    <w:rsid w:val="7C1E3F60"/>
    <w:rsid w:val="7C6E16E8"/>
    <w:rsid w:val="7C9922FD"/>
    <w:rsid w:val="7CAC3866"/>
    <w:rsid w:val="7D73574D"/>
    <w:rsid w:val="7DF86098"/>
    <w:rsid w:val="7E191AF5"/>
    <w:rsid w:val="7E2F538C"/>
    <w:rsid w:val="7E8D7FC2"/>
    <w:rsid w:val="7EE53583"/>
    <w:rsid w:val="7EF71F7E"/>
    <w:rsid w:val="7F1013DF"/>
    <w:rsid w:val="7F3E41C4"/>
    <w:rsid w:val="7F612210"/>
    <w:rsid w:val="7F751E17"/>
    <w:rsid w:val="7FAF57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22"/>
    <w:unhideWhenUsed/>
    <w:qFormat/>
    <w:uiPriority w:val="0"/>
    <w:pPr>
      <w:ind w:firstLine="420" w:firstLineChars="200"/>
    </w:pPr>
  </w:style>
  <w:style w:type="paragraph" w:styleId="3">
    <w:name w:val="Body Text Indent"/>
    <w:basedOn w:val="1"/>
    <w:next w:val="4"/>
    <w:link w:val="21"/>
    <w:semiHidden/>
    <w:unhideWhenUsed/>
    <w:qFormat/>
    <w:uiPriority w:val="99"/>
    <w:pPr>
      <w:spacing w:after="120"/>
      <w:ind w:left="420" w:leftChars="200"/>
    </w:pPr>
  </w:style>
  <w:style w:type="paragraph" w:styleId="4">
    <w:name w:val="Normal Indent"/>
    <w:basedOn w:val="1"/>
    <w:semiHidden/>
    <w:unhideWhenUsed/>
    <w:qFormat/>
    <w:uiPriority w:val="99"/>
    <w:pPr>
      <w:ind w:firstLine="420" w:firstLineChars="200"/>
    </w:pPr>
  </w:style>
  <w:style w:type="paragraph" w:styleId="5">
    <w:name w:val="Plain Text"/>
    <w:basedOn w:val="1"/>
    <w:link w:val="18"/>
    <w:qFormat/>
    <w:uiPriority w:val="99"/>
    <w:rPr>
      <w:rFonts w:ascii="宋体" w:hAnsi="Courier New"/>
      <w:kern w:val="0"/>
      <w:szCs w:val="20"/>
    </w:rPr>
  </w:style>
  <w:style w:type="paragraph" w:styleId="6">
    <w:name w:val="Balloon Text"/>
    <w:basedOn w:val="1"/>
    <w:link w:val="20"/>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99"/>
    <w:rPr>
      <w:rFonts w:cs="Times New Roman"/>
      <w:b/>
    </w:rPr>
  </w:style>
  <w:style w:type="character" w:styleId="11">
    <w:name w:val="page number"/>
    <w:basedOn w:val="9"/>
    <w:qFormat/>
    <w:uiPriority w:val="0"/>
  </w:style>
  <w:style w:type="character" w:styleId="12">
    <w:name w:val="Hyperlink"/>
    <w:qFormat/>
    <w:locked/>
    <w:uiPriority w:val="0"/>
    <w:rPr>
      <w:color w:val="0000FF"/>
      <w:u w:val="single"/>
    </w:r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样式1"/>
    <w:qFormat/>
    <w:uiPriority w:val="99"/>
    <w:pPr>
      <w:spacing w:line="570" w:lineRule="exact"/>
      <w:jc w:val="center"/>
    </w:pPr>
    <w:rPr>
      <w:rFonts w:ascii="Calibri" w:hAnsi="Calibri" w:eastAsia="黑体" w:cs="Times New Roman"/>
      <w:sz w:val="32"/>
      <w:lang w:val="en-US" w:eastAsia="zh-CN" w:bidi="ar-SA"/>
    </w:rPr>
  </w:style>
  <w:style w:type="character" w:customStyle="1" w:styleId="16">
    <w:name w:val="页眉 Char"/>
    <w:basedOn w:val="9"/>
    <w:link w:val="8"/>
    <w:qFormat/>
    <w:locked/>
    <w:uiPriority w:val="99"/>
    <w:rPr>
      <w:rFonts w:ascii="Calibri" w:hAnsi="Calibri" w:eastAsia="宋体" w:cs="Times New Roman"/>
      <w:kern w:val="2"/>
      <w:sz w:val="18"/>
      <w:szCs w:val="18"/>
    </w:rPr>
  </w:style>
  <w:style w:type="character" w:customStyle="1" w:styleId="17">
    <w:name w:val="页脚 Char"/>
    <w:basedOn w:val="9"/>
    <w:link w:val="7"/>
    <w:qFormat/>
    <w:locked/>
    <w:uiPriority w:val="99"/>
    <w:rPr>
      <w:rFonts w:ascii="Calibri" w:hAnsi="Calibri" w:eastAsia="宋体" w:cs="Times New Roman"/>
      <w:kern w:val="2"/>
      <w:sz w:val="18"/>
      <w:szCs w:val="18"/>
    </w:rPr>
  </w:style>
  <w:style w:type="character" w:customStyle="1" w:styleId="18">
    <w:name w:val="纯文本 Char"/>
    <w:basedOn w:val="9"/>
    <w:link w:val="5"/>
    <w:qFormat/>
    <w:locked/>
    <w:uiPriority w:val="99"/>
    <w:rPr>
      <w:rFonts w:ascii="宋体" w:hAnsi="Courier New" w:cs="Times New Roman"/>
      <w:sz w:val="21"/>
    </w:rPr>
  </w:style>
  <w:style w:type="paragraph" w:customStyle="1" w:styleId="19">
    <w:name w:val="Char"/>
    <w:basedOn w:val="1"/>
    <w:qFormat/>
    <w:uiPriority w:val="99"/>
    <w:pPr>
      <w:adjustRightInd w:val="0"/>
      <w:spacing w:line="360" w:lineRule="auto"/>
    </w:pPr>
    <w:rPr>
      <w:rFonts w:ascii="Times New Roman" w:hAnsi="Times New Roman"/>
      <w:kern w:val="0"/>
      <w:sz w:val="24"/>
    </w:rPr>
  </w:style>
  <w:style w:type="character" w:customStyle="1" w:styleId="20">
    <w:name w:val="批注框文本 Char"/>
    <w:basedOn w:val="9"/>
    <w:link w:val="6"/>
    <w:qFormat/>
    <w:locked/>
    <w:uiPriority w:val="99"/>
    <w:rPr>
      <w:rFonts w:ascii="Calibri" w:hAnsi="Calibri" w:eastAsia="宋体" w:cs="Times New Roman"/>
      <w:kern w:val="2"/>
      <w:sz w:val="18"/>
      <w:szCs w:val="18"/>
    </w:rPr>
  </w:style>
  <w:style w:type="character" w:customStyle="1" w:styleId="21">
    <w:name w:val="正文文本缩进 Char"/>
    <w:basedOn w:val="9"/>
    <w:link w:val="3"/>
    <w:semiHidden/>
    <w:qFormat/>
    <w:uiPriority w:val="99"/>
    <w:rPr>
      <w:rFonts w:ascii="Calibri" w:hAnsi="Calibri"/>
      <w:szCs w:val="24"/>
    </w:rPr>
  </w:style>
  <w:style w:type="character" w:customStyle="1" w:styleId="22">
    <w:name w:val="正文首行缩进 2 Char"/>
    <w:basedOn w:val="21"/>
    <w:link w:val="2"/>
    <w:qFormat/>
    <w:uiPriority w:val="0"/>
    <w:rPr>
      <w:rFonts w:ascii="Calibri" w:hAnsi="Calibri"/>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1BF71A-1CF8-4757-AD86-B72312247A05}">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22</Pages>
  <Words>1730</Words>
  <Characters>9867</Characters>
  <Lines>82</Lines>
  <Paragraphs>23</Paragraphs>
  <TotalTime>111</TotalTime>
  <ScaleCrop>false</ScaleCrop>
  <LinksUpToDate>false</LinksUpToDate>
  <CharactersWithSpaces>11574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2019-05-15T07:46:00Z</dcterms:created>
  <dc:creator>zhaoxinlei</dc:creator>
  <cp:lastModifiedBy>王先进</cp:lastModifiedBy>
  <cp:lastPrinted>2020-01-20T07:11:26Z</cp:lastPrinted>
  <dcterms:modified xsi:type="dcterms:W3CDTF">2020-01-20T07:47:58Z</dcterms:modified>
  <dc:title>关于提请省政府常务会议审议</dc:title>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