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沂源县文化和旅游局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202</w:t>
      </w:r>
      <w:r>
        <w:rPr>
          <w:rFonts w:hint="eastAsia"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本年度报告根据《中华人民共和国政府信息公开条例》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以下简称《条例》）</w:t>
      </w:r>
      <w:r>
        <w:rPr>
          <w:rFonts w:hint="default" w:ascii="Times New Roman" w:hAnsi="Times New Roman" w:eastAsia="仿宋_GB2312" w:cs="Times New Roman"/>
          <w:sz w:val="32"/>
          <w:szCs w:val="32"/>
        </w:rPr>
        <w:t>，结合</w:t>
      </w:r>
      <w:r>
        <w:rPr>
          <w:rFonts w:hint="eastAsia" w:ascii="Times New Roman" w:hAnsi="Times New Roman" w:eastAsia="仿宋_GB2312" w:cs="Times New Roman"/>
          <w:sz w:val="32"/>
          <w:szCs w:val="32"/>
          <w:lang w:val="en-US" w:eastAsia="zh-CN"/>
        </w:rPr>
        <w:t>本单位</w:t>
      </w:r>
      <w:r>
        <w:rPr>
          <w:rFonts w:hint="default" w:ascii="Times New Roman" w:hAnsi="Times New Roman" w:eastAsia="仿宋_GB2312" w:cs="Times New Roman"/>
          <w:sz w:val="32"/>
          <w:szCs w:val="32"/>
        </w:rPr>
        <w:t>信息公开工作实际编制。本年度报告中所列数据的统计期限自2023年1月1日起，至2023年12月3</w:t>
      </w:r>
      <w:r>
        <w:rPr>
          <w:rFonts w:hint="default" w:ascii="Times New Roman" w:hAnsi="Times New Roman" w:eastAsia="仿宋_GB2312" w:cs="Times New Roman"/>
          <w:sz w:val="32"/>
          <w:szCs w:val="32"/>
          <w:lang w:val="en-US" w:eastAsia="zh-CN"/>
        </w:rPr>
        <w:t>1日止。如对报告内容有疑问，请与</w:t>
      </w:r>
      <w:r>
        <w:rPr>
          <w:rFonts w:hint="eastAsia" w:ascii="Times New Roman" w:hAnsi="Times New Roman" w:eastAsia="仿宋_GB2312" w:cs="Times New Roman"/>
          <w:sz w:val="32"/>
          <w:szCs w:val="32"/>
          <w:lang w:val="en-US" w:eastAsia="zh-CN"/>
        </w:rPr>
        <w:t>沂源县文化和旅游</w:t>
      </w:r>
      <w:r>
        <w:rPr>
          <w:rFonts w:hint="default" w:ascii="Times New Roman" w:hAnsi="Times New Roman" w:eastAsia="仿宋_GB2312" w:cs="Times New Roman"/>
          <w:sz w:val="32"/>
          <w:szCs w:val="32"/>
          <w:lang w:val="en-US" w:eastAsia="zh-CN"/>
        </w:rPr>
        <w:t>局联系（地址：</w:t>
      </w:r>
      <w:r>
        <w:rPr>
          <w:rFonts w:hint="eastAsia" w:ascii="Times New Roman" w:hAnsi="Times New Roman" w:eastAsia="仿宋_GB2312" w:cs="Times New Roman"/>
          <w:sz w:val="32"/>
          <w:szCs w:val="32"/>
          <w:lang w:val="en-US" w:eastAsia="zh-CN"/>
        </w:rPr>
        <w:t>沂源县鲁山路8号，</w:t>
      </w:r>
      <w:r>
        <w:rPr>
          <w:rFonts w:hint="default" w:ascii="Times New Roman" w:hAnsi="Times New Roman" w:eastAsia="仿宋_GB2312" w:cs="Times New Roman"/>
          <w:sz w:val="32"/>
          <w:szCs w:val="32"/>
          <w:lang w:val="en-US" w:eastAsia="zh-CN"/>
        </w:rPr>
        <w:t>沂源县文化和旅游局二楼办公室</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邮编：</w:t>
      </w:r>
      <w:r>
        <w:rPr>
          <w:rFonts w:hint="eastAsia" w:ascii="Times New Roman" w:hAnsi="Times New Roman" w:eastAsia="仿宋_GB2312" w:cs="Times New Roman"/>
          <w:sz w:val="32"/>
          <w:szCs w:val="32"/>
          <w:lang w:val="en-US" w:eastAsia="zh-CN"/>
        </w:rPr>
        <w:t>256100；</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0533-</w:t>
      </w:r>
      <w:r>
        <w:rPr>
          <w:rFonts w:hint="eastAsia" w:ascii="Times New Roman" w:hAnsi="Times New Roman" w:eastAsia="仿宋_GB2312" w:cs="Times New Roman"/>
          <w:sz w:val="32"/>
          <w:szCs w:val="32"/>
          <w:lang w:val="en-US" w:eastAsia="zh-CN"/>
        </w:rPr>
        <w:t>3241335</w:t>
      </w:r>
      <w:r>
        <w:rPr>
          <w:rFonts w:hint="default" w:ascii="Times New Roman" w:hAnsi="Times New Roman" w:eastAsia="仿宋_GB2312" w:cs="Times New Roman"/>
          <w:sz w:val="32"/>
          <w:szCs w:val="32"/>
        </w:rPr>
        <w:t>；电子邮箱：</w:t>
      </w:r>
      <w:r>
        <w:rPr>
          <w:rFonts w:hint="eastAsia" w:ascii="Times New Roman" w:hAnsi="Times New Roman" w:eastAsia="仿宋_GB2312" w:cs="Times New Roman"/>
          <w:sz w:val="32"/>
          <w:szCs w:val="32"/>
          <w:lang w:val="en-US" w:eastAsia="zh-CN"/>
        </w:rPr>
        <w:t>yyxwhcbjbgs@zb.shandong.cn</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沂源县文化和旅游局</w:t>
      </w:r>
      <w:r>
        <w:rPr>
          <w:rFonts w:hint="default" w:ascii="Times New Roman" w:hAnsi="Times New Roman" w:eastAsia="仿宋_GB2312" w:cs="Times New Roman"/>
          <w:sz w:val="32"/>
          <w:szCs w:val="32"/>
        </w:rPr>
        <w:t>全面贯彻落实党的二十大精神，</w:t>
      </w:r>
      <w:r>
        <w:rPr>
          <w:rFonts w:hint="eastAsia" w:ascii="Times New Roman" w:hAnsi="Times New Roman" w:eastAsia="仿宋_GB2312" w:cs="Times New Roman"/>
          <w:sz w:val="32"/>
          <w:szCs w:val="32"/>
          <w:lang w:val="en-US" w:eastAsia="zh-CN"/>
        </w:rPr>
        <w:t>严格按照</w:t>
      </w:r>
      <w:r>
        <w:rPr>
          <w:rFonts w:hint="default" w:ascii="Times New Roman" w:hAnsi="Times New Roman" w:eastAsia="仿宋_GB2312" w:cs="Times New Roman"/>
          <w:sz w:val="32"/>
          <w:szCs w:val="32"/>
        </w:rPr>
        <w:t>《条例》和国家、省市县关于政府信息公开有关</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紧紧围绕县委、县政府的中心工作，将政府信息公开工作与本单位重点工作相结合，不断加大政府信息公开工作力度，</w:t>
      </w:r>
      <w:r>
        <w:rPr>
          <w:rFonts w:hint="default" w:ascii="Times New Roman" w:hAnsi="Times New Roman" w:eastAsia="仿宋_GB2312" w:cs="Times New Roman"/>
          <w:sz w:val="32"/>
          <w:szCs w:val="32"/>
        </w:rPr>
        <w:t>取得明显成效。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（一）主动公开</w:t>
      </w:r>
      <w:r>
        <w:rPr>
          <w:rFonts w:hint="eastAsia" w:ascii="Times New Roman" w:hAnsi="Times New Roman" w:eastAsia="楷体_GB2312" w:cs="Times New Roman"/>
          <w:kern w:val="2"/>
          <w:sz w:val="32"/>
          <w:szCs w:val="32"/>
          <w:lang w:val="en-US" w:eastAsia="zh-CN" w:bidi="ar-SA"/>
        </w:rPr>
        <w:t>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2023年，</w:t>
      </w:r>
      <w:r>
        <w:rPr>
          <w:rFonts w:hint="eastAsia" w:ascii="Times New Roman" w:hAnsi="Times New Roman" w:eastAsia="仿宋_GB2312" w:cs="Times New Roman"/>
          <w:kern w:val="2"/>
          <w:sz w:val="32"/>
          <w:szCs w:val="32"/>
          <w:lang w:val="en-US" w:eastAsia="zh-CN" w:bidi="ar-SA"/>
        </w:rPr>
        <w:t>沂源县文化和旅游</w:t>
      </w:r>
      <w:r>
        <w:rPr>
          <w:rFonts w:hint="default" w:ascii="Times New Roman" w:hAnsi="Times New Roman" w:eastAsia="仿宋_GB2312" w:cs="Times New Roman"/>
          <w:kern w:val="2"/>
          <w:sz w:val="32"/>
          <w:szCs w:val="32"/>
          <w:lang w:val="en-US" w:eastAsia="zh-CN" w:bidi="ar-SA"/>
        </w:rPr>
        <w:t>局</w:t>
      </w:r>
      <w:r>
        <w:rPr>
          <w:rFonts w:hint="eastAsia" w:ascii="Times New Roman" w:hAnsi="Times New Roman" w:eastAsia="仿宋_GB2312" w:cs="Times New Roman"/>
          <w:kern w:val="2"/>
          <w:sz w:val="32"/>
          <w:szCs w:val="32"/>
          <w:lang w:val="en-US" w:eastAsia="zh-CN" w:bidi="ar-SA"/>
        </w:rPr>
        <w:t>主动公开机关职能、机构设置、财政预算决算等相关信息。</w:t>
      </w:r>
      <w:r>
        <w:rPr>
          <w:rFonts w:hint="default" w:ascii="Times New Roman" w:hAnsi="Times New Roman" w:eastAsia="仿宋_GB2312" w:cs="Times New Roman"/>
          <w:kern w:val="2"/>
          <w:sz w:val="32"/>
          <w:szCs w:val="32"/>
          <w:lang w:val="en-US" w:eastAsia="zh-CN" w:bidi="ar-SA"/>
        </w:rPr>
        <w:t>截止202</w:t>
      </w:r>
      <w:r>
        <w:rPr>
          <w:rFonts w:hint="eastAsia"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en-US" w:eastAsia="zh-CN" w:bidi="ar-SA"/>
        </w:rPr>
        <w:t>年12月31日，共制发行政规范性文件</w:t>
      </w:r>
      <w:r>
        <w:rPr>
          <w:rFonts w:hint="eastAsia" w:ascii="Times New Roman" w:hAnsi="Times New Roman" w:eastAsia="仿宋_GB2312" w:cs="Times New Roman"/>
          <w:kern w:val="2"/>
          <w:sz w:val="32"/>
          <w:szCs w:val="32"/>
          <w:lang w:val="en-US" w:eastAsia="zh-CN" w:bidi="ar-SA"/>
        </w:rPr>
        <w:t>0</w:t>
      </w:r>
      <w:r>
        <w:rPr>
          <w:rFonts w:hint="default" w:ascii="Times New Roman" w:hAnsi="Times New Roman" w:eastAsia="仿宋_GB2312" w:cs="Times New Roman"/>
          <w:kern w:val="2"/>
          <w:sz w:val="32"/>
          <w:szCs w:val="32"/>
          <w:lang w:val="en-US" w:eastAsia="zh-CN" w:bidi="ar-SA"/>
        </w:rPr>
        <w:t>件，普通政府文件</w:t>
      </w:r>
      <w:r>
        <w:rPr>
          <w:rFonts w:hint="eastAsia"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lang w:val="en-US" w:eastAsia="zh-CN" w:bidi="ar-SA"/>
        </w:rPr>
        <w:t>件。</w:t>
      </w:r>
      <w:r>
        <w:rPr>
          <w:rFonts w:hint="eastAsia" w:ascii="Times New Roman" w:hAnsi="Times New Roman" w:eastAsia="仿宋_GB2312" w:cs="Times New Roman"/>
          <w:kern w:val="2"/>
          <w:sz w:val="32"/>
          <w:szCs w:val="32"/>
          <w:lang w:val="en-US" w:eastAsia="zh-CN" w:bidi="ar-SA"/>
        </w:rPr>
        <w:t>公开公共文化服务信息30余条，</w:t>
      </w:r>
      <w:r>
        <w:rPr>
          <w:rFonts w:hint="default" w:ascii="Times New Roman" w:hAnsi="Times New Roman" w:eastAsia="仿宋_GB2312" w:cs="Times New Roman"/>
          <w:kern w:val="2"/>
          <w:sz w:val="32"/>
          <w:szCs w:val="32"/>
          <w:lang w:val="en-US" w:eastAsia="zh-CN" w:bidi="ar-SA"/>
        </w:rPr>
        <w:t>公开</w:t>
      </w:r>
      <w:r>
        <w:rPr>
          <w:rFonts w:hint="eastAsia" w:ascii="Times New Roman" w:hAnsi="Times New Roman" w:eastAsia="仿宋_GB2312" w:cs="Times New Roman"/>
          <w:kern w:val="2"/>
          <w:sz w:val="32"/>
          <w:szCs w:val="32"/>
          <w:lang w:val="en-US" w:eastAsia="zh-CN" w:bidi="ar-SA"/>
        </w:rPr>
        <w:t>全域旅游</w:t>
      </w:r>
      <w:r>
        <w:rPr>
          <w:rFonts w:hint="default" w:ascii="Times New Roman" w:hAnsi="Times New Roman" w:eastAsia="仿宋_GB2312" w:cs="Times New Roman"/>
          <w:kern w:val="2"/>
          <w:sz w:val="32"/>
          <w:szCs w:val="32"/>
          <w:lang w:val="en-US" w:eastAsia="zh-CN" w:bidi="ar-SA"/>
        </w:rPr>
        <w:t>信息</w:t>
      </w:r>
      <w:r>
        <w:rPr>
          <w:rFonts w:hint="eastAsia" w:ascii="Times New Roman" w:hAnsi="Times New Roman" w:eastAsia="仿宋_GB2312" w:cs="Times New Roman"/>
          <w:kern w:val="2"/>
          <w:sz w:val="32"/>
          <w:szCs w:val="32"/>
          <w:lang w:val="en-US" w:eastAsia="zh-CN" w:bidi="ar-SA"/>
        </w:rPr>
        <w:t>42</w:t>
      </w:r>
      <w:r>
        <w:rPr>
          <w:rFonts w:hint="default" w:ascii="Times New Roman" w:hAnsi="Times New Roman" w:eastAsia="仿宋_GB2312" w:cs="Times New Roman"/>
          <w:kern w:val="2"/>
          <w:sz w:val="32"/>
          <w:szCs w:val="32"/>
          <w:lang w:val="en-US" w:eastAsia="zh-CN" w:bidi="ar-SA"/>
        </w:rPr>
        <w:t>条，累计主动公开政府信息</w:t>
      </w:r>
      <w:r>
        <w:rPr>
          <w:rFonts w:hint="eastAsia" w:ascii="Times New Roman" w:hAnsi="Times New Roman" w:eastAsia="仿宋_GB2312" w:cs="Times New Roman"/>
          <w:kern w:val="2"/>
          <w:sz w:val="32"/>
          <w:szCs w:val="32"/>
          <w:lang w:val="en-US" w:eastAsia="zh-CN" w:bidi="ar-SA"/>
        </w:rPr>
        <w:t>210</w:t>
      </w:r>
      <w:r>
        <w:rPr>
          <w:rFonts w:hint="default" w:ascii="Times New Roman" w:hAnsi="Times New Roman" w:eastAsia="仿宋_GB2312" w:cs="Times New Roman"/>
          <w:kern w:val="2"/>
          <w:sz w:val="32"/>
          <w:szCs w:val="32"/>
          <w:lang w:val="en-US" w:eastAsia="zh-CN" w:bidi="ar-SA"/>
        </w:rPr>
        <w:t>余条。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（二）依申请公开</w:t>
      </w:r>
      <w:r>
        <w:rPr>
          <w:rFonts w:hint="eastAsia" w:ascii="Times New Roman" w:hAnsi="Times New Roman" w:eastAsia="楷体_GB2312" w:cs="Times New Roman"/>
          <w:kern w:val="2"/>
          <w:sz w:val="32"/>
          <w:szCs w:val="32"/>
          <w:lang w:val="en-US" w:eastAsia="zh-CN" w:bidi="ar-SA"/>
        </w:rPr>
        <w:t>工作方面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w:t>
      </w:r>
      <w:r>
        <w:rPr>
          <w:rFonts w:hint="eastAsia" w:ascii="Times New Roman" w:hAnsi="Times New Roman" w:eastAsia="仿宋_GB2312" w:cs="Times New Roman"/>
          <w:kern w:val="2"/>
          <w:sz w:val="32"/>
          <w:szCs w:val="32"/>
          <w:lang w:val="en-US" w:eastAsia="zh-CN" w:bidi="ar-SA"/>
        </w:rPr>
        <w:t>23</w:t>
      </w:r>
      <w:r>
        <w:rPr>
          <w:rFonts w:hint="default" w:ascii="Times New Roman" w:hAnsi="Times New Roman" w:eastAsia="仿宋_GB2312" w:cs="Times New Roman"/>
          <w:kern w:val="2"/>
          <w:sz w:val="32"/>
          <w:szCs w:val="32"/>
          <w:lang w:val="en-US" w:eastAsia="zh-CN" w:bidi="ar-SA"/>
        </w:rPr>
        <w:t>年，</w:t>
      </w:r>
      <w:r>
        <w:rPr>
          <w:rFonts w:hint="eastAsia" w:ascii="Times New Roman" w:hAnsi="Times New Roman" w:eastAsia="仿宋_GB2312" w:cs="Times New Roman"/>
          <w:kern w:val="2"/>
          <w:sz w:val="32"/>
          <w:szCs w:val="32"/>
          <w:lang w:val="en-US" w:eastAsia="zh-CN" w:bidi="ar-SA"/>
        </w:rPr>
        <w:t>沂源</w:t>
      </w:r>
      <w:r>
        <w:rPr>
          <w:rFonts w:hint="default" w:ascii="Times New Roman" w:hAnsi="Times New Roman" w:eastAsia="仿宋_GB2312" w:cs="Times New Roman"/>
          <w:kern w:val="2"/>
          <w:sz w:val="32"/>
          <w:szCs w:val="32"/>
          <w:lang w:val="en-US" w:eastAsia="zh-CN" w:bidi="ar-SA"/>
        </w:rPr>
        <w:t>县文化和旅游局未收到</w:t>
      </w:r>
      <w:r>
        <w:rPr>
          <w:rFonts w:hint="eastAsia" w:ascii="Times New Roman" w:hAnsi="Times New Roman" w:eastAsia="仿宋_GB2312" w:cs="Times New Roman"/>
          <w:kern w:val="2"/>
          <w:sz w:val="32"/>
          <w:szCs w:val="32"/>
          <w:lang w:val="en-US" w:eastAsia="zh-CN" w:bidi="ar-SA"/>
        </w:rPr>
        <w:t>政府信息</w:t>
      </w:r>
      <w:r>
        <w:rPr>
          <w:rFonts w:hint="default" w:ascii="Times New Roman" w:hAnsi="Times New Roman" w:eastAsia="仿宋_GB2312" w:cs="Times New Roman"/>
          <w:kern w:val="2"/>
          <w:sz w:val="32"/>
          <w:szCs w:val="32"/>
          <w:lang w:val="en-US" w:eastAsia="zh-CN" w:bidi="ar-SA"/>
        </w:rPr>
        <w:t>公开申请。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bookmarkStart w:id="0" w:name="_GoBack"/>
      <w:r>
        <w:rPr>
          <w:rFonts w:hint="default" w:ascii="Times New Roman" w:hAnsi="Times New Roman" w:eastAsia="仿宋_GB2312" w:cs="Times New Roman"/>
          <w:kern w:val="2"/>
          <w:sz w:val="32"/>
          <w:szCs w:val="32"/>
          <w:lang w:val="en-US" w:eastAsia="zh-CN" w:bidi="ar-SA"/>
        </w:rPr>
        <w:drawing>
          <wp:anchor distT="0" distB="0" distL="114300" distR="114300" simplePos="0" relativeHeight="251658240" behindDoc="0" locked="0" layoutInCell="1" allowOverlap="1">
            <wp:simplePos x="0" y="0"/>
            <wp:positionH relativeFrom="column">
              <wp:posOffset>553720</wp:posOffset>
            </wp:positionH>
            <wp:positionV relativeFrom="paragraph">
              <wp:posOffset>315595</wp:posOffset>
            </wp:positionV>
            <wp:extent cx="4328160" cy="2458085"/>
            <wp:effectExtent l="4445" t="4445" r="10795" b="1397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（三）政府信息管理</w:t>
      </w:r>
      <w:r>
        <w:rPr>
          <w:rFonts w:hint="eastAsia" w:ascii="Times New Roman" w:hAnsi="Times New Roman" w:eastAsia="楷体_GB2312" w:cs="Times New Roman"/>
          <w:kern w:val="2"/>
          <w:sz w:val="32"/>
          <w:szCs w:val="32"/>
          <w:lang w:val="en-US" w:eastAsia="zh-CN" w:bidi="ar-SA"/>
        </w:rPr>
        <w:t>方面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严格规范信息发布，抓好互联网门户网站信息发布工作，落实政府信息公开属性源头认定机制，制定沂源县文化和旅游信息发布三审三校制度，切实做到“涉密信息不上网、上网信息不涉密”；及时清理本单位制发的行政规范性文件并公开清理结果，2023年本单位未制发行政规范性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根据县政府办公室工作部署，及时调整优化政府信息公开平台栏目设置，</w:t>
      </w:r>
      <w:r>
        <w:rPr>
          <w:rFonts w:hint="eastAsia" w:ascii="Times New Roman" w:hAnsi="Times New Roman" w:eastAsia="仿宋_GB2312" w:cs="Times New Roman"/>
          <w:sz w:val="32"/>
          <w:szCs w:val="32"/>
          <w:lang w:val="en-US" w:eastAsia="zh-CN"/>
        </w:rPr>
        <w:t>重点领域新增旅游信息，</w:t>
      </w:r>
      <w:r>
        <w:rPr>
          <w:rFonts w:hint="default" w:ascii="Times New Roman" w:hAnsi="Times New Roman" w:eastAsia="仿宋_GB2312" w:cs="Times New Roman"/>
          <w:sz w:val="32"/>
          <w:szCs w:val="32"/>
        </w:rPr>
        <w:t>增设</w:t>
      </w:r>
      <w:r>
        <w:rPr>
          <w:rFonts w:hint="eastAsia" w:ascii="Times New Roman" w:hAnsi="Times New Roman" w:eastAsia="仿宋_GB2312" w:cs="Times New Roman"/>
          <w:sz w:val="32"/>
          <w:szCs w:val="32"/>
          <w:lang w:val="en-US" w:eastAsia="zh-CN"/>
        </w:rPr>
        <w:t>A级旅游景区、旅游厕所建设情况、旅游提示警示信息等</w:t>
      </w:r>
      <w:r>
        <w:rPr>
          <w:rFonts w:hint="default" w:ascii="Times New Roman" w:hAnsi="Times New Roman" w:eastAsia="仿宋_GB2312" w:cs="Times New Roman"/>
          <w:sz w:val="32"/>
          <w:szCs w:val="32"/>
        </w:rPr>
        <w:t>栏目；充分发挥政务新媒体推介宣传作用，截至目前，</w:t>
      </w:r>
      <w:r>
        <w:rPr>
          <w:rFonts w:hint="eastAsia" w:ascii="Times New Roman" w:hAnsi="Times New Roman" w:eastAsia="仿宋_GB2312" w:cs="Times New Roman"/>
          <w:sz w:val="32"/>
          <w:szCs w:val="32"/>
          <w:lang w:val="en-US" w:eastAsia="zh-CN"/>
        </w:rPr>
        <w:t>沂源文旅发布微信公众号</w:t>
      </w:r>
      <w:r>
        <w:rPr>
          <w:rFonts w:hint="default" w:ascii="Times New Roman" w:hAnsi="Times New Roman" w:eastAsia="仿宋_GB2312" w:cs="Times New Roman"/>
          <w:sz w:val="32"/>
          <w:szCs w:val="32"/>
        </w:rPr>
        <w:t>关注人数</w:t>
      </w:r>
      <w:r>
        <w:rPr>
          <w:rFonts w:hint="eastAsia" w:ascii="Times New Roman" w:hAnsi="Times New Roman" w:eastAsia="仿宋_GB2312" w:cs="Times New Roman"/>
          <w:sz w:val="32"/>
          <w:szCs w:val="32"/>
          <w:lang w:val="en-US" w:eastAsia="zh-CN"/>
        </w:rPr>
        <w:t>4000</w:t>
      </w:r>
      <w:r>
        <w:rPr>
          <w:rFonts w:hint="default" w:ascii="Times New Roman" w:hAnsi="Times New Roman" w:eastAsia="仿宋_GB2312" w:cs="Times New Roman"/>
          <w:sz w:val="32"/>
          <w:szCs w:val="32"/>
        </w:rPr>
        <w:t>人，全年发布</w:t>
      </w:r>
      <w:r>
        <w:rPr>
          <w:rFonts w:hint="eastAsia" w:ascii="Times New Roman" w:hAnsi="Times New Roman" w:eastAsia="仿宋_GB2312" w:cs="Times New Roman"/>
          <w:sz w:val="32"/>
          <w:szCs w:val="32"/>
          <w:lang w:val="en-US" w:eastAsia="zh-CN"/>
        </w:rPr>
        <w:t>信息800</w:t>
      </w:r>
      <w:r>
        <w:rPr>
          <w:rFonts w:hint="default" w:ascii="Times New Roman" w:hAnsi="Times New Roman" w:eastAsia="仿宋_GB2312" w:cs="Times New Roman"/>
          <w:sz w:val="32"/>
          <w:szCs w:val="32"/>
        </w:rPr>
        <w:t>条；同时在沂源县文化苑</w:t>
      </w:r>
      <w:r>
        <w:rPr>
          <w:rFonts w:hint="eastAsia"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楼图书馆阅览室设置政务公开专区</w:t>
      </w:r>
      <w:r>
        <w:rPr>
          <w:rFonts w:hint="eastAsia" w:ascii="Times New Roman" w:hAnsi="Times New Roman" w:eastAsia="仿宋_GB2312" w:cs="Times New Roman"/>
          <w:sz w:val="32"/>
          <w:szCs w:val="32"/>
          <w:lang w:eastAsia="zh-CN"/>
        </w:rPr>
        <w:t>，设立专门政府信息查阅点，</w:t>
      </w:r>
      <w:r>
        <w:rPr>
          <w:rFonts w:hint="default" w:ascii="Times New Roman" w:hAnsi="Times New Roman" w:eastAsia="仿宋_GB2312" w:cs="Times New Roman"/>
          <w:sz w:val="32"/>
          <w:szCs w:val="32"/>
        </w:rPr>
        <w:t>接待访客</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0余人</w:t>
      </w:r>
      <w:r>
        <w:rPr>
          <w:rFonts w:hint="eastAsia" w:ascii="Times New Roman" w:hAnsi="Times New Roman" w:eastAsia="仿宋_GB2312" w:cs="Times New Roman"/>
          <w:sz w:val="32"/>
          <w:szCs w:val="32"/>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（五）监督保障情况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及时</w:t>
      </w:r>
      <w:r>
        <w:rPr>
          <w:rFonts w:hint="default" w:ascii="Times New Roman" w:hAnsi="Times New Roman" w:eastAsia="仿宋_GB2312" w:cs="Times New Roman"/>
          <w:kern w:val="2"/>
          <w:sz w:val="32"/>
          <w:szCs w:val="32"/>
          <w:highlight w:val="none"/>
          <w:lang w:val="en-US" w:eastAsia="zh-CN" w:bidi="ar-SA"/>
        </w:rPr>
        <w:t>调整政务公开工作领导小组，明确主要负责同志对政务公开工作负总责</w:t>
      </w:r>
      <w:r>
        <w:rPr>
          <w:rFonts w:hint="eastAsia" w:ascii="Times New Roman" w:hAnsi="Times New Roman" w:eastAsia="仿宋_GB2312" w:cs="Times New Roman"/>
          <w:kern w:val="2"/>
          <w:sz w:val="32"/>
          <w:szCs w:val="32"/>
          <w:highlight w:val="none"/>
          <w:lang w:val="en-US" w:eastAsia="zh-CN" w:bidi="ar-SA"/>
        </w:rPr>
        <w:t>。政府信息公开工作由</w:t>
      </w:r>
      <w:r>
        <w:rPr>
          <w:rFonts w:hint="default" w:ascii="Times New Roman" w:hAnsi="Times New Roman" w:eastAsia="仿宋_GB2312" w:cs="Times New Roman"/>
          <w:kern w:val="2"/>
          <w:sz w:val="32"/>
          <w:szCs w:val="32"/>
          <w:highlight w:val="none"/>
          <w:lang w:val="en-US" w:eastAsia="zh-CN" w:bidi="ar-SA"/>
        </w:rPr>
        <w:t>局办公室牵头，</w:t>
      </w:r>
      <w:r>
        <w:rPr>
          <w:rFonts w:hint="eastAsia" w:ascii="Times New Roman" w:hAnsi="Times New Roman" w:eastAsia="仿宋_GB2312" w:cs="Times New Roman"/>
          <w:kern w:val="2"/>
          <w:sz w:val="32"/>
          <w:szCs w:val="32"/>
          <w:highlight w:val="none"/>
          <w:lang w:val="en-US" w:eastAsia="zh-CN" w:bidi="ar-SA"/>
        </w:rPr>
        <w:t>专人负责，局属各单位、相关科室确定一名工作联络员，</w:t>
      </w:r>
      <w:r>
        <w:rPr>
          <w:rFonts w:hint="default" w:ascii="Times New Roman" w:hAnsi="Times New Roman" w:eastAsia="仿宋_GB2312" w:cs="Times New Roman"/>
          <w:kern w:val="2"/>
          <w:sz w:val="32"/>
          <w:szCs w:val="32"/>
          <w:highlight w:val="none"/>
          <w:lang w:val="en-US" w:eastAsia="zh-CN" w:bidi="ar-SA"/>
        </w:rPr>
        <w:t>定期会商，责任到人</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制定</w:t>
      </w:r>
      <w:r>
        <w:rPr>
          <w:rFonts w:hint="eastAsia" w:ascii="Times New Roman" w:hAnsi="Times New Roman"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023年政务公开培训计划，全年开展专题培训</w:t>
      </w:r>
      <w:r>
        <w:rPr>
          <w:rFonts w:hint="eastAsia" w:ascii="Times New Roman" w:hAnsi="Times New Roman"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次</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对不及时提供信息的</w:t>
      </w:r>
      <w:r>
        <w:rPr>
          <w:rFonts w:hint="eastAsia" w:ascii="Times New Roman" w:hAnsi="Times New Roman" w:eastAsia="仿宋_GB2312" w:cs="Times New Roman"/>
          <w:kern w:val="2"/>
          <w:sz w:val="32"/>
          <w:szCs w:val="32"/>
          <w:highlight w:val="none"/>
          <w:lang w:val="en-US" w:eastAsia="zh-CN" w:bidi="ar-SA"/>
        </w:rPr>
        <w:t>单位、科室</w:t>
      </w:r>
      <w:r>
        <w:rPr>
          <w:rFonts w:hint="default" w:ascii="Times New Roman" w:hAnsi="Times New Roman" w:eastAsia="仿宋_GB2312" w:cs="Times New Roman"/>
          <w:kern w:val="2"/>
          <w:sz w:val="32"/>
          <w:szCs w:val="32"/>
          <w:highlight w:val="none"/>
          <w:lang w:val="en-US" w:eastAsia="zh-CN" w:bidi="ar-SA"/>
        </w:rPr>
        <w:t>，由分管领导</w:t>
      </w:r>
      <w:r>
        <w:rPr>
          <w:rFonts w:hint="eastAsia" w:ascii="Times New Roman" w:hAnsi="Times New Roman" w:eastAsia="仿宋_GB2312" w:cs="Times New Roman"/>
          <w:kern w:val="2"/>
          <w:sz w:val="32"/>
          <w:szCs w:val="32"/>
          <w:highlight w:val="none"/>
          <w:lang w:val="en-US" w:eastAsia="zh-CN" w:bidi="ar-SA"/>
        </w:rPr>
        <w:t>约谈相关负责同志。同时</w:t>
      </w:r>
      <w:r>
        <w:rPr>
          <w:rFonts w:hint="default" w:ascii="Times New Roman" w:hAnsi="Times New Roman" w:eastAsia="仿宋_GB2312" w:cs="Times New Roman"/>
          <w:kern w:val="2"/>
          <w:sz w:val="32"/>
          <w:szCs w:val="32"/>
          <w:highlight w:val="none"/>
          <w:lang w:val="en-US" w:eastAsia="zh-CN" w:bidi="ar-SA"/>
        </w:rPr>
        <w:t>将</w:t>
      </w:r>
      <w:r>
        <w:rPr>
          <w:rFonts w:hint="eastAsia" w:ascii="Times New Roman" w:hAnsi="Times New Roman" w:eastAsia="仿宋_GB2312" w:cs="Times New Roman"/>
          <w:kern w:val="2"/>
          <w:sz w:val="32"/>
          <w:szCs w:val="32"/>
          <w:highlight w:val="none"/>
          <w:lang w:val="en-US" w:eastAsia="zh-CN" w:bidi="ar-SA"/>
        </w:rPr>
        <w:t>政府信息</w:t>
      </w:r>
      <w:r>
        <w:rPr>
          <w:rFonts w:hint="default" w:ascii="Times New Roman" w:hAnsi="Times New Roman" w:eastAsia="仿宋_GB2312" w:cs="Times New Roman"/>
          <w:kern w:val="2"/>
          <w:sz w:val="32"/>
          <w:szCs w:val="32"/>
          <w:highlight w:val="none"/>
          <w:lang w:val="en-US" w:eastAsia="zh-CN" w:bidi="ar-SA"/>
        </w:rPr>
        <w:t>公开工作列入</w:t>
      </w:r>
      <w:r>
        <w:rPr>
          <w:rFonts w:hint="eastAsia" w:ascii="Times New Roman" w:hAnsi="Times New Roman" w:eastAsia="仿宋_GB2312" w:cs="Times New Roman"/>
          <w:kern w:val="2"/>
          <w:sz w:val="32"/>
          <w:szCs w:val="32"/>
          <w:highlight w:val="none"/>
          <w:lang w:val="en-US" w:eastAsia="zh-CN" w:bidi="ar-SA"/>
        </w:rPr>
        <w:t>对局属单位、科室考核事项</w:t>
      </w:r>
      <w:r>
        <w:rPr>
          <w:rFonts w:hint="default" w:ascii="Times New Roman" w:hAnsi="Times New Roman" w:eastAsia="仿宋_GB2312" w:cs="Times New Roman"/>
          <w:kern w:val="2"/>
          <w:sz w:val="32"/>
          <w:szCs w:val="32"/>
          <w:highlight w:val="none"/>
          <w:lang w:val="en-US" w:eastAsia="zh-CN" w:bidi="ar-SA"/>
        </w:rPr>
        <w:t>，明确</w:t>
      </w:r>
      <w:r>
        <w:rPr>
          <w:rFonts w:hint="eastAsia" w:ascii="Times New Roman" w:hAnsi="Times New Roman" w:eastAsia="仿宋_GB2312" w:cs="Times New Roman"/>
          <w:kern w:val="2"/>
          <w:sz w:val="32"/>
          <w:szCs w:val="32"/>
          <w:highlight w:val="none"/>
          <w:lang w:val="en-US" w:eastAsia="zh-CN" w:bidi="ar-SA"/>
        </w:rPr>
        <w:t>任务及</w:t>
      </w:r>
      <w:r>
        <w:rPr>
          <w:rFonts w:hint="default" w:ascii="Times New Roman" w:hAnsi="Times New Roman" w:eastAsia="仿宋_GB2312" w:cs="Times New Roman"/>
          <w:kern w:val="2"/>
          <w:sz w:val="32"/>
          <w:szCs w:val="32"/>
          <w:highlight w:val="none"/>
          <w:lang w:val="en-US" w:eastAsia="zh-CN" w:bidi="ar-SA"/>
        </w:rPr>
        <w:t>要求，促进信息公开工作常态化、规范化</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保障了信息公开工作的扎实有效开展。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tbl>
      <w:tblPr>
        <w:tblStyle w:val="4"/>
        <w:tblW w:w="823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3"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9CC2E5" w:themeFill="accent1" w:themeFillTint="99"/>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1842"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default" w:ascii="Times New Roman" w:hAnsi="Times New Roman" w:eastAsia="微软雅黑" w:cs="Times New Roman"/>
                <w:i w:val="0"/>
                <w:caps w:val="0"/>
                <w:color w:val="000000"/>
                <w:spacing w:val="0"/>
                <w:sz w:val="21"/>
                <w:szCs w:val="21"/>
                <w:lang w:val="en-US" w:eastAsia="zh-CN"/>
              </w:rPr>
              <w:t>制发件数</w:t>
            </w:r>
          </w:p>
        </w:tc>
        <w:tc>
          <w:tcPr>
            <w:tcW w:w="1888"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cs="Times New Roman"/>
                <w:sz w:val="24"/>
                <w:szCs w:val="24"/>
                <w:lang w:val="en-US" w:eastAsia="zh-CN"/>
              </w:rPr>
            </w:pPr>
            <w:r>
              <w:rPr>
                <w:rFonts w:hint="default" w:ascii="Times New Roman" w:hAnsi="Times New Roman" w:eastAsia="微软雅黑" w:cs="Times New Roman"/>
                <w:i w:val="0"/>
                <w:caps w:val="0"/>
                <w:color w:val="000000"/>
                <w:spacing w:val="0"/>
                <w:sz w:val="21"/>
                <w:szCs w:val="21"/>
              </w:rPr>
              <w:t>本年</w:t>
            </w:r>
            <w:r>
              <w:rPr>
                <w:rFonts w:hint="default" w:ascii="Times New Roman" w:hAnsi="Times New Roman" w:eastAsia="微软雅黑" w:cs="Times New Roman"/>
                <w:i w:val="0"/>
                <w:caps w:val="0"/>
                <w:color w:val="000000"/>
                <w:spacing w:val="0"/>
                <w:sz w:val="21"/>
                <w:szCs w:val="21"/>
                <w:lang w:val="en-US" w:eastAsia="zh-CN"/>
              </w:rPr>
              <w:t>废止件数</w:t>
            </w:r>
          </w:p>
        </w:tc>
        <w:tc>
          <w:tcPr>
            <w:tcW w:w="1995" w:type="dxa"/>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规章</w:t>
            </w:r>
          </w:p>
        </w:tc>
        <w:tc>
          <w:tcPr>
            <w:tcW w:w="1842"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c>
          <w:tcPr>
            <w:tcW w:w="1888"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c>
          <w:tcPr>
            <w:tcW w:w="1995"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5"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lang w:val="en-US" w:eastAsia="zh-CN"/>
              </w:rPr>
              <w:t>行政</w:t>
            </w:r>
            <w:r>
              <w:rPr>
                <w:rFonts w:hint="default" w:ascii="Times New Roman" w:hAnsi="Times New Roman" w:eastAsia="微软雅黑" w:cs="Times New Roman"/>
                <w:i w:val="0"/>
                <w:caps w:val="0"/>
                <w:color w:val="000000"/>
                <w:spacing w:val="0"/>
                <w:sz w:val="21"/>
                <w:szCs w:val="21"/>
              </w:rPr>
              <w:t>规范性文件</w:t>
            </w:r>
          </w:p>
        </w:tc>
        <w:tc>
          <w:tcPr>
            <w:tcW w:w="1842"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eastAsia="zh-CN"/>
              </w:rPr>
            </w:pPr>
            <w:r>
              <w:rPr>
                <w:rFonts w:hint="eastAsia" w:ascii="Times New Roman" w:hAnsi="Times New Roman" w:eastAsia="微软雅黑" w:cs="Times New Roman"/>
                <w:i w:val="0"/>
                <w:caps w:val="0"/>
                <w:color w:val="000000"/>
                <w:spacing w:val="0"/>
                <w:sz w:val="21"/>
                <w:szCs w:val="21"/>
                <w:lang w:val="en-US" w:eastAsia="zh-CN"/>
              </w:rPr>
              <w:t>0</w:t>
            </w:r>
          </w:p>
        </w:tc>
        <w:tc>
          <w:tcPr>
            <w:tcW w:w="1888"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0</w:t>
            </w:r>
          </w:p>
        </w:tc>
        <w:tc>
          <w:tcPr>
            <w:tcW w:w="1995" w:type="dxa"/>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9CC2E5" w:themeFill="accent1" w:themeFillTint="99"/>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行政许可</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8234" w:type="dxa"/>
            <w:gridSpan w:val="4"/>
            <w:tcBorders>
              <w:top w:val="nil"/>
              <w:left w:val="single" w:color="000000" w:sz="8" w:space="0"/>
              <w:bottom w:val="single" w:color="auto" w:sz="4" w:space="0"/>
              <w:right w:val="single" w:color="000000" w:sz="8" w:space="0"/>
            </w:tcBorders>
            <w:shd w:val="clear" w:color="auto" w:fill="9CC2E5" w:themeFill="accent1" w:themeFillTint="99"/>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auto" w:sz="4" w:space="0"/>
              <w:bottom w:val="single" w:color="auto" w:sz="4"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auto" w:sz="4" w:space="0"/>
              <w:left w:val="nil"/>
              <w:bottom w:val="single" w:color="auto" w:sz="4" w:space="0"/>
              <w:right w:val="single" w:color="auto" w:sz="4"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lang w:val="en-US" w:eastAsia="zh-CN"/>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single" w:color="auto" w:sz="4" w:space="0"/>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行政处罚</w:t>
            </w:r>
          </w:p>
        </w:tc>
        <w:tc>
          <w:tcPr>
            <w:tcW w:w="5725" w:type="dxa"/>
            <w:gridSpan w:val="3"/>
            <w:tcBorders>
              <w:top w:val="single" w:color="auto" w:sz="4"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行政强制</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9CC2E5" w:themeFill="accent1" w:themeFillTint="99"/>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6"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信息内容</w:t>
            </w:r>
          </w:p>
        </w:tc>
        <w:tc>
          <w:tcPr>
            <w:tcW w:w="5725" w:type="dxa"/>
            <w:gridSpan w:val="3"/>
            <w:tcBorders>
              <w:top w:val="single" w:color="000000" w:sz="8" w:space="0"/>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eastAsia="微软雅黑" w:cs="Times New Roman"/>
                <w:i w:val="0"/>
                <w:caps w:val="0"/>
                <w:color w:val="000000"/>
                <w:spacing w:val="0"/>
                <w:sz w:val="21"/>
                <w:szCs w:val="21"/>
                <w:lang w:val="en-US" w:eastAsia="zh-CN"/>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7" w:hRule="atLeast"/>
        </w:trPr>
        <w:tc>
          <w:tcPr>
            <w:tcW w:w="2509" w:type="dxa"/>
            <w:tcBorders>
              <w:top w:val="nil"/>
              <w:left w:val="single" w:color="000000" w:sz="8" w:space="0"/>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行政事业性收费</w:t>
            </w:r>
          </w:p>
        </w:tc>
        <w:tc>
          <w:tcPr>
            <w:tcW w:w="5725" w:type="dxa"/>
            <w:gridSpan w:val="3"/>
            <w:tcBorders>
              <w:top w:val="nil"/>
              <w:left w:val="nil"/>
              <w:bottom w:val="single" w:color="000000" w:sz="8" w:space="0"/>
              <w:right w:val="single" w:color="000000" w:sz="8" w:space="0"/>
            </w:tcBorders>
            <w:noWrap w:val="0"/>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三、收到和处理政府信息公开申请情况</w:t>
      </w:r>
    </w:p>
    <w:tbl>
      <w:tblPr>
        <w:tblStyle w:val="4"/>
        <w:tblW w:w="8522"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122"/>
        <w:gridCol w:w="1133"/>
        <w:gridCol w:w="1882"/>
        <w:gridCol w:w="567"/>
        <w:gridCol w:w="636"/>
        <w:gridCol w:w="636"/>
        <w:gridCol w:w="776"/>
        <w:gridCol w:w="776"/>
        <w:gridCol w:w="497"/>
        <w:gridCol w:w="49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3" w:hRule="atLeast"/>
          <w:jc w:val="center"/>
        </w:trPr>
        <w:tc>
          <w:tcPr>
            <w:tcW w:w="4137"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eastAsia" w:ascii="楷体_GB2312" w:hAnsi="楷体_GB2312" w:eastAsia="楷体_GB2312" w:cs="楷体_GB2312"/>
                <w:b w:val="0"/>
                <w:bCs/>
                <w:i w:val="0"/>
                <w:caps w:val="0"/>
                <w:color w:val="000000"/>
                <w:spacing w:val="0"/>
                <w:sz w:val="28"/>
                <w:szCs w:val="28"/>
              </w:rPr>
              <w:t>（本列数据的勾稽关系为：第一项加第二项之和，等于第三项加第四项之和）</w:t>
            </w:r>
          </w:p>
        </w:tc>
        <w:tc>
          <w:tcPr>
            <w:tcW w:w="438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8"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567"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自然人</w:t>
            </w:r>
          </w:p>
        </w:tc>
        <w:tc>
          <w:tcPr>
            <w:tcW w:w="3321"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法人或其他组织</w:t>
            </w:r>
          </w:p>
        </w:tc>
        <w:tc>
          <w:tcPr>
            <w:tcW w:w="497"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30" w:hRule="atLeast"/>
          <w:jc w:val="center"/>
        </w:trPr>
        <w:tc>
          <w:tcPr>
            <w:tcW w:w="4137"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567"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商业企业</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科研机构</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社会公益组织</w:t>
            </w:r>
          </w:p>
        </w:tc>
        <w:tc>
          <w:tcPr>
            <w:tcW w:w="77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法律服务机构</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其他</w:t>
            </w:r>
          </w:p>
        </w:tc>
        <w:tc>
          <w:tcPr>
            <w:tcW w:w="497"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4"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一、本年新收政府信息公开申请数量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val="en-US"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2" w:hRule="atLeast"/>
          <w:jc w:val="center"/>
        </w:trPr>
        <w:tc>
          <w:tcPr>
            <w:tcW w:w="4137" w:type="dxa"/>
            <w:gridSpan w:val="3"/>
            <w:tcBorders>
              <w:top w:val="nil"/>
              <w:left w:val="single" w:color="auto" w:sz="8" w:space="0"/>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二、上年结转政府信息公开申请数量</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restart"/>
            <w:tcBorders>
              <w:top w:val="nil"/>
              <w:left w:val="single" w:color="auto" w:sz="4"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三、本年度办理结果</w:t>
            </w: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（一）予以公开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（二）部分公开（区分处理的，只计这一情形，不计其他情形）</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16"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（三）不予公开</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．属于国家秘密</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5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．其他法律行政法规禁止公开</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3"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．危及</w:t>
            </w:r>
            <w:r>
              <w:rPr>
                <w:rFonts w:hint="default" w:ascii="Times New Roman" w:hAnsi="Times New Roman" w:eastAsia="微软雅黑" w:cs="Times New Roman"/>
                <w:i w:val="0"/>
                <w:caps w:val="0"/>
                <w:color w:val="000000"/>
                <w:spacing w:val="0"/>
                <w:sz w:val="21"/>
                <w:szCs w:val="21"/>
              </w:rPr>
              <w:t>“</w:t>
            </w:r>
            <w:r>
              <w:rPr>
                <w:rFonts w:hint="default" w:ascii="Times New Roman" w:hAnsi="Times New Roman" w:eastAsia="宋体" w:cs="Times New Roman"/>
                <w:i w:val="0"/>
                <w:caps w:val="0"/>
                <w:color w:val="000000"/>
                <w:spacing w:val="0"/>
                <w:sz w:val="21"/>
                <w:szCs w:val="21"/>
              </w:rPr>
              <w:t>三安全一稳定</w:t>
            </w:r>
            <w:r>
              <w:rPr>
                <w:rFonts w:hint="default" w:ascii="Times New Roman" w:hAnsi="Times New Roman" w:eastAsia="微软雅黑" w:cs="Times New Roman"/>
                <w:i w:val="0"/>
                <w:caps w:val="0"/>
                <w:color w:val="000000"/>
                <w:spacing w:val="0"/>
                <w:sz w:val="21"/>
                <w:szCs w:val="21"/>
              </w:rPr>
              <w:t>”</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0"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4</w:t>
            </w:r>
            <w:r>
              <w:rPr>
                <w:rFonts w:hint="default" w:ascii="Times New Roman" w:hAnsi="Times New Roman" w:eastAsia="宋体" w:cs="Times New Roman"/>
                <w:i w:val="0"/>
                <w:caps w:val="0"/>
                <w:color w:val="000000"/>
                <w:spacing w:val="0"/>
                <w:sz w:val="21"/>
                <w:szCs w:val="21"/>
              </w:rPr>
              <w:t>．保护第三方合法权益</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single" w:color="auto" w:sz="4" w:space="0"/>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single" w:color="auto" w:sz="4"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single" w:color="auto" w:sz="4" w:space="0"/>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5</w:t>
            </w:r>
            <w:r>
              <w:rPr>
                <w:rFonts w:hint="default" w:ascii="Times New Roman" w:hAnsi="Times New Roman" w:eastAsia="宋体" w:cs="Times New Roman"/>
                <w:i w:val="0"/>
                <w:caps w:val="0"/>
                <w:color w:val="000000"/>
                <w:spacing w:val="0"/>
                <w:sz w:val="21"/>
                <w:szCs w:val="21"/>
              </w:rPr>
              <w:t>．属于三类内部事务信息</w:t>
            </w:r>
          </w:p>
        </w:tc>
        <w:tc>
          <w:tcPr>
            <w:tcW w:w="56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4"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2"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single" w:color="auto" w:sz="4"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6</w:t>
            </w:r>
            <w:r>
              <w:rPr>
                <w:rFonts w:hint="default" w:ascii="Times New Roman" w:hAnsi="Times New Roman" w:eastAsia="宋体" w:cs="Times New Roman"/>
                <w:i w:val="0"/>
                <w:caps w:val="0"/>
                <w:color w:val="000000"/>
                <w:spacing w:val="0"/>
                <w:sz w:val="21"/>
                <w:szCs w:val="21"/>
              </w:rPr>
              <w:t>．属于四类过程性信息</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7</w:t>
            </w:r>
            <w:r>
              <w:rPr>
                <w:rFonts w:hint="default" w:ascii="Times New Roman" w:hAnsi="Times New Roman" w:eastAsia="宋体" w:cs="Times New Roman"/>
                <w:i w:val="0"/>
                <w:caps w:val="0"/>
                <w:color w:val="000000"/>
                <w:spacing w:val="0"/>
                <w:sz w:val="21"/>
                <w:szCs w:val="21"/>
              </w:rPr>
              <w:t>．属于行政执法案卷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8</w:t>
            </w:r>
            <w:r>
              <w:rPr>
                <w:rFonts w:hint="default" w:ascii="Times New Roman" w:hAnsi="Times New Roman" w:eastAsia="宋体" w:cs="Times New Roman"/>
                <w:i w:val="0"/>
                <w:caps w:val="0"/>
                <w:color w:val="000000"/>
                <w:spacing w:val="0"/>
                <w:sz w:val="21"/>
                <w:szCs w:val="21"/>
              </w:rPr>
              <w:t>．属于行政查询事项</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（四）无法提供</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．本</w:t>
            </w:r>
            <w:r>
              <w:rPr>
                <w:rFonts w:hint="default" w:ascii="Times New Roman" w:hAnsi="Times New Roman" w:eastAsia="宋体" w:cs="Times New Roman"/>
                <w:i w:val="0"/>
                <w:caps w:val="0"/>
                <w:color w:val="000000"/>
                <w:spacing w:val="0"/>
                <w:sz w:val="21"/>
                <w:szCs w:val="21"/>
                <w:lang w:val="en-US" w:eastAsia="zh-CN"/>
              </w:rPr>
              <w:t>机关</w:t>
            </w:r>
            <w:r>
              <w:rPr>
                <w:rFonts w:hint="default" w:ascii="Times New Roman" w:hAnsi="Times New Roman" w:eastAsia="宋体" w:cs="Times New Roman"/>
                <w:i w:val="0"/>
                <w:caps w:val="0"/>
                <w:color w:val="000000"/>
                <w:spacing w:val="0"/>
                <w:sz w:val="21"/>
                <w:szCs w:val="21"/>
              </w:rPr>
              <w:t>不掌握相关政府信息</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．没有现成信息需要另行制作</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．补正后申请内容仍不明确</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（五）不予处理</w:t>
            </w: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1</w:t>
            </w:r>
            <w:r>
              <w:rPr>
                <w:rFonts w:hint="default" w:ascii="Times New Roman" w:hAnsi="Times New Roman" w:eastAsia="宋体" w:cs="Times New Roman"/>
                <w:i w:val="0"/>
                <w:caps w:val="0"/>
                <w:color w:val="000000"/>
                <w:spacing w:val="0"/>
                <w:sz w:val="21"/>
                <w:szCs w:val="21"/>
              </w:rPr>
              <w:t>．信访举报投诉类申请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32"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2</w:t>
            </w:r>
            <w:r>
              <w:rPr>
                <w:rFonts w:hint="default" w:ascii="Times New Roman" w:hAnsi="Times New Roman" w:eastAsia="宋体" w:cs="Times New Roman"/>
                <w:i w:val="0"/>
                <w:caps w:val="0"/>
                <w:color w:val="000000"/>
                <w:spacing w:val="0"/>
                <w:sz w:val="21"/>
                <w:szCs w:val="21"/>
              </w:rPr>
              <w:t>．重复申请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05"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3</w:t>
            </w:r>
            <w:r>
              <w:rPr>
                <w:rFonts w:hint="default" w:ascii="Times New Roman" w:hAnsi="Times New Roman" w:eastAsia="宋体" w:cs="Times New Roman"/>
                <w:i w:val="0"/>
                <w:caps w:val="0"/>
                <w:color w:val="000000"/>
                <w:spacing w:val="0"/>
                <w:sz w:val="21"/>
                <w:szCs w:val="21"/>
              </w:rPr>
              <w:t>．要求提供公开出版物</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0"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8"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4．无正当理由大量反复申请</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54" w:hRule="atLeast"/>
          <w:jc w:val="center"/>
        </w:trPr>
        <w:tc>
          <w:tcPr>
            <w:tcW w:w="1122" w:type="dxa"/>
            <w:vMerge w:val="continue"/>
            <w:tcBorders>
              <w:top w:val="nil"/>
              <w:left w:val="single" w:color="auto" w:sz="4" w:space="0"/>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top w:val="nil"/>
              <w:left w:val="nil"/>
              <w:bottom w:val="single" w:color="auto" w:sz="4"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882" w:type="dxa"/>
            <w:tcBorders>
              <w:top w:val="nil"/>
              <w:left w:val="nil"/>
              <w:bottom w:val="single" w:color="auto" w:sz="4" w:space="0"/>
              <w:right w:val="single" w:color="auto" w:sz="8" w:space="0"/>
            </w:tcBorders>
            <w:noWrap w:val="0"/>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5．要求行政机关确认或重新出具已获取信息</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restart"/>
            <w:tcBorders>
              <w:top w:val="single" w:color="auto" w:sz="4" w:space="0"/>
              <w:left w:val="nil"/>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（六）其他处理</w:t>
            </w: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1.申请人无正当理由逾期不补正、行政机关不再处理其政府信息公开申请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left w:val="nil"/>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2.申请人逾期未按收费通知要求缴纳费用、行政机关不再处理其政府信息公开申请</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9" w:hRule="atLeast"/>
          <w:jc w:val="center"/>
        </w:trPr>
        <w:tc>
          <w:tcPr>
            <w:tcW w:w="1122" w:type="dxa"/>
            <w:vMerge w:val="continue"/>
            <w:tcBorders>
              <w:top w:val="single" w:color="auto" w:sz="4" w:space="0"/>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1133" w:type="dxa"/>
            <w:vMerge w:val="continue"/>
            <w:tcBorders>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p>
        </w:tc>
        <w:tc>
          <w:tcPr>
            <w:tcW w:w="1882"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lang w:val="en-US" w:eastAsia="zh-CN"/>
              </w:rPr>
            </w:pPr>
            <w:r>
              <w:rPr>
                <w:rFonts w:hint="default" w:ascii="Times New Roman" w:hAnsi="Times New Roman" w:eastAsia="宋体" w:cs="Times New Roman"/>
                <w:i w:val="0"/>
                <w:caps w:val="0"/>
                <w:color w:val="000000"/>
                <w:spacing w:val="0"/>
                <w:sz w:val="21"/>
                <w:szCs w:val="21"/>
                <w:lang w:val="en-US" w:eastAsia="zh-CN"/>
              </w:rPr>
              <w:t>3.其他</w:t>
            </w:r>
          </w:p>
        </w:tc>
        <w:tc>
          <w:tcPr>
            <w:tcW w:w="56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63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776"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c>
          <w:tcPr>
            <w:tcW w:w="497" w:type="dxa"/>
            <w:tcBorders>
              <w:top w:val="single" w:color="auto" w:sz="4" w:space="0"/>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Style w:val="6"/>
                <w:rFonts w:hint="default" w:ascii="Times New Roman" w:hAnsi="Times New Roman" w:eastAsia="微软雅黑" w:cs="Times New Roman"/>
                <w:b/>
                <w:i w:val="0"/>
                <w:caps w:val="0"/>
                <w:color w:val="000000"/>
                <w:spacing w:val="0"/>
                <w:sz w:val="21"/>
                <w:szCs w:val="21"/>
                <w:lang w:val="en-US" w:eastAsia="zh-CN"/>
              </w:rPr>
            </w:pPr>
            <w:r>
              <w:rPr>
                <w:rStyle w:val="6"/>
                <w:rFonts w:hint="default"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9" w:hRule="atLeast"/>
          <w:jc w:val="center"/>
        </w:trPr>
        <w:tc>
          <w:tcPr>
            <w:tcW w:w="1122" w:type="dxa"/>
            <w:vMerge w:val="continue"/>
            <w:tcBorders>
              <w:top w:val="nil"/>
              <w:left w:val="single" w:color="auto" w:sz="4"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微软雅黑" w:cs="Times New Roman"/>
                <w:i w:val="0"/>
                <w:caps w:val="0"/>
                <w:color w:val="000000"/>
                <w:spacing w:val="0"/>
                <w:sz w:val="27"/>
                <w:szCs w:val="27"/>
              </w:rPr>
            </w:pPr>
          </w:p>
        </w:tc>
        <w:tc>
          <w:tcPr>
            <w:tcW w:w="3015" w:type="dxa"/>
            <w:gridSpan w:val="2"/>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210" w:right="0" w:hanging="210"/>
              <w:jc w:val="both"/>
              <w:textAlignment w:val="auto"/>
              <w:rPr>
                <w:rFonts w:hint="default" w:ascii="Times New Roman" w:hAnsi="Times New Roman" w:eastAsia="宋体" w:cs="Times New Roman"/>
                <w:i w:val="0"/>
                <w:caps w:val="0"/>
                <w:color w:val="000000"/>
                <w:spacing w:val="0"/>
                <w:sz w:val="21"/>
                <w:szCs w:val="21"/>
              </w:rPr>
            </w:pPr>
            <w:r>
              <w:rPr>
                <w:rFonts w:hint="default" w:ascii="Times New Roman" w:hAnsi="Times New Roman" w:eastAsia="宋体" w:cs="Times New Roman"/>
                <w:i w:val="0"/>
                <w:caps w:val="0"/>
                <w:color w:val="000000"/>
                <w:spacing w:val="0"/>
                <w:sz w:val="21"/>
                <w:szCs w:val="21"/>
              </w:rPr>
              <w:t>（七）总计</w:t>
            </w:r>
          </w:p>
        </w:tc>
        <w:tc>
          <w:tcPr>
            <w:tcW w:w="56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8"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eastAsiaTheme="minorEastAsia"/>
                <w:sz w:val="24"/>
                <w:szCs w:val="24"/>
                <w:lang w:eastAsia="zh-CN"/>
              </w:rPr>
            </w:pPr>
            <w:r>
              <w:rPr>
                <w:rStyle w:val="6"/>
                <w:rFonts w:hint="eastAsia" w:ascii="Times New Roman" w:hAnsi="Times New Roman" w:eastAsia="微软雅黑" w:cs="Times New Roman"/>
                <w:b/>
                <w:i w:val="0"/>
                <w:caps w:val="0"/>
                <w:color w:val="000000"/>
                <w:spacing w:val="0"/>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2" w:hRule="atLeast"/>
          <w:jc w:val="center"/>
        </w:trPr>
        <w:tc>
          <w:tcPr>
            <w:tcW w:w="4137" w:type="dxa"/>
            <w:gridSpan w:val="3"/>
            <w:tcBorders>
              <w:top w:val="nil"/>
              <w:left w:val="single" w:color="auto" w:sz="4" w:space="0"/>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sz w:val="24"/>
                <w:szCs w:val="24"/>
              </w:rPr>
            </w:pPr>
            <w:r>
              <w:rPr>
                <w:rFonts w:hint="default" w:ascii="Times New Roman" w:hAnsi="Times New Roman" w:eastAsia="微软雅黑" w:cs="Times New Roman"/>
                <w:i w:val="0"/>
                <w:caps w:val="0"/>
                <w:color w:val="000000"/>
                <w:spacing w:val="0"/>
                <w:sz w:val="21"/>
                <w:szCs w:val="21"/>
              </w:rPr>
              <w:t>四、结转下年度继续办理</w:t>
            </w:r>
          </w:p>
        </w:tc>
        <w:tc>
          <w:tcPr>
            <w:tcW w:w="56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63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776"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c>
          <w:tcPr>
            <w:tcW w:w="497" w:type="dxa"/>
            <w:tcBorders>
              <w:top w:val="nil"/>
              <w:left w:val="nil"/>
              <w:bottom w:val="single" w:color="auto" w:sz="4" w:space="0"/>
              <w:right w:val="single" w:color="auto" w:sz="4"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21"/>
                <w:szCs w:val="21"/>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tbl>
      <w:tblPr>
        <w:tblStyle w:val="4"/>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72" w:hRule="atLeast"/>
        </w:trPr>
        <w:tc>
          <w:tcPr>
            <w:tcW w:w="2839"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行政复议</w:t>
            </w:r>
          </w:p>
        </w:tc>
        <w:tc>
          <w:tcPr>
            <w:tcW w:w="5683"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3" w:hRule="atLeast"/>
        </w:trPr>
        <w:tc>
          <w:tcPr>
            <w:tcW w:w="59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3"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c>
          <w:tcPr>
            <w:tcW w:w="2839"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未经复议直接起诉</w:t>
            </w:r>
          </w:p>
        </w:tc>
        <w:tc>
          <w:tcPr>
            <w:tcW w:w="2844"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59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463"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Times New Roman" w:hAnsi="Times New Roman" w:eastAsia="微软雅黑" w:cs="Times New Roman"/>
                <w:i w:val="0"/>
                <w:caps w:val="0"/>
                <w:color w:val="000000"/>
                <w:spacing w:val="0"/>
                <w:sz w:val="27"/>
                <w:szCs w:val="27"/>
              </w:rPr>
            </w:pP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3"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结果维持</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结果纠正</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其他结果</w:t>
            </w:r>
          </w:p>
        </w:tc>
        <w:tc>
          <w:tcPr>
            <w:tcW w:w="595"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尚未审结</w:t>
            </w:r>
          </w:p>
        </w:tc>
        <w:tc>
          <w:tcPr>
            <w:tcW w:w="464"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75" w:hRule="atLeast"/>
        </w:trPr>
        <w:tc>
          <w:tcPr>
            <w:tcW w:w="594"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59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c>
          <w:tcPr>
            <w:tcW w:w="464"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z w:val="24"/>
                <w:szCs w:val="24"/>
              </w:rPr>
            </w:pPr>
            <w:r>
              <w:rPr>
                <w:rStyle w:val="6"/>
                <w:rFonts w:hint="default" w:ascii="Times New Roman" w:hAnsi="Times New Roman" w:eastAsia="微软雅黑" w:cs="Times New Roman"/>
                <w:b/>
                <w:i w:val="0"/>
                <w:caps w:val="0"/>
                <w:color w:val="000000"/>
                <w:spacing w:val="0"/>
                <w:sz w:val="18"/>
                <w:szCs w:val="18"/>
              </w:rPr>
              <w:t>0</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sz w:val="32"/>
          <w:szCs w:val="32"/>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w:t>
      </w:r>
      <w:r>
        <w:rPr>
          <w:rFonts w:hint="eastAsia" w:ascii="Times New Roman" w:hAnsi="Times New Roman" w:eastAsia="仿宋_GB2312" w:cs="Times New Roman"/>
          <w:kern w:val="2"/>
          <w:sz w:val="32"/>
          <w:szCs w:val="32"/>
          <w:highlight w:val="none"/>
          <w:lang w:val="en-US" w:eastAsia="zh-CN" w:bidi="ar-SA"/>
        </w:rPr>
        <w:t>3</w:t>
      </w:r>
      <w:r>
        <w:rPr>
          <w:rFonts w:hint="default" w:ascii="Times New Roman" w:hAnsi="Times New Roman" w:eastAsia="仿宋_GB2312" w:cs="Times New Roman"/>
          <w:kern w:val="2"/>
          <w:sz w:val="32"/>
          <w:szCs w:val="32"/>
          <w:highlight w:val="none"/>
          <w:lang w:val="en-US" w:eastAsia="zh-CN" w:bidi="ar-SA"/>
        </w:rPr>
        <w:t>年政府信息公开工作取得了一定的成效，但仍然存在一些问题，主要表现在：一是文化和旅游领域政府信息公开数量和覆盖面有待进一步扩大，内容质量需进一步加强，信息公开时效性有待进一步提高。二是政务公开工作人员业务素质有待进一步提高，对政务公开工作的重要性认识不深刻，公开主动性、及时性不强，对一些公开的内容存在遗漏现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对此，采取相关</w:t>
      </w:r>
      <w:r>
        <w:rPr>
          <w:rFonts w:hint="default" w:ascii="Times New Roman" w:hAnsi="Times New Roman" w:eastAsia="仿宋_GB2312" w:cs="Times New Roman"/>
          <w:kern w:val="2"/>
          <w:sz w:val="32"/>
          <w:szCs w:val="32"/>
          <w:highlight w:val="none"/>
          <w:lang w:val="en-US" w:eastAsia="zh-CN" w:bidi="ar-SA"/>
        </w:rPr>
        <w:t>措施</w:t>
      </w:r>
      <w:r>
        <w:rPr>
          <w:rFonts w:hint="eastAsia" w:ascii="Times New Roman" w:hAnsi="Times New Roman" w:eastAsia="仿宋_GB2312" w:cs="Times New Roman"/>
          <w:kern w:val="2"/>
          <w:sz w:val="32"/>
          <w:szCs w:val="32"/>
          <w:highlight w:val="none"/>
          <w:lang w:val="en-US" w:eastAsia="zh-CN" w:bidi="ar-SA"/>
        </w:rPr>
        <w:t>改进，</w:t>
      </w:r>
      <w:r>
        <w:rPr>
          <w:rFonts w:hint="default" w:ascii="Times New Roman" w:hAnsi="Times New Roman" w:eastAsia="仿宋_GB2312" w:cs="Times New Roman"/>
          <w:kern w:val="2"/>
          <w:sz w:val="32"/>
          <w:szCs w:val="32"/>
          <w:highlight w:val="none"/>
          <w:lang w:val="en-US" w:eastAsia="zh-CN" w:bidi="ar-SA"/>
        </w:rPr>
        <w:t>一是规范政府信息公开工作，紧紧围绕公共文化、旅游领域基层政务公开标准目录，明确公开主体、细化公开内容、严格公开时限，确保信息“应公开尽公开”。二是加强</w:t>
      </w:r>
      <w:r>
        <w:rPr>
          <w:rFonts w:hint="eastAsia" w:ascii="Times New Roman" w:hAnsi="Times New Roman" w:eastAsia="仿宋_GB2312" w:cs="Times New Roman"/>
          <w:kern w:val="2"/>
          <w:sz w:val="32"/>
          <w:szCs w:val="32"/>
          <w:highlight w:val="none"/>
          <w:lang w:val="en-US" w:eastAsia="zh-CN" w:bidi="ar-SA"/>
        </w:rPr>
        <w:t>业务</w:t>
      </w:r>
      <w:r>
        <w:rPr>
          <w:rFonts w:hint="default" w:ascii="Times New Roman" w:hAnsi="Times New Roman" w:eastAsia="仿宋_GB2312" w:cs="Times New Roman"/>
          <w:kern w:val="2"/>
          <w:sz w:val="32"/>
          <w:szCs w:val="32"/>
          <w:highlight w:val="none"/>
          <w:lang w:val="en-US" w:eastAsia="zh-CN" w:bidi="ar-SA"/>
        </w:rPr>
        <w:t>培训，积极参加上级部门组织的有关</w:t>
      </w:r>
      <w:r>
        <w:rPr>
          <w:rFonts w:hint="eastAsia" w:ascii="Times New Roman" w:hAnsi="Times New Roman" w:eastAsia="仿宋_GB2312" w:cs="Times New Roman"/>
          <w:kern w:val="2"/>
          <w:sz w:val="32"/>
          <w:szCs w:val="32"/>
          <w:highlight w:val="none"/>
          <w:lang w:val="en-US" w:eastAsia="zh-CN" w:bidi="ar-SA"/>
        </w:rPr>
        <w:t>政务公开工作</w:t>
      </w:r>
      <w:r>
        <w:rPr>
          <w:rFonts w:hint="default" w:ascii="Times New Roman" w:hAnsi="Times New Roman" w:eastAsia="仿宋_GB2312" w:cs="Times New Roman"/>
          <w:kern w:val="2"/>
          <w:sz w:val="32"/>
          <w:szCs w:val="32"/>
          <w:highlight w:val="none"/>
          <w:lang w:val="en-US" w:eastAsia="zh-CN" w:bidi="ar-SA"/>
        </w:rPr>
        <w:t>的培训，</w:t>
      </w:r>
      <w:r>
        <w:rPr>
          <w:rFonts w:hint="eastAsia" w:ascii="Times New Roman" w:hAnsi="Times New Roman" w:eastAsia="仿宋_GB2312" w:cs="Times New Roman"/>
          <w:kern w:val="2"/>
          <w:sz w:val="32"/>
          <w:szCs w:val="32"/>
          <w:highlight w:val="none"/>
          <w:lang w:val="en-US" w:eastAsia="zh-CN" w:bidi="ar-SA"/>
        </w:rPr>
        <w:t>组织本单位内部进行业务培训，</w:t>
      </w:r>
      <w:r>
        <w:rPr>
          <w:rFonts w:hint="default" w:ascii="Times New Roman" w:hAnsi="Times New Roman" w:eastAsia="仿宋_GB2312" w:cs="Times New Roman"/>
          <w:kern w:val="2"/>
          <w:sz w:val="32"/>
          <w:szCs w:val="32"/>
          <w:highlight w:val="none"/>
          <w:lang w:val="en-US" w:eastAsia="zh-CN" w:bidi="ar-SA"/>
        </w:rPr>
        <w:t>提高</w:t>
      </w:r>
      <w:r>
        <w:rPr>
          <w:rFonts w:hint="eastAsia" w:ascii="Times New Roman" w:hAnsi="Times New Roman" w:eastAsia="仿宋_GB2312" w:cs="Times New Roman"/>
          <w:kern w:val="2"/>
          <w:sz w:val="32"/>
          <w:szCs w:val="32"/>
          <w:highlight w:val="none"/>
          <w:lang w:val="en-US" w:eastAsia="zh-CN" w:bidi="ar-SA"/>
        </w:rPr>
        <w:t>政务公开</w:t>
      </w:r>
      <w:r>
        <w:rPr>
          <w:rFonts w:hint="default" w:ascii="Times New Roman" w:hAnsi="Times New Roman" w:eastAsia="仿宋_GB2312" w:cs="Times New Roman"/>
          <w:kern w:val="2"/>
          <w:sz w:val="32"/>
          <w:szCs w:val="32"/>
          <w:highlight w:val="none"/>
          <w:lang w:val="en-US" w:eastAsia="zh-CN" w:bidi="ar-SA"/>
        </w:rPr>
        <w:t>工作人员的能力和水平。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1.依申请公开政府信息处理费</w:t>
      </w:r>
      <w:r>
        <w:rPr>
          <w:rFonts w:hint="default" w:ascii="Times New Roman" w:hAnsi="Times New Roman" w:eastAsia="仿宋_GB2312" w:cs="Times New Roman"/>
          <w:kern w:val="2"/>
          <w:sz w:val="32"/>
          <w:szCs w:val="32"/>
          <w:lang w:val="en-US" w:eastAsia="zh-CN" w:bidi="ar-SA"/>
        </w:rPr>
        <w:t>收费情况。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.人大代表建议和政协提案办理结果公开情况。20</w:t>
      </w:r>
      <w:r>
        <w:rPr>
          <w:rFonts w:hint="eastAsia" w:ascii="Times New Roman" w:hAnsi="Times New Roman" w:eastAsia="仿宋_GB2312" w:cs="Times New Roman"/>
          <w:kern w:val="2"/>
          <w:sz w:val="32"/>
          <w:szCs w:val="32"/>
          <w:lang w:val="en-US" w:eastAsia="zh-CN" w:bidi="ar-SA"/>
        </w:rPr>
        <w:t>23</w:t>
      </w:r>
      <w:r>
        <w:rPr>
          <w:rFonts w:hint="default" w:ascii="Times New Roman" w:hAnsi="Times New Roman" w:eastAsia="仿宋_GB2312" w:cs="Times New Roman"/>
          <w:kern w:val="2"/>
          <w:sz w:val="32"/>
          <w:szCs w:val="32"/>
          <w:lang w:val="en-US" w:eastAsia="zh-CN" w:bidi="ar-SA"/>
        </w:rPr>
        <w:t>年县文化和旅游局共承办人大代表建议</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件，办复率100%；承办政协提案</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件，办复率100%。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3.政务公开工作创新情况</w:t>
      </w:r>
      <w:r>
        <w:rPr>
          <w:rFonts w:hint="default" w:ascii="Times New Roman" w:hAnsi="Times New Roman" w:eastAsia="仿宋_GB2312" w:cs="Times New Roman"/>
          <w:sz w:val="32"/>
          <w:szCs w:val="32"/>
          <w:highlight w:val="none"/>
          <w:lang w:val="en-US" w:eastAsia="zh-CN"/>
        </w:rPr>
        <w:t>。发挥政府网站第一平台作用，新开设“旅游信息”专栏，集中展示旅游规划、公共服务、监督检查、行政处罚等信息。在不断完善、更新沂源县人民政府网站相关栏目的同时，采用线下＋线上信息公开方式，</w:t>
      </w:r>
      <w:r>
        <w:rPr>
          <w:rFonts w:hint="eastAsia" w:ascii="Times New Roman" w:hAnsi="Times New Roman" w:eastAsia="仿宋_GB2312" w:cs="Times New Roman"/>
          <w:sz w:val="32"/>
          <w:szCs w:val="32"/>
          <w:highlight w:val="none"/>
          <w:lang w:val="en-US" w:eastAsia="zh-CN"/>
        </w:rPr>
        <w:t>充分利用政务新媒体及政务公开专区进行信息公开。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《2023年沂源县政务公开工作方案》落实情况。根据2023年沂源县政务公开重点工作任务分解表，</w:t>
      </w:r>
      <w:r>
        <w:rPr>
          <w:rFonts w:hint="default" w:ascii="Times New Roman" w:hAnsi="Times New Roman" w:eastAsia="仿宋_GB2312" w:cs="Times New Roman"/>
          <w:kern w:val="2"/>
          <w:sz w:val="32"/>
          <w:szCs w:val="32"/>
          <w:lang w:val="en-US" w:eastAsia="zh-CN" w:bidi="ar-SA"/>
        </w:rPr>
        <w:t>制定《沂源县文化和旅游局20</w:t>
      </w:r>
      <w:r>
        <w:rPr>
          <w:rFonts w:hint="eastAsia" w:ascii="Times New Roman" w:hAnsi="Times New Roman" w:eastAsia="仿宋_GB2312" w:cs="Times New Roman"/>
          <w:kern w:val="2"/>
          <w:sz w:val="32"/>
          <w:szCs w:val="32"/>
          <w:lang w:val="en-US" w:eastAsia="zh-CN" w:bidi="ar-SA"/>
        </w:rPr>
        <w:t>23</w:t>
      </w:r>
      <w:r>
        <w:rPr>
          <w:rFonts w:hint="default" w:ascii="Times New Roman" w:hAnsi="Times New Roman" w:eastAsia="仿宋_GB2312" w:cs="Times New Roman"/>
          <w:kern w:val="2"/>
          <w:sz w:val="32"/>
          <w:szCs w:val="32"/>
          <w:lang w:val="en-US" w:eastAsia="zh-CN" w:bidi="ar-SA"/>
        </w:rPr>
        <w:t>年政务公开工作方案》</w:t>
      </w:r>
      <w:r>
        <w:rPr>
          <w:rFonts w:hint="eastAsia" w:ascii="Times New Roman" w:hAnsi="Times New Roman" w:eastAsia="仿宋_GB2312" w:cs="Times New Roman"/>
          <w:kern w:val="2"/>
          <w:sz w:val="32"/>
          <w:szCs w:val="32"/>
          <w:lang w:val="en-US" w:eastAsia="zh-CN" w:bidi="ar-SA"/>
        </w:rPr>
        <w:t>，将本单位承担的工作任务细化到相关局属单位及科室，明确时限要求，按时调度上报，各项工作均落实到位。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p>
    <w:p>
      <w:pPr>
        <w:rPr>
          <w:rFonts w:hint="default" w:ascii="Times New Roman" w:hAnsi="Times New Roman" w:eastAsia="仿宋_GB2312" w:cs="Times New Roman"/>
          <w:sz w:val="32"/>
          <w:szCs w:val="32"/>
        </w:rPr>
      </w:pPr>
    </w:p>
    <w:p>
      <w:pPr>
        <w:rPr>
          <w:rFonts w:hint="default" w:ascii="Times New Roman" w:hAnsi="Times New Roman" w:cs="Times New Roma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EF0F01"/>
    <w:rsid w:val="10E30365"/>
    <w:rsid w:val="16580A77"/>
    <w:rsid w:val="1A440DAF"/>
    <w:rsid w:val="1A59253A"/>
    <w:rsid w:val="1AEF0F01"/>
    <w:rsid w:val="1D06773B"/>
    <w:rsid w:val="2D3D079B"/>
    <w:rsid w:val="43A26535"/>
    <w:rsid w:val="44706FDE"/>
    <w:rsid w:val="4FA6604B"/>
    <w:rsid w:val="57226A36"/>
    <w:rsid w:val="5D3D3F5C"/>
    <w:rsid w:val="6EF14E2A"/>
    <w:rsid w:val="7126292F"/>
    <w:rsid w:val="73284581"/>
    <w:rsid w:val="7CDF3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楷体_GB2312" panose="02010609030101010101" charset="-122"/>
                <a:ea typeface="楷体_GB2312" panose="02010609030101010101" charset="-122"/>
              </a:rPr>
              <a:t>县文旅局近三年政府信息公开申请</a:t>
            </a:r>
            <a:r>
              <a:rPr>
                <a:latin typeface="楷体_GB2312" panose="02010609030101010101" charset="-122"/>
                <a:ea typeface="楷体_GB2312" panose="02010609030101010101" charset="-122"/>
              </a:rPr>
              <a:t>数量</a:t>
            </a:r>
            <a:endParaRPr>
              <a:latin typeface="楷体_GB2312" panose="02010609030101010101" charset="-122"/>
              <a:ea typeface="楷体_GB2312" panose="02010609030101010101" charset="-122"/>
            </a:endParaRPr>
          </a:p>
        </c:rich>
      </c:tx>
      <c:layout/>
      <c:overlay val="0"/>
      <c:spPr>
        <a:noFill/>
        <a:ln>
          <a:noFill/>
        </a:ln>
        <a:effectLst/>
      </c:spPr>
    </c:title>
    <c:autoTitleDeleted val="0"/>
    <c:plotArea>
      <c:layout>
        <c:manualLayout>
          <c:layoutTarget val="inner"/>
          <c:xMode val="edge"/>
          <c:yMode val="edge"/>
          <c:x val="0.0744718309859155"/>
          <c:y val="0.196848359597003"/>
          <c:w val="0.895451877934272"/>
          <c:h val="0.561198656677861"/>
        </c:manualLayout>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2023年</c:v>
                </c:pt>
                <c:pt idx="1">
                  <c:v>2022年</c:v>
                </c:pt>
                <c:pt idx="2">
                  <c:v>2021年</c:v>
                </c:pt>
              </c:strCache>
            </c:strRef>
          </c:cat>
          <c:val>
            <c:numRef>
              <c:f>Sheet1!$B$2:$B$4</c:f>
              <c:numCache>
                <c:formatCode>General</c:formatCode>
                <c:ptCount val="3"/>
              </c:numCache>
            </c:numRef>
          </c:val>
        </c:ser>
        <c:ser>
          <c:idx val="1"/>
          <c:order val="1"/>
          <c:tx>
            <c:strRef>
              <c:f>Sheet1!$C$1</c:f>
              <c:strCache>
                <c:ptCount val="1"/>
                <c:pt idx="0">
                  <c:v>政府信息公开申请数量</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2023年</c:v>
                </c:pt>
                <c:pt idx="1">
                  <c:v>2022年</c:v>
                </c:pt>
                <c:pt idx="2">
                  <c:v>2021年</c:v>
                </c:pt>
              </c:strCache>
            </c:strRef>
          </c:cat>
          <c:val>
            <c:numRef>
              <c:f>Sheet1!$C$2:$C$4</c:f>
              <c:numCache>
                <c:formatCode>General</c:formatCode>
                <c:ptCount val="3"/>
                <c:pt idx="0">
                  <c:v>0</c:v>
                </c:pt>
                <c:pt idx="1">
                  <c:v>0</c:v>
                </c:pt>
                <c:pt idx="2">
                  <c:v>1</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2023年</c:v>
                </c:pt>
                <c:pt idx="1">
                  <c:v>2022年</c:v>
                </c:pt>
                <c:pt idx="2">
                  <c:v>2021年</c:v>
                </c:pt>
              </c:strCache>
            </c:strRef>
          </c:cat>
          <c:val>
            <c:numRef>
              <c:f>Sheet1!$D$2:$D$4</c:f>
              <c:numCache>
                <c:formatCode>General</c:formatCode>
                <c:ptCount val="3"/>
              </c:numCache>
            </c:numRef>
          </c:val>
        </c:ser>
        <c:dLbls>
          <c:showLegendKey val="0"/>
          <c:showVal val="1"/>
          <c:showCatName val="0"/>
          <c:showSerName val="0"/>
          <c:showPercent val="0"/>
          <c:showBubbleSize val="0"/>
        </c:dLbls>
        <c:gapWidth val="219"/>
        <c:overlap val="-27"/>
        <c:axId val="250694388"/>
        <c:axId val="956327020"/>
      </c:barChart>
      <c:catAx>
        <c:axId val="2506943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6327020"/>
        <c:crosses val="autoZero"/>
        <c:auto val="1"/>
        <c:lblAlgn val="ctr"/>
        <c:lblOffset val="100"/>
        <c:noMultiLvlLbl val="0"/>
      </c:catAx>
      <c:valAx>
        <c:axId val="9563270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0694388"/>
        <c:crosses val="autoZero"/>
        <c:crossBetween val="between"/>
      </c:valAx>
      <c:spPr>
        <a:noFill/>
        <a:ln>
          <a:noFill/>
        </a:ln>
        <a:effectLst/>
      </c:spPr>
    </c:plotArea>
    <c:legend>
      <c:legendPos val="b"/>
      <c:legendEntry>
        <c:idx val="0"/>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潮州市饶平县机关及下属单位</Company>
  <Pages>1</Pages>
  <Words>0</Words>
  <Characters>0</Characters>
  <Lines>0</Lines>
  <Paragraphs>0</Paragraphs>
  <TotalTime>13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2024-01-09T07:33:00Z</dcterms:created>
  <dc:creator>user</dc:creator>
  <cp:lastModifiedBy>user</cp:lastModifiedBy>
  <dcterms:modified xsi:type="dcterms:W3CDTF">2024-01-23T03:46:07Z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