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沂源县商务局流通业发展科</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2020年度随机抽查事项清单</w:t>
      </w:r>
    </w:p>
    <w:p>
      <w:pPr>
        <w:jc w:val="center"/>
        <w:rPr>
          <w:rFonts w:hint="eastAsia"/>
          <w:lang w:val="en-US" w:eastAsia="zh-CN"/>
        </w:rPr>
      </w:pPr>
    </w:p>
    <w:tbl>
      <w:tblPr>
        <w:tblStyle w:val="4"/>
        <w:tblW w:w="15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025"/>
        <w:gridCol w:w="1320"/>
        <w:gridCol w:w="4965"/>
        <w:gridCol w:w="4361"/>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8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序号</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事项名称</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事项类型</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设定、行使依据</w:t>
            </w:r>
          </w:p>
        </w:tc>
        <w:tc>
          <w:tcPr>
            <w:tcW w:w="43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检查内容</w:t>
            </w: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备注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1</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单用途商业预付卡监督检查</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行政检查</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 xml:space="preserve"> 《单用途商业预付卡管理办法（试行）》中华人民共和国商务部令2012年第9号</w:t>
            </w:r>
          </w:p>
        </w:tc>
        <w:tc>
          <w:tcPr>
            <w:tcW w:w="43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三项制度执行情况：实名登记制度、限额发行制度、非现金购卡制度。</w:t>
            </w: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exact"/>
          <w:jc w:val="center"/>
        </w:trPr>
        <w:tc>
          <w:tcPr>
            <w:tcW w:w="8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2</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对汽车销售及其相关服务活动的检查</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行政检查</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i w:val="0"/>
                <w:caps w:val="0"/>
                <w:color w:val="auto"/>
                <w:spacing w:val="0"/>
                <w:sz w:val="21"/>
                <w:szCs w:val="21"/>
              </w:rPr>
              <w:t>《汽车销售管理办法》（2017年4月商务部令2017年第1号</w:t>
            </w:r>
          </w:p>
        </w:tc>
        <w:tc>
          <w:tcPr>
            <w:tcW w:w="43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汽车销售及其相关服务活动。</w:t>
            </w: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exact"/>
          <w:jc w:val="center"/>
        </w:trPr>
        <w:tc>
          <w:tcPr>
            <w:tcW w:w="8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3</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对二手车交易市场经营者经营行为的检查</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行政检查</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《二手车流通管理办法》（商务部、公安部、国家工商总局、国家税务总局2005年第2号令）</w:t>
            </w:r>
          </w:p>
        </w:tc>
        <w:tc>
          <w:tcPr>
            <w:tcW w:w="43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二手车经销企业销售二手车时是否向买方提供质量保证及售后服务承诺并在经营场所予以明示；二手车交易市场经营者和二手车经营主体是否建立完整的二手车交易购销、买卖、拍卖、经纪档案等；二手车交易市场经营者和二手车经营主体是否自取得营业执照之日起2个月内向省级商务主管部门备案；二手车交易市场经营者和二手车经营主体是否定期将二手车交易量、交易额等信息通过所在地商务主管部门报送省级商务主管部门等。</w:t>
            </w: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1"/>
                <w:szCs w:val="21"/>
                <w:vertAlign w:val="baseline"/>
                <w:lang w:val="en-US" w:eastAsia="zh-CN"/>
              </w:rPr>
            </w:pPr>
          </w:p>
        </w:tc>
      </w:tr>
    </w:tbl>
    <w:p>
      <w:pPr>
        <w:jc w:val="center"/>
        <w:rPr>
          <w:rFonts w:hint="eastAsia"/>
          <w:lang w:val="en-US" w:eastAsia="zh-CN"/>
        </w:rPr>
      </w:pPr>
    </w:p>
    <w:p/>
    <w:sectPr>
      <w:pgSz w:w="16838" w:h="11906" w:orient="landscape"/>
      <w:pgMar w:top="1179" w:right="873" w:bottom="1179"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00D67"/>
    <w:rsid w:val="3BC569C2"/>
    <w:rsid w:val="3C194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2020-12-09T02:22:00Z</dcterms:created>
  <dc:creator>Administrator</dc:creator>
  <cp:lastModifiedBy>Administrator</cp:lastModifiedBy>
  <dcterms:modified xsi:type="dcterms:W3CDTF">2020-12-09T04:30:12Z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