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5"/>
          <w:rFonts w:hint="eastAsia" w:ascii="方正小标宋简体" w:hAnsi="方正小标宋简体" w:eastAsia="方正小标宋简体" w:cs="方正小标宋简体"/>
          <w:sz w:val="44"/>
          <w:szCs w:val="44"/>
          <w:lang w:eastAsia="zh-CN"/>
        </w:rPr>
      </w:pPr>
      <w:r>
        <w:rPr>
          <w:rStyle w:val="5"/>
          <w:rFonts w:hint="eastAsia" w:ascii="方正小标宋简体" w:hAnsi="方正小标宋简体" w:eastAsia="方正小标宋简体" w:cs="方正小标宋简体"/>
          <w:sz w:val="44"/>
          <w:szCs w:val="44"/>
          <w:lang w:eastAsia="zh-CN"/>
        </w:rPr>
        <w:t>淄博市生态环境局沂源分局</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Style w:val="5"/>
          <w:rFonts w:hint="eastAsia" w:ascii="方正小标宋简体" w:hAnsi="方正小标宋简体" w:eastAsia="方正小标宋简体" w:cs="方正小标宋简体"/>
          <w:sz w:val="44"/>
          <w:szCs w:val="44"/>
        </w:rPr>
        <w:t>2019年政府信息公开工作年度报告</w:t>
      </w:r>
      <w:r>
        <w:rPr>
          <w:rStyle w:val="5"/>
          <w:rFonts w:hint="eastAsia" w:ascii="方正小标宋简体" w:hAnsi="方正小标宋简体" w:eastAsia="方正小标宋简体" w:cs="方正小标宋简体"/>
          <w:sz w:val="44"/>
          <w:szCs w:val="44"/>
          <w:lang w:eastAsia="zh-CN"/>
        </w:rPr>
        <w:t>解读</w:t>
      </w:r>
    </w:p>
    <w:p>
      <w:pPr>
        <w:pStyle w:val="2"/>
        <w:keepNext w:val="0"/>
        <w:keepLines w:val="0"/>
        <w:widowControl/>
        <w:numPr>
          <w:ilvl w:val="0"/>
          <w:numId w:val="0"/>
        </w:numPr>
        <w:suppressLineNumbers w:val="0"/>
        <w:ind w:left="413" w:leftChars="0" w:right="0" w:rightChars="0"/>
        <w:rPr>
          <w:rStyle w:val="5"/>
          <w:rFonts w:hint="eastAsia" w:ascii="黑体" w:hAnsi="宋体" w:eastAsia="黑体" w:cs="黑体"/>
          <w:sz w:val="31"/>
          <w:szCs w:val="31"/>
          <w:lang w:eastAsia="zh-CN"/>
        </w:rPr>
      </w:pPr>
    </w:p>
    <w:p>
      <w:pPr>
        <w:pStyle w:val="2"/>
        <w:keepNext w:val="0"/>
        <w:keepLines w:val="0"/>
        <w:widowControl/>
        <w:numPr>
          <w:ilvl w:val="0"/>
          <w:numId w:val="0"/>
        </w:numPr>
        <w:suppressLineNumbers w:val="0"/>
        <w:ind w:left="413" w:leftChars="0" w:right="0" w:rightChars="0"/>
        <w:rPr>
          <w:rStyle w:val="5"/>
          <w:rFonts w:hint="eastAsia" w:ascii="黑体" w:hAnsi="宋体" w:eastAsia="黑体" w:cs="黑体"/>
          <w:sz w:val="31"/>
          <w:szCs w:val="31"/>
          <w:lang w:eastAsia="zh-CN"/>
        </w:rPr>
      </w:pPr>
      <w:r>
        <w:rPr>
          <w:rStyle w:val="5"/>
          <w:rFonts w:hint="eastAsia" w:ascii="黑体" w:hAnsi="宋体" w:eastAsia="黑体" w:cs="黑体"/>
          <w:sz w:val="31"/>
          <w:szCs w:val="31"/>
          <w:lang w:eastAsia="zh-CN"/>
        </w:rPr>
        <w:t>一、起草背景</w:t>
      </w:r>
    </w:p>
    <w:p>
      <w:pPr>
        <w:numPr>
          <w:ilvl w:val="0"/>
          <w:numId w:val="0"/>
        </w:numPr>
        <w:ind w:firstLine="622" w:firstLineChars="200"/>
        <w:rPr>
          <w:rStyle w:val="5"/>
          <w:rFonts w:hint="eastAsia" w:ascii="仿宋" w:hAnsi="仿宋" w:eastAsia="仿宋" w:cs="仿宋"/>
          <w:color w:val="FF0000"/>
          <w:sz w:val="31"/>
          <w:szCs w:val="31"/>
          <w:lang w:eastAsia="zh-CN"/>
        </w:rPr>
      </w:pPr>
      <w:r>
        <w:rPr>
          <w:rStyle w:val="5"/>
          <w:rFonts w:hint="eastAsia" w:ascii="仿宋" w:hAnsi="仿宋" w:eastAsia="仿宋" w:cs="仿宋"/>
          <w:color w:val="auto"/>
          <w:sz w:val="31"/>
          <w:szCs w:val="31"/>
          <w:lang w:eastAsia="zh-CN"/>
        </w:rPr>
        <w:t>根据新修订</w:t>
      </w:r>
      <w:r>
        <w:rPr>
          <w:rStyle w:val="5"/>
          <w:rFonts w:ascii="仿宋" w:hAnsi="仿宋" w:eastAsia="仿宋" w:cs="仿宋"/>
          <w:color w:val="auto"/>
          <w:sz w:val="31"/>
          <w:szCs w:val="31"/>
        </w:rPr>
        <w:t>的《中华人民共和国政府信息公开条例》（以下简称《条例》）和《山东省政府信息公开办法》（以下简称《办法》）</w:t>
      </w:r>
      <w:r>
        <w:rPr>
          <w:rStyle w:val="5"/>
          <w:rFonts w:hint="eastAsia" w:ascii="仿宋" w:hAnsi="仿宋" w:eastAsia="仿宋" w:cs="仿宋"/>
          <w:color w:val="auto"/>
          <w:sz w:val="31"/>
          <w:szCs w:val="31"/>
          <w:lang w:eastAsia="zh-CN"/>
        </w:rPr>
        <w:t>要求和沂源县人民政府办公室《关于政府信息公开工作年度报告和政府信息公开指南有关事项的通知》等相关文件要求编制本报告。</w:t>
      </w:r>
      <w:r>
        <w:rPr>
          <w:rStyle w:val="5"/>
          <w:rFonts w:hint="eastAsia" w:ascii="仿宋" w:hAnsi="仿宋" w:eastAsia="仿宋" w:cs="仿宋"/>
          <w:color w:val="auto"/>
          <w:sz w:val="31"/>
          <w:szCs w:val="31"/>
        </w:rPr>
        <w:t>报告全文由总体情况、主动公开政府信息情况、收到和处理政府信息公开申请情况、因政府信息公开工作被申请行政复议与提起行政诉讼情况、政府信息公开工作存在的主要问题及改进情况等部分组成。</w:t>
      </w:r>
    </w:p>
    <w:p>
      <w:pPr>
        <w:pStyle w:val="2"/>
        <w:widowControl/>
        <w:spacing w:line="560" w:lineRule="exact"/>
        <w:ind w:firstLine="707" w:firstLineChars="220"/>
        <w:rPr>
          <w:rStyle w:val="5"/>
          <w:rFonts w:ascii="黑体" w:hAnsi="黑体" w:eastAsia="黑体" w:cs="黑体"/>
          <w:sz w:val="32"/>
          <w:szCs w:val="32"/>
        </w:rPr>
      </w:pPr>
      <w:r>
        <w:rPr>
          <w:rStyle w:val="5"/>
          <w:rFonts w:hint="eastAsia" w:ascii="黑体" w:hAnsi="黑体" w:eastAsia="黑体" w:cs="黑体"/>
          <w:sz w:val="32"/>
          <w:szCs w:val="32"/>
          <w:lang w:eastAsia="zh-CN"/>
        </w:rPr>
        <w:t>二</w:t>
      </w:r>
      <w:r>
        <w:rPr>
          <w:rStyle w:val="5"/>
          <w:rFonts w:hint="eastAsia" w:ascii="黑体" w:hAnsi="黑体" w:eastAsia="黑体" w:cs="黑体"/>
          <w:sz w:val="32"/>
          <w:szCs w:val="32"/>
        </w:rPr>
        <w:t>、总体情况</w:t>
      </w:r>
    </w:p>
    <w:p>
      <w:pPr>
        <w:pStyle w:val="2"/>
        <w:widowControl/>
        <w:spacing w:line="560" w:lineRule="exact"/>
        <w:ind w:firstLine="707" w:firstLineChars="220"/>
        <w:rPr>
          <w:rStyle w:val="5"/>
          <w:rFonts w:ascii="仿宋_GB2312" w:hAnsi="宋体" w:eastAsia="仿宋_GB2312" w:cs="黑体"/>
          <w:sz w:val="32"/>
          <w:szCs w:val="32"/>
        </w:rPr>
      </w:pPr>
      <w:r>
        <w:rPr>
          <w:rStyle w:val="5"/>
          <w:rFonts w:hint="eastAsia" w:ascii="仿宋_GB2312" w:hAnsi="宋体" w:eastAsia="仿宋_GB2312" w:cs="黑体"/>
          <w:sz w:val="32"/>
          <w:szCs w:val="32"/>
        </w:rPr>
        <w:t>2019年，我局在县委、县政府的正确领导下，认真贯彻落实国家、省、市、县关于政府信息公开的法律、法规和规章的有关规定，认真贯彻《关于政府信息公开工作年度报告有关事项的通知》（国办公开函〔2019〕60号）文件精神，不断建立健全政府信息公开的制度和规定，切实加大信息公开力度，全方位推进政府信息公开工作，政府信息公开工作得到进一步的规范管理。</w:t>
      </w:r>
    </w:p>
    <w:p>
      <w:pPr>
        <w:pStyle w:val="2"/>
        <w:widowControl/>
        <w:spacing w:line="560" w:lineRule="exact"/>
        <w:ind w:firstLine="707" w:firstLineChars="220"/>
        <w:rPr>
          <w:rStyle w:val="5"/>
          <w:rFonts w:ascii="楷体_GB2312" w:hAnsi="宋体" w:eastAsia="楷体_GB2312" w:cs="黑体"/>
          <w:sz w:val="32"/>
          <w:szCs w:val="32"/>
        </w:rPr>
      </w:pPr>
      <w:r>
        <w:rPr>
          <w:rStyle w:val="5"/>
          <w:rFonts w:hint="eastAsia" w:ascii="楷体_GB2312" w:hAnsi="宋体" w:eastAsia="楷体_GB2312" w:cs="黑体"/>
          <w:sz w:val="32"/>
          <w:szCs w:val="32"/>
        </w:rPr>
        <w:t>（一）主动公开内容</w:t>
      </w:r>
    </w:p>
    <w:p>
      <w:pPr>
        <w:pStyle w:val="2"/>
        <w:widowControl/>
        <w:spacing w:line="560" w:lineRule="exact"/>
        <w:ind w:firstLine="707" w:firstLineChars="220"/>
        <w:rPr>
          <w:rStyle w:val="5"/>
          <w:rFonts w:ascii="仿宋_GB2312" w:hAnsi="宋体" w:eastAsia="仿宋_GB2312" w:cs="黑体"/>
          <w:sz w:val="32"/>
          <w:szCs w:val="32"/>
        </w:rPr>
      </w:pPr>
      <w:r>
        <w:rPr>
          <w:rStyle w:val="5"/>
          <w:rFonts w:hint="eastAsia" w:ascii="仿宋_GB2312" w:hAnsi="宋体" w:eastAsia="仿宋_GB2312" w:cs="黑体"/>
          <w:sz w:val="32"/>
          <w:szCs w:val="32"/>
        </w:rPr>
        <w:t>根据《政府信息公开条例》第二十条规定我局法定主动公开的内容包括机构职能（机构概况、领导分工）、法规文件、重大决策公开（政策解读、重大项目建设、事业单位登记管理信息、行政许可和行政处罚双公示）、行政权力运行公开、重点领域信息公开。</w:t>
      </w:r>
    </w:p>
    <w:p>
      <w:pPr>
        <w:pStyle w:val="2"/>
        <w:widowControl/>
        <w:spacing w:line="560" w:lineRule="exact"/>
        <w:ind w:firstLine="707" w:firstLineChars="220"/>
        <w:rPr>
          <w:rStyle w:val="5"/>
          <w:rFonts w:ascii="楷体_GB2312" w:hAnsi="宋体" w:eastAsia="楷体_GB2312" w:cs="黑体"/>
          <w:sz w:val="32"/>
          <w:szCs w:val="32"/>
        </w:rPr>
      </w:pPr>
      <w:r>
        <w:rPr>
          <w:rStyle w:val="5"/>
          <w:rFonts w:hint="eastAsia" w:ascii="楷体_GB2312" w:hAnsi="宋体" w:eastAsia="楷体_GB2312" w:cs="黑体"/>
          <w:sz w:val="32"/>
          <w:szCs w:val="32"/>
        </w:rPr>
        <w:t>（二）依申请公开情况</w:t>
      </w:r>
    </w:p>
    <w:p>
      <w:pPr>
        <w:pStyle w:val="2"/>
        <w:widowControl/>
        <w:spacing w:line="560" w:lineRule="exact"/>
        <w:ind w:firstLine="707" w:firstLineChars="220"/>
        <w:rPr>
          <w:rStyle w:val="5"/>
          <w:rFonts w:ascii="仿宋_GB2312" w:hAnsi="宋体" w:eastAsia="仿宋_GB2312" w:cs="黑体"/>
          <w:sz w:val="32"/>
          <w:szCs w:val="32"/>
        </w:rPr>
      </w:pPr>
      <w:r>
        <w:rPr>
          <w:rStyle w:val="5"/>
          <w:rFonts w:hint="eastAsia" w:ascii="仿宋_GB2312" w:hAnsi="宋体" w:eastAsia="仿宋_GB2312" w:cs="黑体"/>
          <w:sz w:val="32"/>
          <w:szCs w:val="32"/>
        </w:rPr>
        <w:t>无</w:t>
      </w:r>
    </w:p>
    <w:p>
      <w:pPr>
        <w:pStyle w:val="2"/>
        <w:widowControl/>
        <w:spacing w:line="560" w:lineRule="exact"/>
        <w:ind w:firstLine="707" w:firstLineChars="220"/>
        <w:rPr>
          <w:rStyle w:val="5"/>
          <w:rFonts w:ascii="楷体_GB2312" w:hAnsi="宋体" w:eastAsia="楷体_GB2312" w:cs="黑体"/>
          <w:sz w:val="32"/>
          <w:szCs w:val="32"/>
        </w:rPr>
      </w:pPr>
      <w:r>
        <w:rPr>
          <w:rStyle w:val="5"/>
          <w:rFonts w:hint="eastAsia" w:ascii="楷体_GB2312" w:hAnsi="宋体" w:eastAsia="楷体_GB2312" w:cs="黑体"/>
          <w:sz w:val="32"/>
          <w:szCs w:val="32"/>
        </w:rPr>
        <w:t>（三）政府信息管理情况</w:t>
      </w:r>
    </w:p>
    <w:p>
      <w:pPr>
        <w:pStyle w:val="2"/>
        <w:widowControl/>
        <w:spacing w:line="560" w:lineRule="exact"/>
        <w:ind w:firstLine="707" w:firstLineChars="220"/>
        <w:rPr>
          <w:rStyle w:val="5"/>
          <w:rFonts w:ascii="仿宋_GB2312" w:hAnsi="宋体" w:eastAsia="仿宋_GB2312" w:cs="黑体"/>
          <w:sz w:val="32"/>
          <w:szCs w:val="32"/>
        </w:rPr>
      </w:pPr>
      <w:r>
        <w:rPr>
          <w:rStyle w:val="5"/>
          <w:rFonts w:hint="eastAsia" w:ascii="仿宋_GB2312" w:hAnsi="宋体" w:eastAsia="仿宋_GB2312" w:cs="黑体"/>
          <w:sz w:val="32"/>
          <w:szCs w:val="32"/>
        </w:rPr>
        <w:t>一是强化组织领导。我局领导高度重视政府信息公开工作，召开信息公开工作专题会议，下发了《2019年信息宣传及调研工作安排意见》，明确局长总负责、分管副局长牵头部署、有关单位具体落实的工作体制，为政府信息公开工作的顺利开展提供了组织和人员保障。二是加强制度建设。为规范政府信息公开的内容、途径和形式，提高政府信息公开工作的针对性和实效性，依据信息公开的有关要求，明确了信息公开范围、时间、程序，建立起完善的发布协调平台机制，保证了全年政府公开信息报送工作的及时和完整，大力推进公文的发布和公开，切实把需要公开的有关信息经保密审查后及时予以发布。</w:t>
      </w:r>
    </w:p>
    <w:p>
      <w:pPr>
        <w:pStyle w:val="2"/>
        <w:widowControl/>
        <w:spacing w:line="560" w:lineRule="exact"/>
        <w:ind w:firstLine="707" w:firstLineChars="220"/>
        <w:rPr>
          <w:rStyle w:val="5"/>
          <w:rFonts w:ascii="楷体_GB2312" w:hAnsi="宋体" w:eastAsia="楷体_GB2312" w:cs="黑体"/>
          <w:sz w:val="32"/>
          <w:szCs w:val="32"/>
        </w:rPr>
      </w:pPr>
      <w:r>
        <w:rPr>
          <w:rStyle w:val="5"/>
          <w:rFonts w:hint="eastAsia" w:ascii="楷体_GB2312" w:hAnsi="宋体" w:eastAsia="楷体_GB2312" w:cs="黑体"/>
          <w:sz w:val="32"/>
          <w:szCs w:val="32"/>
        </w:rPr>
        <w:t>（四）政府信息公开平台、机构建设和人员情况</w:t>
      </w:r>
    </w:p>
    <w:p>
      <w:pPr>
        <w:pStyle w:val="2"/>
        <w:widowControl/>
        <w:spacing w:line="560" w:lineRule="exact"/>
        <w:ind w:firstLine="707" w:firstLineChars="220"/>
        <w:rPr>
          <w:rStyle w:val="5"/>
          <w:rFonts w:ascii="仿宋_GB2312" w:hAnsi="宋体" w:eastAsia="仿宋_GB2312" w:cs="黑体"/>
          <w:sz w:val="32"/>
          <w:szCs w:val="32"/>
        </w:rPr>
      </w:pPr>
      <w:r>
        <w:rPr>
          <w:rStyle w:val="5"/>
          <w:rFonts w:hint="eastAsia" w:ascii="仿宋_GB2312" w:hAnsi="宋体" w:eastAsia="仿宋_GB2312" w:cs="黑体"/>
          <w:sz w:val="32"/>
          <w:szCs w:val="32"/>
        </w:rPr>
        <w:t>我局按照上级工作要求，明确了沂源县交通局办公室为政务公开工作负责机构，并配备了政务公开工作兼职人员</w:t>
      </w:r>
      <w:r>
        <w:rPr>
          <w:rStyle w:val="5"/>
          <w:rFonts w:hint="eastAsia" w:ascii="仿宋_GB2312" w:hAnsi="宋体" w:eastAsia="仿宋_GB2312" w:cs="黑体"/>
          <w:sz w:val="32"/>
          <w:szCs w:val="32"/>
          <w:lang w:val="en-US" w:eastAsia="zh-CN"/>
        </w:rPr>
        <w:t>1</w:t>
      </w:r>
      <w:r>
        <w:rPr>
          <w:rStyle w:val="5"/>
          <w:rFonts w:hint="eastAsia" w:ascii="仿宋_GB2312" w:hAnsi="宋体" w:eastAsia="仿宋_GB2312" w:cs="黑体"/>
          <w:sz w:val="32"/>
          <w:szCs w:val="32"/>
        </w:rPr>
        <w:t>名，负责指导、协调、推进、监督政府信息公开工作，承办</w:t>
      </w:r>
      <w:r>
        <w:rPr>
          <w:rStyle w:val="5"/>
          <w:rFonts w:hint="eastAsia" w:ascii="仿宋_GB2312" w:hAnsi="宋体" w:eastAsia="仿宋_GB2312" w:cs="黑体"/>
          <w:sz w:val="32"/>
          <w:szCs w:val="32"/>
          <w:lang w:eastAsia="zh-CN"/>
        </w:rPr>
        <w:t>淄博市生态环境局沂源分局</w:t>
      </w:r>
      <w:r>
        <w:rPr>
          <w:rStyle w:val="5"/>
          <w:rFonts w:hint="eastAsia" w:ascii="仿宋_GB2312" w:hAnsi="宋体" w:eastAsia="仿宋_GB2312" w:cs="黑体"/>
          <w:sz w:val="32"/>
          <w:szCs w:val="32"/>
        </w:rPr>
        <w:t>政府信息主动公开工作，组织协调拟公开政府信息的保密审查工作。</w:t>
      </w:r>
    </w:p>
    <w:p>
      <w:pPr>
        <w:pStyle w:val="2"/>
        <w:widowControl/>
        <w:spacing w:line="560" w:lineRule="exact"/>
        <w:ind w:firstLine="707" w:firstLineChars="220"/>
        <w:rPr>
          <w:rStyle w:val="5"/>
          <w:rFonts w:ascii="楷体_GB2312" w:hAnsi="宋体" w:eastAsia="楷体_GB2312" w:cs="黑体"/>
          <w:sz w:val="32"/>
          <w:szCs w:val="32"/>
        </w:rPr>
      </w:pPr>
      <w:r>
        <w:rPr>
          <w:rStyle w:val="5"/>
          <w:rFonts w:hint="eastAsia" w:ascii="楷体_GB2312" w:hAnsi="宋体" w:eastAsia="楷体_GB2312" w:cs="黑体"/>
          <w:sz w:val="32"/>
          <w:szCs w:val="32"/>
        </w:rPr>
        <w:t>（五）监督保障情况</w:t>
      </w:r>
    </w:p>
    <w:p>
      <w:pPr>
        <w:pStyle w:val="2"/>
        <w:widowControl/>
        <w:spacing w:line="560" w:lineRule="exact"/>
        <w:ind w:firstLine="707" w:firstLineChars="220"/>
        <w:rPr>
          <w:rStyle w:val="5"/>
          <w:rFonts w:ascii="仿宋_GB2312" w:hAnsi="宋体" w:eastAsia="仿宋_GB2312" w:cs="黑体"/>
          <w:sz w:val="32"/>
          <w:szCs w:val="32"/>
        </w:rPr>
      </w:pPr>
      <w:r>
        <w:rPr>
          <w:rStyle w:val="5"/>
          <w:rFonts w:hint="eastAsia" w:ascii="仿宋_GB2312" w:hAnsi="宋体" w:eastAsia="仿宋_GB2312" w:cs="黑体"/>
          <w:sz w:val="32"/>
          <w:szCs w:val="32"/>
        </w:rPr>
        <w:t>一是加强安全防护，严格执行网络安全法等法律法规，提高安全防护能力。强化用户信息安全保护，保障用户权益，采取严格的防范措施，确保政府网络安全运行。二是建立健全监督制度，强化督导落实。进一步完善政府信息公开保密审查制度、政府信息公开责任追究制度，并抓好各项制度的督查落实。</w:t>
      </w:r>
    </w:p>
    <w:p>
      <w:pPr>
        <w:pStyle w:val="2"/>
        <w:widowControl/>
        <w:spacing w:line="560" w:lineRule="exact"/>
        <w:ind w:firstLine="707" w:firstLineChars="220"/>
        <w:rPr>
          <w:rStyle w:val="5"/>
          <w:rFonts w:ascii="楷体_GB2312" w:hAnsi="宋体" w:eastAsia="楷体_GB2312" w:cs="黑体"/>
          <w:sz w:val="32"/>
          <w:szCs w:val="32"/>
        </w:rPr>
      </w:pPr>
      <w:r>
        <w:rPr>
          <w:rStyle w:val="5"/>
          <w:rFonts w:hint="eastAsia" w:ascii="楷体_GB2312" w:hAnsi="宋体" w:eastAsia="楷体_GB2312" w:cs="黑体"/>
          <w:sz w:val="32"/>
          <w:szCs w:val="32"/>
        </w:rPr>
        <w:t xml:space="preserve">（六）建议提案办理结果公开情况 </w:t>
      </w:r>
    </w:p>
    <w:p>
      <w:pPr>
        <w:pStyle w:val="2"/>
        <w:widowControl/>
        <w:ind w:firstLine="630" w:firstLineChars="196"/>
        <w:rPr>
          <w:rStyle w:val="5"/>
          <w:rFonts w:hint="eastAsia" w:ascii="仿宋_GB2312" w:hAnsi="宋体" w:eastAsia="仿宋_GB2312" w:cs="黑体"/>
          <w:sz w:val="32"/>
          <w:szCs w:val="32"/>
          <w:lang w:eastAsia="zh-CN"/>
        </w:rPr>
      </w:pPr>
      <w:r>
        <w:rPr>
          <w:rStyle w:val="5"/>
          <w:rFonts w:hint="eastAsia" w:ascii="仿宋_GB2312" w:hAnsi="宋体" w:eastAsia="仿宋_GB2312" w:cs="黑体"/>
          <w:sz w:val="32"/>
          <w:szCs w:val="32"/>
          <w:lang w:eastAsia="zh-CN"/>
        </w:rPr>
        <w:t>无</w:t>
      </w:r>
    </w:p>
    <w:p>
      <w:pPr>
        <w:pStyle w:val="2"/>
        <w:widowControl/>
        <w:ind w:firstLine="610" w:firstLineChars="196"/>
      </w:pPr>
      <w:r>
        <w:rPr>
          <w:rStyle w:val="5"/>
          <w:rFonts w:hint="eastAsia" w:ascii="黑体" w:hAnsi="宋体" w:eastAsia="黑体" w:cs="黑体"/>
          <w:sz w:val="31"/>
          <w:szCs w:val="31"/>
          <w:lang w:eastAsia="zh-CN"/>
        </w:rPr>
        <w:t>三</w:t>
      </w:r>
      <w:r>
        <w:rPr>
          <w:rStyle w:val="5"/>
          <w:rFonts w:hint="eastAsia" w:ascii="黑体" w:hAnsi="宋体" w:eastAsia="黑体" w:cs="黑体"/>
          <w:sz w:val="31"/>
          <w:szCs w:val="31"/>
        </w:rPr>
        <w:t>、主动公开政府信息情况</w:t>
      </w:r>
    </w:p>
    <w:tbl>
      <w:tblPr>
        <w:tblStyle w:val="3"/>
        <w:tblW w:w="8140" w:type="dxa"/>
        <w:tblInd w:w="93" w:type="dxa"/>
        <w:shd w:val="clear" w:color="auto" w:fill="E6F4FF"/>
        <w:tblLayout w:type="fixed"/>
        <w:tblCellMar>
          <w:top w:w="15" w:type="dxa"/>
          <w:left w:w="15" w:type="dxa"/>
          <w:bottom w:w="15" w:type="dxa"/>
          <w:right w:w="15" w:type="dxa"/>
        </w:tblCellMar>
      </w:tblPr>
      <w:tblGrid>
        <w:gridCol w:w="3113"/>
        <w:gridCol w:w="1875"/>
        <w:gridCol w:w="1271"/>
        <w:gridCol w:w="1881"/>
      </w:tblGrid>
      <w:tr>
        <w:tblPrEx>
          <w:shd w:val="clear" w:color="auto" w:fill="E6F4FF"/>
          <w:tblCellMar>
            <w:top w:w="15" w:type="dxa"/>
            <w:left w:w="15" w:type="dxa"/>
            <w:bottom w:w="15" w:type="dxa"/>
            <w:right w:w="15" w:type="dxa"/>
          </w:tblCellMar>
        </w:tblPrEx>
        <w:trPr>
          <w:trHeight w:val="495" w:hRule="atLeast"/>
        </w:trPr>
        <w:tc>
          <w:tcPr>
            <w:tcW w:w="8140" w:type="dxa"/>
            <w:gridSpan w:val="4"/>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第二十条第（一）项</w:t>
            </w:r>
          </w:p>
        </w:tc>
      </w:tr>
      <w:tr>
        <w:tblPrEx>
          <w:tblCellMar>
            <w:top w:w="15" w:type="dxa"/>
            <w:left w:w="15" w:type="dxa"/>
            <w:bottom w:w="15" w:type="dxa"/>
            <w:right w:w="15" w:type="dxa"/>
          </w:tblCellMar>
        </w:tblPrEx>
        <w:trPr>
          <w:trHeight w:val="882"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本年新</w:t>
            </w:r>
            <w:r>
              <w:rPr>
                <w:rFonts w:hint="eastAsia" w:ascii="宋体" w:hAnsi="宋体" w:cs="宋体"/>
                <w:color w:val="000000"/>
                <w:kern w:val="0"/>
                <w:sz w:val="20"/>
                <w:szCs w:val="20"/>
              </w:rPr>
              <w:br w:type="textWrapping"/>
            </w:r>
            <w:r>
              <w:rPr>
                <w:rFonts w:ascii="Segoe UI" w:hAnsi="Segoe UI" w:eastAsia="Segoe UI" w:cs="Segoe UI"/>
                <w:color w:val="000000"/>
                <w:kern w:val="0"/>
                <w:sz w:val="20"/>
                <w:szCs w:val="20"/>
              </w:rPr>
              <w:t>制作数量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本年新</w:t>
            </w:r>
            <w:r>
              <w:rPr>
                <w:rFonts w:hint="eastAsia" w:ascii="宋体" w:hAnsi="宋体" w:cs="宋体"/>
                <w:color w:val="000000"/>
                <w:kern w:val="0"/>
                <w:sz w:val="20"/>
                <w:szCs w:val="20"/>
              </w:rPr>
              <w:br w:type="textWrapping"/>
            </w:r>
            <w:r>
              <w:rPr>
                <w:rFonts w:ascii="Segoe UI" w:hAnsi="Segoe UI" w:eastAsia="Segoe UI" w:cs="Segoe UI"/>
                <w:color w:val="000000"/>
                <w:kern w:val="0"/>
                <w:sz w:val="20"/>
                <w:szCs w:val="20"/>
              </w:rPr>
              <w:t>公开数量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对外公开总数量</w:t>
            </w:r>
          </w:p>
        </w:tc>
      </w:tr>
      <w:tr>
        <w:tblPrEx>
          <w:tblCellMar>
            <w:top w:w="15" w:type="dxa"/>
            <w:left w:w="15" w:type="dxa"/>
            <w:bottom w:w="15" w:type="dxa"/>
            <w:right w:w="15" w:type="dxa"/>
          </w:tblCellMar>
        </w:tblPrEx>
        <w:trPr>
          <w:trHeight w:val="523"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规章</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c>
          <w:tcPr>
            <w:tcW w:w="12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r>
      <w:tr>
        <w:tblPrEx>
          <w:tblCellMar>
            <w:top w:w="15" w:type="dxa"/>
            <w:left w:w="15" w:type="dxa"/>
            <w:bottom w:w="15" w:type="dxa"/>
            <w:right w:w="15" w:type="dxa"/>
          </w:tblCellMar>
        </w:tblPrEx>
        <w:trPr>
          <w:trHeight w:val="471"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规范性文件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c>
          <w:tcPr>
            <w:tcW w:w="12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r>
      <w:tr>
        <w:tblPrEx>
          <w:tblCellMar>
            <w:top w:w="15" w:type="dxa"/>
            <w:left w:w="15" w:type="dxa"/>
            <w:bottom w:w="15" w:type="dxa"/>
            <w:right w:w="15" w:type="dxa"/>
          </w:tblCellMar>
        </w:tblPrEx>
        <w:trPr>
          <w:trHeight w:val="480"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第二十条第（五）项</w:t>
            </w:r>
          </w:p>
        </w:tc>
      </w:tr>
      <w:tr>
        <w:tblPrEx>
          <w:tblCellMar>
            <w:top w:w="15" w:type="dxa"/>
            <w:left w:w="15" w:type="dxa"/>
            <w:bottom w:w="15" w:type="dxa"/>
            <w:right w:w="15" w:type="dxa"/>
          </w:tblCellMar>
        </w:tblPrEx>
        <w:trPr>
          <w:trHeight w:val="634"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上一年项目数量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处理决定数量</w:t>
            </w:r>
          </w:p>
        </w:tc>
      </w:tr>
      <w:tr>
        <w:tblPrEx>
          <w:tblCellMar>
            <w:top w:w="15" w:type="dxa"/>
            <w:left w:w="15" w:type="dxa"/>
            <w:bottom w:w="15" w:type="dxa"/>
            <w:right w:w="15" w:type="dxa"/>
          </w:tblCellMar>
        </w:tblPrEx>
        <w:trPr>
          <w:trHeight w:val="528"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行政许可</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hint="default" w:eastAsia="宋体"/>
                <w:color w:val="00000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160</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w:t>
            </w:r>
          </w:p>
        </w:tc>
      </w:tr>
      <w:tr>
        <w:tblPrEx>
          <w:tblCellMar>
            <w:top w:w="15" w:type="dxa"/>
            <w:left w:w="15" w:type="dxa"/>
            <w:bottom w:w="15" w:type="dxa"/>
            <w:right w:w="15" w:type="dxa"/>
          </w:tblCellMar>
        </w:tblPrEx>
        <w:trPr>
          <w:trHeight w:val="55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其他对外管理服务事项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hint="eastAsia" w:eastAsia="宋体"/>
                <w:color w:val="000000"/>
                <w:lang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eastAsia="zh-CN"/>
              </w:rPr>
              <w:t>无</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w:t>
            </w:r>
          </w:p>
        </w:tc>
      </w:tr>
      <w:tr>
        <w:tblPrEx>
          <w:tblCellMar>
            <w:top w:w="15" w:type="dxa"/>
            <w:left w:w="15" w:type="dxa"/>
            <w:bottom w:w="15" w:type="dxa"/>
            <w:right w:w="15" w:type="dxa"/>
          </w:tblCellMar>
        </w:tblPrEx>
        <w:trPr>
          <w:trHeight w:val="406"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第二十条第（六）项</w:t>
            </w:r>
          </w:p>
        </w:tc>
      </w:tr>
      <w:tr>
        <w:tblPrEx>
          <w:tblCellMar>
            <w:top w:w="15" w:type="dxa"/>
            <w:left w:w="15" w:type="dxa"/>
            <w:bottom w:w="15" w:type="dxa"/>
            <w:right w:w="15" w:type="dxa"/>
          </w:tblCellMar>
        </w:tblPrEx>
        <w:trPr>
          <w:trHeight w:val="634"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上一年项目数量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处理决定数量</w:t>
            </w:r>
          </w:p>
        </w:tc>
      </w:tr>
      <w:tr>
        <w:tblPrEx>
          <w:tblCellMar>
            <w:top w:w="15" w:type="dxa"/>
            <w:left w:w="15" w:type="dxa"/>
            <w:bottom w:w="15" w:type="dxa"/>
            <w:right w:w="15" w:type="dxa"/>
          </w:tblCellMar>
        </w:tblPrEx>
        <w:trPr>
          <w:trHeight w:val="43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行政处罚</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hint="default" w:eastAsia="宋体"/>
                <w:color w:val="000000"/>
                <w:lang w:val="en-US" w:eastAsia="zh-CN"/>
              </w:rPr>
            </w:pPr>
            <w:r>
              <w:rPr>
                <w:rFonts w:hint="eastAsia" w:ascii="宋体" w:hAnsi="宋体" w:cs="宋体"/>
                <w:color w:val="000000"/>
                <w:kern w:val="0"/>
                <w:sz w:val="20"/>
                <w:szCs w:val="20"/>
                <w:lang w:val="en-US" w:eastAsia="zh-CN"/>
              </w:rPr>
              <w:t>123</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p>
        </w:tc>
      </w:tr>
      <w:tr>
        <w:tblPrEx>
          <w:tblCellMar>
            <w:top w:w="15" w:type="dxa"/>
            <w:left w:w="15" w:type="dxa"/>
            <w:bottom w:w="15" w:type="dxa"/>
            <w:right w:w="15" w:type="dxa"/>
          </w:tblCellMar>
        </w:tblPrEx>
        <w:trPr>
          <w:trHeight w:val="409"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行政强制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hint="eastAsia" w:eastAsia="宋体"/>
                <w:color w:val="000000"/>
                <w:lang w:eastAsia="zh-CN"/>
              </w:rPr>
            </w:pPr>
            <w:r>
              <w:rPr>
                <w:rFonts w:hint="eastAsia" w:ascii="宋体" w:hAnsi="宋体" w:cs="宋体"/>
                <w:color w:val="000000"/>
                <w:kern w:val="0"/>
                <w:sz w:val="20"/>
                <w:szCs w:val="20"/>
                <w:lang w:val="en-US" w:eastAsia="zh-CN"/>
              </w:rPr>
              <w:t>2</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p>
        </w:tc>
      </w:tr>
      <w:tr>
        <w:tblPrEx>
          <w:tblCellMar>
            <w:top w:w="15" w:type="dxa"/>
            <w:left w:w="15" w:type="dxa"/>
            <w:bottom w:w="15" w:type="dxa"/>
            <w:right w:w="15" w:type="dxa"/>
          </w:tblCellMar>
        </w:tblPrEx>
        <w:trPr>
          <w:trHeight w:val="474"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第二十条第（八）项</w:t>
            </w:r>
          </w:p>
        </w:tc>
      </w:tr>
      <w:tr>
        <w:tblPrEx>
          <w:tblCellMar>
            <w:top w:w="15" w:type="dxa"/>
            <w:left w:w="15" w:type="dxa"/>
            <w:bottom w:w="15" w:type="dxa"/>
            <w:right w:w="15" w:type="dxa"/>
          </w:tblCellMar>
        </w:tblPrEx>
        <w:trPr>
          <w:trHeight w:val="27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信息内容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上一年项目数量</w:t>
            </w:r>
          </w:p>
        </w:tc>
        <w:tc>
          <w:tcPr>
            <w:tcW w:w="3152"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本年增/减</w:t>
            </w:r>
          </w:p>
        </w:tc>
      </w:tr>
      <w:tr>
        <w:tblPrEx>
          <w:tblCellMar>
            <w:top w:w="15" w:type="dxa"/>
            <w:left w:w="15" w:type="dxa"/>
            <w:bottom w:w="15" w:type="dxa"/>
            <w:right w:w="15" w:type="dxa"/>
          </w:tblCellMar>
        </w:tblPrEx>
        <w:trPr>
          <w:trHeight w:val="551"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行政事业性收费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c>
          <w:tcPr>
            <w:tcW w:w="3152"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0 </w:t>
            </w:r>
          </w:p>
        </w:tc>
      </w:tr>
      <w:tr>
        <w:tblPrEx>
          <w:tblCellMar>
            <w:top w:w="15" w:type="dxa"/>
            <w:left w:w="15" w:type="dxa"/>
            <w:bottom w:w="15" w:type="dxa"/>
            <w:right w:w="15" w:type="dxa"/>
          </w:tblCellMar>
        </w:tblPrEx>
        <w:trPr>
          <w:trHeight w:val="476"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第二十条第（九）项</w:t>
            </w:r>
          </w:p>
        </w:tc>
      </w:tr>
      <w:tr>
        <w:tblPrEx>
          <w:tblCellMar>
            <w:top w:w="15" w:type="dxa"/>
            <w:left w:w="15" w:type="dxa"/>
            <w:bottom w:w="15" w:type="dxa"/>
            <w:right w:w="15" w:type="dxa"/>
          </w:tblCellMar>
        </w:tblPrEx>
        <w:trPr>
          <w:trHeight w:val="585"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信息内容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采购项目数量</w:t>
            </w:r>
          </w:p>
        </w:tc>
        <w:tc>
          <w:tcPr>
            <w:tcW w:w="3152"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采购总金额</w:t>
            </w:r>
          </w:p>
        </w:tc>
      </w:tr>
      <w:tr>
        <w:tblPrEx>
          <w:tblCellMar>
            <w:top w:w="15" w:type="dxa"/>
            <w:left w:w="15" w:type="dxa"/>
            <w:bottom w:w="15" w:type="dxa"/>
            <w:right w:w="15" w:type="dxa"/>
          </w:tblCellMar>
        </w:tblPrEx>
        <w:trPr>
          <w:trHeight w:val="539"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政府集中采购</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　0</w:t>
            </w:r>
          </w:p>
        </w:tc>
        <w:tc>
          <w:tcPr>
            <w:tcW w:w="3152"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rPr>
                <w:rFonts w:ascii="Segoe UI" w:hAnsi="Segoe UI" w:cs="Segoe UI" w:eastAsiaTheme="minorEastAsia"/>
                <w:color w:val="000000"/>
                <w:szCs w:val="21"/>
              </w:rPr>
            </w:pPr>
            <w:r>
              <w:rPr>
                <w:rFonts w:hint="eastAsia" w:ascii="Segoe UI" w:hAnsi="Segoe UI" w:cs="Segoe UI" w:eastAsiaTheme="minorEastAsia"/>
                <w:color w:val="000000"/>
                <w:szCs w:val="21"/>
              </w:rPr>
              <w:t>0</w:t>
            </w:r>
          </w:p>
        </w:tc>
      </w:tr>
    </w:tbl>
    <w:p>
      <w:pPr>
        <w:pStyle w:val="2"/>
        <w:widowControl/>
        <w:shd w:val="clear" w:color="auto" w:fill="FFFFFF"/>
        <w:spacing w:line="630" w:lineRule="atLeast"/>
        <w:jc w:val="both"/>
        <w:rPr>
          <w:rFonts w:ascii="宋体" w:hAnsi="宋体" w:cs="宋体"/>
          <w:color w:val="333333"/>
          <w:shd w:val="clear" w:color="auto" w:fill="FFFFFF"/>
        </w:rPr>
      </w:pPr>
      <w:r>
        <w:rPr>
          <w:rFonts w:hint="eastAsia" w:ascii="宋体" w:hAnsi="宋体" w:cs="宋体"/>
          <w:color w:val="333333"/>
          <w:shd w:val="clear" w:color="auto" w:fill="FFFFFF"/>
        </w:rPr>
        <w:t> </w:t>
      </w:r>
    </w:p>
    <w:p>
      <w:pPr>
        <w:pStyle w:val="2"/>
        <w:widowControl/>
        <w:shd w:val="clear" w:color="auto" w:fill="FFFFFF"/>
        <w:spacing w:line="630" w:lineRule="atLeast"/>
        <w:jc w:val="both"/>
      </w:pPr>
    </w:p>
    <w:tbl>
      <w:tblPr>
        <w:tblStyle w:val="3"/>
        <w:tblpPr w:leftFromText="180" w:rightFromText="180" w:vertAnchor="text" w:horzAnchor="margin" w:tblpXSpec="center" w:tblpY="155"/>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1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自然人</w:t>
            </w:r>
          </w:p>
        </w:tc>
        <w:tc>
          <w:tcPr>
            <w:tcW w:w="400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商业企业</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科研机构</w:t>
            </w:r>
          </w:p>
        </w:tc>
        <w:tc>
          <w:tcPr>
            <w:tcW w:w="8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社会公益组织</w:t>
            </w:r>
          </w:p>
        </w:tc>
        <w:tc>
          <w:tcPr>
            <w:tcW w:w="9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法律服务机构</w:t>
            </w:r>
          </w:p>
        </w:tc>
        <w:tc>
          <w:tcPr>
            <w:tcW w:w="71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其他</w:t>
            </w:r>
          </w:p>
        </w:tc>
        <w:tc>
          <w:tcPr>
            <w:tcW w:w="695"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一、本年新收政府信息公开申请数量</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hint="eastAsia" w:eastAsia="宋体"/>
                <w:color w:val="000000"/>
                <w:lang w:eastAsia="zh-CN"/>
              </w:rPr>
            </w:pPr>
            <w:r>
              <w:rPr>
                <w:rFonts w:hint="eastAsia" w:cs="Calibri"/>
                <w:color w:val="000000"/>
                <w:kern w:val="0"/>
                <w:sz w:val="20"/>
                <w:szCs w:val="20"/>
                <w:lang w:val="en-US" w:eastAsia="zh-CN"/>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hint="eastAsia" w:eastAsia="宋体"/>
                <w:color w:val="000000"/>
                <w:lang w:eastAsia="zh-CN"/>
              </w:rPr>
            </w:pPr>
            <w:r>
              <w:rPr>
                <w:rFonts w:hint="eastAsia"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二、上年结转政府信息公开申请数量</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r>
              <w:rPr>
                <w:rFonts w:hint="eastAsia" w:cs="Calibri"/>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三、本年度办理结果</w:t>
            </w: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ascii="楷体" w:hAnsi="楷体" w:eastAsia="楷体" w:cs="楷体"/>
                <w:color w:val="000000"/>
                <w:kern w:val="0"/>
                <w:sz w:val="20"/>
                <w:szCs w:val="20"/>
              </w:rPr>
              <w:t>（一）予以公开</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hint="eastAsia" w:eastAsia="宋体"/>
                <w:color w:val="000000"/>
                <w:lang w:eastAsia="zh-CN"/>
              </w:rPr>
            </w:pP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p>
        </w:tc>
        <w:tc>
          <w:tcPr>
            <w:tcW w:w="6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hint="default" w:eastAsia="宋体"/>
                <w:color w:val="000000"/>
                <w:lang w:val="en-US" w:eastAsia="zh-CN"/>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（二）部分公开（区分处理的，只计这一情形，不计其他情形）</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（三）不予公开</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1.属于国家秘密</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2.其他法律行政法规禁止公开</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3.危及“三安全一稳定”</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4.保护第三方合法权益</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5.属于三类内部事务信息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6.属于四类过程性信息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7.属于行政执法案卷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8.属于行政查询事项</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（四）无法提供</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1.本机关不掌握相关政府信息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2.没有现成信息需要另行制作</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3.补正后申请内容仍不明确</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（五）不予处理</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1.信访举报投诉类申请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2.重复申请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3.要求提供公开出版物</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4.无正当理由大量反复申请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5.要求行政机关确认或重新出具已获取信息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（六）其他处理</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9" w:hRule="atLeast"/>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color w:val="000000"/>
                <w:sz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楷体" w:hAnsi="楷体" w:eastAsia="楷体" w:cs="楷体"/>
                <w:color w:val="000000"/>
                <w:kern w:val="0"/>
                <w:sz w:val="20"/>
                <w:szCs w:val="20"/>
              </w:rPr>
              <w:t>（七）总计</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eastAsia="宋体"/>
                <w:color w:val="000000"/>
                <w:lang w:val="en-US" w:eastAsia="zh-CN"/>
              </w:rPr>
            </w:pPr>
            <w:r>
              <w:rPr>
                <w:rFonts w:hint="eastAsia"/>
                <w:color w:val="000000"/>
                <w:lang w:val="en-US" w:eastAsia="zh-CN"/>
              </w:rPr>
              <w:t xml:space="preserve">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color w:val="000000"/>
              </w:rPr>
            </w:pPr>
            <w:r>
              <w:rPr>
                <w:rFonts w:hint="eastAsia" w:ascii="宋体" w:hAnsi="宋体" w:cs="宋体"/>
                <w:color w:val="000000"/>
                <w:kern w:val="0"/>
                <w:sz w:val="20"/>
                <w:szCs w:val="20"/>
              </w:rPr>
              <w:t>四、结转下年度继续办理</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cs="Calibri"/>
                <w:color w:val="000000"/>
                <w:kern w:val="0"/>
                <w:sz w:val="20"/>
                <w:szCs w:val="20"/>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firstLine="120" w:firstLineChars="50"/>
              <w:rPr>
                <w:rFonts w:hint="eastAsia" w:ascii="宋体" w:eastAsia="宋体"/>
                <w:color w:val="000000"/>
                <w:sz w:val="24"/>
                <w:lang w:val="en-US" w:eastAsia="zh-CN"/>
              </w:rPr>
            </w:pPr>
            <w:r>
              <w:rPr>
                <w:rFonts w:hint="eastAsia" w:ascii="宋体"/>
                <w:color w:val="000000"/>
                <w:sz w:val="24"/>
                <w:lang w:val="en-US" w:eastAsia="zh-CN"/>
              </w:rPr>
              <w:t>0</w:t>
            </w:r>
          </w:p>
        </w:tc>
      </w:tr>
    </w:tbl>
    <w:p>
      <w:pPr>
        <w:pStyle w:val="2"/>
        <w:widowControl/>
        <w:shd w:val="clear" w:color="auto" w:fill="FFFFFF"/>
        <w:spacing w:line="500" w:lineRule="exact"/>
        <w:ind w:firstLine="566" w:firstLineChars="182"/>
        <w:jc w:val="both"/>
        <w:rPr>
          <w:rStyle w:val="5"/>
          <w:rFonts w:ascii="黑体" w:hAnsi="宋体" w:eastAsia="黑体" w:cs="黑体"/>
          <w:color w:val="333333"/>
          <w:sz w:val="31"/>
          <w:szCs w:val="31"/>
          <w:shd w:val="clear" w:color="auto" w:fill="FFFFFF"/>
        </w:rPr>
      </w:pPr>
      <w:r>
        <w:rPr>
          <w:rStyle w:val="5"/>
          <w:rFonts w:hint="eastAsia" w:ascii="黑体" w:hAnsi="宋体" w:eastAsia="黑体" w:cs="黑体"/>
          <w:color w:val="333333"/>
          <w:sz w:val="31"/>
          <w:szCs w:val="31"/>
          <w:shd w:val="clear" w:color="auto" w:fill="FFFFFF"/>
          <w:lang w:eastAsia="zh-CN"/>
        </w:rPr>
        <w:t>四</w:t>
      </w:r>
      <w:r>
        <w:rPr>
          <w:rStyle w:val="5"/>
          <w:rFonts w:hint="eastAsia" w:ascii="黑体" w:hAnsi="宋体" w:eastAsia="黑体" w:cs="黑体"/>
          <w:color w:val="333333"/>
          <w:sz w:val="31"/>
          <w:szCs w:val="31"/>
          <w:shd w:val="clear" w:color="auto" w:fill="FFFFFF"/>
        </w:rPr>
        <w:t>、收到和处理政府信息公开申请情况</w:t>
      </w:r>
    </w:p>
    <w:p>
      <w:pPr>
        <w:pStyle w:val="2"/>
        <w:widowControl/>
        <w:shd w:val="clear" w:color="auto" w:fill="FFFFFF"/>
        <w:spacing w:line="500" w:lineRule="exact"/>
        <w:ind w:firstLine="585" w:firstLineChars="182"/>
        <w:jc w:val="both"/>
        <w:rPr>
          <w:rFonts w:hint="eastAsia" w:ascii="仿宋_GB2312" w:hAnsi="宋体" w:eastAsia="仿宋_GB2312" w:cs="黑体"/>
          <w:b/>
          <w:color w:val="333333"/>
          <w:sz w:val="32"/>
          <w:szCs w:val="32"/>
          <w:shd w:val="clear" w:color="auto" w:fill="FFFFFF"/>
          <w:lang w:eastAsia="zh-CN"/>
        </w:rPr>
      </w:pPr>
      <w:r>
        <w:rPr>
          <w:rFonts w:hint="eastAsia" w:ascii="仿宋_GB2312" w:hAnsi="宋体" w:eastAsia="仿宋_GB2312" w:cs="黑体"/>
          <w:b/>
          <w:color w:val="333333"/>
          <w:sz w:val="32"/>
          <w:szCs w:val="32"/>
          <w:shd w:val="clear" w:color="auto" w:fill="FFFFFF"/>
          <w:lang w:eastAsia="zh-CN"/>
        </w:rPr>
        <w:t>无</w:t>
      </w:r>
    </w:p>
    <w:p>
      <w:pPr>
        <w:pStyle w:val="2"/>
        <w:widowControl/>
        <w:shd w:val="clear" w:color="auto" w:fill="FFFFFF"/>
        <w:spacing w:line="500" w:lineRule="exact"/>
        <w:ind w:firstLine="566" w:firstLineChars="182"/>
        <w:jc w:val="both"/>
      </w:pPr>
      <w:r>
        <w:rPr>
          <w:rStyle w:val="5"/>
          <w:rFonts w:hint="eastAsia" w:ascii="黑体" w:hAnsi="宋体" w:eastAsia="黑体" w:cs="黑体"/>
          <w:color w:val="333333"/>
          <w:sz w:val="31"/>
          <w:szCs w:val="31"/>
          <w:shd w:val="clear" w:color="auto" w:fill="FFFFFF"/>
          <w:lang w:eastAsia="zh-CN"/>
        </w:rPr>
        <w:t>五</w:t>
      </w:r>
      <w:r>
        <w:rPr>
          <w:rStyle w:val="5"/>
          <w:rFonts w:hint="eastAsia" w:ascii="黑体" w:hAnsi="宋体" w:eastAsia="黑体" w:cs="黑体"/>
          <w:color w:val="333333"/>
          <w:sz w:val="31"/>
          <w:szCs w:val="31"/>
          <w:shd w:val="clear" w:color="auto" w:fill="FFFFFF"/>
        </w:rPr>
        <w:t>、政府信息公开行政复议、行政诉讼情况</w:t>
      </w:r>
    </w:p>
    <w:tbl>
      <w:tblPr>
        <w:tblStyle w:val="3"/>
        <w:tblW w:w="9071"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CellMar>
            <w:top w:w="15" w:type="dxa"/>
            <w:left w:w="15" w:type="dxa"/>
            <w:bottom w:w="15" w:type="dxa"/>
            <w:right w:w="15" w:type="dxa"/>
          </w:tblCellMar>
        </w:tblPrEx>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结果维持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Segoe UI" w:hAnsi="Segoe UI" w:eastAsia="Segoe UI" w:cs="Segoe UI"/>
                <w:color w:val="000000"/>
                <w:szCs w:val="21"/>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Segoe UI" w:hAnsi="Segoe UI" w:eastAsia="Segoe UI" w:cs="Segoe UI"/>
                <w:color w:val="000000"/>
                <w:szCs w:val="21"/>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Segoe UI" w:hAnsi="Segoe UI" w:eastAsia="Segoe UI" w:cs="Segoe UI"/>
                <w:color w:val="000000"/>
                <w:szCs w:val="21"/>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Segoe UI" w:hAnsi="Segoe UI" w:eastAsia="Segoe UI" w:cs="Segoe UI"/>
                <w:color w:val="000000"/>
                <w:szCs w:val="21"/>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Segoe UI" w:hAnsi="Segoe UI" w:eastAsia="Segoe UI" w:cs="Segoe UI"/>
                <w:color w:val="000000"/>
                <w:szCs w:val="21"/>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eastAsia="Segoe UI" w:cs="Calibri"/>
                <w:color w:val="000000"/>
                <w:kern w:val="0"/>
                <w:sz w:val="20"/>
                <w:szCs w:val="20"/>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eastAsia="Segoe UI" w:cs="Calibri"/>
                <w:color w:val="000000"/>
                <w:kern w:val="0"/>
                <w:sz w:val="20"/>
                <w:szCs w:val="20"/>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eastAsia="Segoe UI" w:cs="Calibri"/>
                <w:color w:val="000000"/>
                <w:kern w:val="0"/>
                <w:sz w:val="20"/>
                <w:szCs w:val="20"/>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eastAsia="Segoe UI" w:cs="Calibri"/>
                <w:color w:val="000000"/>
                <w:kern w:val="0"/>
                <w:sz w:val="20"/>
                <w:szCs w:val="20"/>
              </w:rPr>
              <w:t> </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eastAsiaTheme="minorEastAsia"/>
                <w:color w:val="000000"/>
              </w:rPr>
            </w:pPr>
            <w:r>
              <w:rPr>
                <w:rFonts w:ascii="Segoe UI" w:hAnsi="Segoe UI" w:cs="Segoe UI" w:eastAsiaTheme="minorEastAsia"/>
                <w:color w:val="000000"/>
                <w:szCs w:val="21"/>
              </w:rPr>
              <w:t> </w:t>
            </w:r>
            <w:r>
              <w:rPr>
                <w:rFonts w:hint="eastAsia" w:ascii="Segoe UI" w:hAnsi="Segoe UI" w:cs="Segoe UI" w:eastAsiaTheme="minorEastAsia"/>
                <w:color w:val="000000"/>
                <w:szCs w:val="21"/>
              </w:rPr>
              <w:t>0</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color w:val="000000"/>
              </w:rPr>
            </w:pPr>
            <w:r>
              <w:rPr>
                <w:rFonts w:hint="eastAsia" w:ascii="宋体" w:hAnsi="宋体" w:cs="宋体"/>
                <w:color w:val="000000"/>
                <w:kern w:val="0"/>
                <w:sz w:val="20"/>
                <w:szCs w:val="20"/>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Segoe UI" w:hAnsi="Segoe UI" w:cs="Segoe UI" w:eastAsiaTheme="minorEastAsia"/>
                <w:color w:val="000000"/>
                <w:szCs w:val="21"/>
              </w:rPr>
            </w:pPr>
            <w:r>
              <w:rPr>
                <w:rFonts w:hint="eastAsia" w:ascii="Segoe UI" w:hAnsi="Segoe UI" w:cs="Segoe UI" w:eastAsiaTheme="minorEastAsia"/>
                <w:color w:val="000000"/>
                <w:szCs w:val="21"/>
              </w:rPr>
              <w:t>0</w:t>
            </w:r>
          </w:p>
        </w:tc>
      </w:tr>
    </w:tbl>
    <w:p>
      <w:pPr>
        <w:pStyle w:val="2"/>
        <w:widowControl/>
        <w:shd w:val="clear" w:color="auto" w:fill="FFFFFF"/>
        <w:spacing w:line="400" w:lineRule="exact"/>
        <w:ind w:firstLine="480" w:firstLineChars="200"/>
      </w:pPr>
      <w:r>
        <w:rPr>
          <w:shd w:val="clear" w:color="auto" w:fill="FFFFFF"/>
        </w:rPr>
        <w:t> </w:t>
      </w:r>
      <w:r>
        <w:rPr>
          <w:rStyle w:val="5"/>
          <w:rFonts w:hint="eastAsia" w:ascii="黑体" w:hAnsi="宋体" w:eastAsia="黑体" w:cs="黑体"/>
          <w:sz w:val="31"/>
          <w:szCs w:val="31"/>
          <w:shd w:val="clear" w:color="auto" w:fill="FFFFFF"/>
          <w:lang w:eastAsia="zh-CN"/>
        </w:rPr>
        <w:t>六</w:t>
      </w:r>
      <w:r>
        <w:rPr>
          <w:rStyle w:val="5"/>
          <w:rFonts w:hint="eastAsia" w:ascii="黑体" w:hAnsi="宋体" w:eastAsia="黑体" w:cs="黑体"/>
          <w:sz w:val="31"/>
          <w:szCs w:val="31"/>
          <w:shd w:val="clear" w:color="auto" w:fill="FFFFFF"/>
        </w:rPr>
        <w:t>、存在的主要问题及改进情况</w:t>
      </w:r>
    </w:p>
    <w:p>
      <w:pPr>
        <w:pStyle w:val="2"/>
        <w:spacing w:line="400" w:lineRule="exact"/>
        <w:ind w:firstLine="482" w:firstLineChars="150"/>
        <w:rPr>
          <w:rFonts w:ascii="仿宋_GB2312" w:eastAsia="仿宋_GB2312" w:hAnsiTheme="minorEastAsia"/>
          <w:b/>
          <w:color w:val="3D3D3D"/>
          <w:sz w:val="32"/>
          <w:szCs w:val="32"/>
        </w:rPr>
      </w:pPr>
      <w:r>
        <w:rPr>
          <w:rFonts w:hint="eastAsia" w:ascii="仿宋_GB2312" w:eastAsia="仿宋_GB2312" w:hAnsiTheme="minorEastAsia"/>
          <w:b/>
          <w:color w:val="3D3D3D"/>
          <w:sz w:val="32"/>
          <w:szCs w:val="32"/>
        </w:rPr>
        <w:t>（一）存在的主要问题。一是政府信息公开工作制度还</w:t>
      </w:r>
      <w:r>
        <w:rPr>
          <w:rFonts w:hint="eastAsia" w:ascii="仿宋_GB2312" w:eastAsia="仿宋_GB2312" w:hAnsiTheme="minorEastAsia"/>
          <w:b/>
          <w:color w:val="3D3D3D"/>
          <w:sz w:val="32"/>
          <w:szCs w:val="32"/>
          <w:lang w:eastAsia="zh-CN"/>
        </w:rPr>
        <w:t>需进一步健全，</w:t>
      </w:r>
      <w:r>
        <w:rPr>
          <w:rFonts w:hint="eastAsia" w:ascii="仿宋_GB2312" w:eastAsia="仿宋_GB2312" w:hAnsiTheme="minorEastAsia"/>
          <w:b/>
          <w:color w:val="3D3D3D"/>
          <w:sz w:val="32"/>
          <w:szCs w:val="32"/>
        </w:rPr>
        <w:t>信息更新</w:t>
      </w:r>
      <w:r>
        <w:rPr>
          <w:rFonts w:hint="eastAsia" w:ascii="仿宋_GB2312" w:eastAsia="仿宋_GB2312" w:hAnsiTheme="minorEastAsia"/>
          <w:b/>
          <w:color w:val="3D3D3D"/>
          <w:sz w:val="32"/>
          <w:szCs w:val="32"/>
          <w:lang w:eastAsia="zh-CN"/>
        </w:rPr>
        <w:t>应更加及时</w:t>
      </w:r>
      <w:r>
        <w:rPr>
          <w:rFonts w:hint="eastAsia" w:ascii="仿宋_GB2312" w:eastAsia="仿宋_GB2312" w:hAnsiTheme="minorEastAsia"/>
          <w:b/>
          <w:color w:val="3D3D3D"/>
          <w:sz w:val="32"/>
          <w:szCs w:val="32"/>
        </w:rPr>
        <w:t>，信息公开的范围和内容有待进一步扩大完善；二是局属各有关单位对政府信息公开工作的重要性认识还不够到位，需</w:t>
      </w:r>
      <w:r>
        <w:rPr>
          <w:rFonts w:hint="eastAsia" w:ascii="仿宋_GB2312" w:eastAsia="仿宋_GB2312" w:hAnsiTheme="minorEastAsia"/>
          <w:b/>
          <w:color w:val="3D3D3D"/>
          <w:sz w:val="32"/>
          <w:szCs w:val="32"/>
          <w:lang w:eastAsia="zh-CN"/>
        </w:rPr>
        <w:t>要进一步</w:t>
      </w:r>
      <w:r>
        <w:rPr>
          <w:rFonts w:hint="eastAsia" w:ascii="仿宋_GB2312" w:eastAsia="仿宋_GB2312" w:hAnsiTheme="minorEastAsia"/>
          <w:b/>
          <w:color w:val="3D3D3D"/>
          <w:sz w:val="32"/>
          <w:szCs w:val="32"/>
        </w:rPr>
        <w:t>宣传</w:t>
      </w:r>
      <w:r>
        <w:rPr>
          <w:rFonts w:hint="eastAsia" w:ascii="仿宋_GB2312" w:eastAsia="仿宋_GB2312" w:hAnsiTheme="minorEastAsia"/>
          <w:b/>
          <w:color w:val="3D3D3D"/>
          <w:sz w:val="32"/>
          <w:szCs w:val="32"/>
          <w:lang w:eastAsia="zh-CN"/>
        </w:rPr>
        <w:t>来</w:t>
      </w:r>
      <w:r>
        <w:rPr>
          <w:rFonts w:hint="eastAsia" w:ascii="仿宋_GB2312" w:eastAsia="仿宋_GB2312" w:hAnsiTheme="minorEastAsia"/>
          <w:b/>
          <w:color w:val="3D3D3D"/>
          <w:sz w:val="32"/>
          <w:szCs w:val="32"/>
        </w:rPr>
        <w:t>营造政府信息公开工作氛围，不断探索本单位政府信息公开的新方法和新途径。</w:t>
      </w:r>
    </w:p>
    <w:p>
      <w:pPr>
        <w:pStyle w:val="2"/>
        <w:widowControl/>
        <w:spacing w:line="400" w:lineRule="exact"/>
        <w:ind w:firstLine="472" w:firstLineChars="147"/>
        <w:rPr>
          <w:rFonts w:ascii="仿宋_GB2312" w:eastAsia="仿宋_GB2312" w:hAnsiTheme="minorEastAsia"/>
          <w:b/>
          <w:color w:val="3D3D3D"/>
          <w:sz w:val="32"/>
          <w:szCs w:val="32"/>
        </w:rPr>
      </w:pPr>
      <w:r>
        <w:rPr>
          <w:rFonts w:hint="eastAsia" w:ascii="仿宋_GB2312" w:eastAsia="仿宋_GB2312" w:hAnsiTheme="minorEastAsia"/>
          <w:b/>
          <w:color w:val="3D3D3D"/>
          <w:sz w:val="32"/>
          <w:szCs w:val="32"/>
        </w:rPr>
        <w:t>（二）改进情况。一是加强与各科室、有关单位的衔接与沟通，努力将信息收集与公开同步进行，确保信息的及时、准确、全面；二是进一步充实政府信息公开内容，突出重点、热点和难点问题，把公众最关心、最迫切、最期待的事项作为本单位政府信息公开的主要内容，把政府信息公开工作作为长期的动态工作落到实处，切实发挥好政府信息公开平台的桥梁作用，构建发布、解读、回应有序衔接的工作机制。</w:t>
      </w:r>
    </w:p>
    <w:p>
      <w:pPr>
        <w:pStyle w:val="2"/>
        <w:widowControl/>
        <w:spacing w:line="400" w:lineRule="exact"/>
      </w:pPr>
      <w:r>
        <w:rPr>
          <w:rStyle w:val="5"/>
          <w:rFonts w:hint="eastAsia" w:ascii="仿宋" w:hAnsi="仿宋" w:eastAsia="仿宋" w:cs="仿宋"/>
          <w:sz w:val="31"/>
          <w:szCs w:val="31"/>
        </w:rPr>
        <w:t> </w:t>
      </w:r>
      <w:r>
        <w:rPr>
          <w:rStyle w:val="5"/>
          <w:rFonts w:hint="eastAsia" w:ascii="黑体" w:hAnsi="宋体" w:eastAsia="黑体" w:cs="黑体"/>
          <w:sz w:val="31"/>
          <w:szCs w:val="31"/>
        </w:rPr>
        <w:t xml:space="preserve"> </w:t>
      </w:r>
      <w:r>
        <w:rPr>
          <w:rStyle w:val="5"/>
          <w:rFonts w:hint="eastAsia" w:ascii="黑体" w:hAnsi="宋体" w:eastAsia="黑体" w:cs="黑体"/>
          <w:sz w:val="31"/>
          <w:szCs w:val="31"/>
          <w:lang w:eastAsia="zh-CN"/>
        </w:rPr>
        <w:t>七</w:t>
      </w:r>
      <w:r>
        <w:rPr>
          <w:rStyle w:val="5"/>
          <w:rFonts w:hint="eastAsia" w:ascii="黑体" w:hAnsi="宋体" w:eastAsia="黑体" w:cs="黑体"/>
          <w:sz w:val="31"/>
          <w:szCs w:val="31"/>
        </w:rPr>
        <w:t>、其他需要报告的事项</w:t>
      </w:r>
    </w:p>
    <w:p>
      <w:pPr>
        <w:pStyle w:val="2"/>
        <w:widowControl/>
        <w:spacing w:line="400" w:lineRule="exact"/>
      </w:pPr>
      <w:r>
        <w:rPr>
          <w:rStyle w:val="5"/>
          <w:rFonts w:hint="eastAsia" w:ascii="仿宋" w:hAnsi="仿宋" w:eastAsia="仿宋" w:cs="仿宋"/>
          <w:sz w:val="31"/>
          <w:szCs w:val="31"/>
        </w:rPr>
        <w:t> 无</w:t>
      </w:r>
    </w:p>
    <w:p>
      <w:pPr>
        <w:pStyle w:val="2"/>
        <w:widowControl/>
      </w:pPr>
    </w:p>
    <w:p>
      <w:pPr>
        <w:pStyle w:val="2"/>
        <w:widowControl/>
      </w:pPr>
    </w:p>
    <w:p>
      <w:pPr>
        <w:pStyle w:val="2"/>
        <w:widowControl/>
      </w:pPr>
    </w:p>
    <w:p>
      <w:pPr>
        <w:pStyle w:val="2"/>
        <w:widowControl/>
        <w:ind w:firstLine="4803" w:firstLineChars="1495"/>
        <w:rPr>
          <w:rFonts w:ascii="仿宋_GB2312" w:eastAsia="仿宋_GB2312" w:hAnsiTheme="minorEastAsia"/>
          <w:b/>
          <w:color w:val="3D3D3D"/>
          <w:sz w:val="32"/>
          <w:szCs w:val="32"/>
        </w:rPr>
      </w:pPr>
      <w:r>
        <w:rPr>
          <w:rFonts w:hint="eastAsia" w:ascii="仿宋_GB2312" w:eastAsia="仿宋_GB2312" w:hAnsiTheme="minorEastAsia"/>
          <w:b/>
          <w:color w:val="3D3D3D"/>
          <w:sz w:val="32"/>
          <w:szCs w:val="32"/>
        </w:rPr>
        <w:t>2020年7月</w:t>
      </w:r>
      <w:r>
        <w:rPr>
          <w:rFonts w:hint="eastAsia" w:ascii="仿宋_GB2312" w:eastAsia="仿宋_GB2312" w:hAnsiTheme="minorEastAsia"/>
          <w:b/>
          <w:color w:val="3D3D3D"/>
          <w:sz w:val="32"/>
          <w:szCs w:val="32"/>
          <w:lang w:val="en-US" w:eastAsia="zh-CN"/>
        </w:rPr>
        <w:t>15</w:t>
      </w:r>
      <w:bookmarkStart w:id="0" w:name="_GoBack"/>
      <w:bookmarkEnd w:id="0"/>
      <w:r>
        <w:rPr>
          <w:rFonts w:hint="eastAsia" w:ascii="仿宋_GB2312" w:eastAsia="仿宋_GB2312" w:hAnsiTheme="minorEastAsia"/>
          <w:b/>
          <w:color w:val="3D3D3D"/>
          <w:sz w:val="32"/>
          <w:szCs w:val="32"/>
        </w:rPr>
        <w:t>日</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ind w:left="5913" w:hanging="5913" w:hangingChars="1900"/>
      </w:pPr>
      <w:r>
        <w:rPr>
          <w:rStyle w:val="5"/>
          <w:rFonts w:hint="eastAsia" w:ascii="仿宋" w:hAnsi="仿宋" w:eastAsia="仿宋" w:cs="仿宋"/>
          <w:sz w:val="31"/>
          <w:szCs w:val="31"/>
        </w:rPr>
        <w:t>                                                                     </w:t>
      </w:r>
    </w:p>
    <w:p>
      <w:pPr>
        <w:numPr>
          <w:ilvl w:val="0"/>
          <w:numId w:val="0"/>
        </w:numPr>
        <w:ind w:firstLine="311" w:firstLineChars="100"/>
        <w:rPr>
          <w:rFonts w:hint="eastAsia" w:ascii="黑体" w:hAnsi="宋体" w:eastAsia="黑体" w:cs="黑体"/>
          <w:b/>
          <w:bCs/>
          <w:color w:val="FF0000"/>
          <w:sz w:val="31"/>
          <w:szCs w:val="31"/>
          <w:shd w:val="clear" w:color="auto"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831D1"/>
    <w:rsid w:val="04EA44FE"/>
    <w:rsid w:val="0C925ACF"/>
    <w:rsid w:val="116A60B4"/>
    <w:rsid w:val="133B11CA"/>
    <w:rsid w:val="339A421B"/>
    <w:rsid w:val="3A4831D1"/>
    <w:rsid w:val="44176DD7"/>
    <w:rsid w:val="532F21F4"/>
    <w:rsid w:val="534D542E"/>
    <w:rsid w:val="5D6834BF"/>
    <w:rsid w:val="671B1C60"/>
    <w:rsid w:val="70692B6F"/>
    <w:rsid w:val="7A9B2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rFonts w:ascii="微软雅黑" w:hAnsi="微软雅黑" w:eastAsia="微软雅黑" w:cs="微软雅黑"/>
      <w:color w:val="0000FF"/>
      <w:u w:val="none"/>
    </w:rPr>
  </w:style>
  <w:style w:type="character" w:customStyle="1" w:styleId="7">
    <w:name w:val="hover12"/>
    <w:basedOn w:val="4"/>
    <w:qFormat/>
    <w:uiPriority w:val="0"/>
    <w:rPr>
      <w:shd w:val="clear" w:fill="003D9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2020-07-17T02:02:00Z</dcterms:created>
  <dc:creator>Darren</dc:creator>
  <cp:lastModifiedBy>青花作笔丶</cp:lastModifiedBy>
  <dcterms:modified xsi:type="dcterms:W3CDTF">2020-07-31T07:27:18Z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