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jc w:val="center"/>
        <w:rPr>
          <w:rFonts w:hint="eastAsia" w:ascii="Times New Roman" w:hAnsi="Times New Roman" w:eastAsia="方正小标宋简体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关于淄博市沂源县农村河湖管理范围划界成果的公告</w:t>
      </w:r>
      <w:r>
        <w:rPr>
          <w:rFonts w:hint="eastAsia" w:eastAsia="方正小标宋简体"/>
          <w:sz w:val="44"/>
          <w:szCs w:val="44"/>
          <w:lang w:eastAsia="zh-CN"/>
        </w:rPr>
        <w:t>（征求意见稿）</w:t>
      </w:r>
    </w:p>
    <w:p>
      <w:pPr>
        <w:spacing w:line="520" w:lineRule="exact"/>
        <w:ind w:firstLine="480" w:firstLineChars="150"/>
        <w:rPr>
          <w:rFonts w:hint="eastAsia" w:ascii="Times New Roman" w:hAnsi="黑体" w:eastAsia="黑体"/>
          <w:sz w:val="32"/>
          <w:szCs w:val="32"/>
        </w:rPr>
      </w:pPr>
    </w:p>
    <w:p>
      <w:pPr>
        <w:spacing w:line="520" w:lineRule="exact"/>
        <w:ind w:firstLine="643" w:firstLineChars="200"/>
        <w:rPr>
          <w:rFonts w:hint="eastAsia" w:ascii="Times New Roman" w:hAnsi="Times New Roman" w:eastAsia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根据《中华人民共和国水法》、《中华人民共和国防洪法》、《中华人民共和国河道管理条例》、《山东省小型水库管理办法》等法律法规及</w:t>
      </w:r>
      <w:r>
        <w:rPr>
          <w:rFonts w:ascii="Times New Roman" w:hAnsi="Times New Roman" w:eastAsia="仿宋_GB2312"/>
          <w:b/>
          <w:bCs/>
          <w:sz w:val="32"/>
          <w:szCs w:val="32"/>
        </w:rPr>
        <w:t>《山东省河湖管理范围和水利工程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管理</w:t>
      </w:r>
      <w:r>
        <w:rPr>
          <w:rFonts w:ascii="Times New Roman" w:hAnsi="Times New Roman" w:eastAsia="仿宋_GB2312"/>
          <w:b/>
          <w:bCs/>
          <w:sz w:val="32"/>
          <w:szCs w:val="32"/>
        </w:rPr>
        <w:t>与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保护范围</w:t>
      </w:r>
      <w:r>
        <w:rPr>
          <w:rFonts w:ascii="Times New Roman" w:hAnsi="Times New Roman" w:eastAsia="仿宋_GB2312"/>
          <w:b/>
          <w:bCs/>
          <w:sz w:val="32"/>
          <w:szCs w:val="32"/>
        </w:rPr>
        <w:t>划界确权工作技术指南（试行）》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的规定，本着尊重历史，并满足现状管理需求的原则，完成了沂源县农村河湖管理范围划界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>的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工作，现公告如下：</w:t>
      </w:r>
    </w:p>
    <w:p>
      <w:pPr>
        <w:adjustRightInd w:val="0"/>
        <w:snapToGrid w:val="0"/>
        <w:spacing w:line="520" w:lineRule="exact"/>
        <w:ind w:firstLine="643" w:firstLineChars="200"/>
        <w:rPr>
          <w:rFonts w:hint="eastAsia" w:ascii="Times New Roman" w:hAnsi="Times New Roman" w:eastAsia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一、划界原则</w:t>
      </w:r>
    </w:p>
    <w:p>
      <w:pPr>
        <w:adjustRightInd w:val="0"/>
        <w:snapToGrid w:val="0"/>
        <w:spacing w:line="520" w:lineRule="exact"/>
        <w:ind w:firstLine="643" w:firstLineChars="200"/>
        <w:rPr>
          <w:rFonts w:hint="eastAsia" w:ascii="Times New Roman" w:hAnsi="Times New Roman" w:eastAsia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1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参照1993年沂河确权发证资料的描述，结合河道两侧地形地貌现状，已建成乡村道路的管理范围界线划定至道路与河道相邻的道路边线，以路代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堤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；与1993年确权发证资料相比较，没有发生重要地形地貌变化的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本次管理范围界线的划界范围不小于确权发证资料中的范围。</w:t>
      </w:r>
    </w:p>
    <w:p>
      <w:pPr>
        <w:adjustRightInd w:val="0"/>
        <w:snapToGrid w:val="0"/>
        <w:spacing w:line="520" w:lineRule="exact"/>
        <w:ind w:firstLine="643" w:firstLineChars="200"/>
        <w:rPr>
          <w:rFonts w:hint="eastAsia" w:ascii="Times New Roman" w:hAnsi="Times New Roman" w:eastAsia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2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紧邻河道水域边线（水崖线）自然形成或建有土坎时，按照土坎上边线向外延伸2米（个别河段为满足行洪要求可向陆域延伸5米）划定管理范围界线。</w:t>
      </w:r>
    </w:p>
    <w:p>
      <w:pPr>
        <w:adjustRightInd w:val="0"/>
        <w:snapToGrid w:val="0"/>
        <w:spacing w:line="520" w:lineRule="exact"/>
        <w:ind w:firstLine="643" w:firstLineChars="200"/>
        <w:rPr>
          <w:rFonts w:hint="eastAsia" w:ascii="Times New Roman" w:hAnsi="Times New Roman" w:eastAsia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3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紧邻河道水域边线（水崖线）建有加固石坎，依照加固石坎的顶边线(个别河段为满足行洪要求向陆域延伸0.5-2米)划定管理范围界线。</w:t>
      </w:r>
    </w:p>
    <w:p>
      <w:pPr>
        <w:adjustRightInd w:val="0"/>
        <w:snapToGrid w:val="0"/>
        <w:spacing w:line="520" w:lineRule="exact"/>
        <w:ind w:firstLine="643" w:firstLineChars="200"/>
        <w:rPr>
          <w:rFonts w:hint="eastAsia" w:ascii="Times New Roman" w:hAnsi="Times New Roman" w:eastAsia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4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紧邻河道水域边线（水崖线）自然形成或建有斜坡，依照斜坡坡顶线</w:t>
      </w:r>
      <w:r>
        <w:rPr>
          <w:rFonts w:hint="eastAsia" w:eastAsia="仿宋_GB2312"/>
          <w:b/>
          <w:bCs/>
          <w:sz w:val="32"/>
          <w:szCs w:val="32"/>
          <w:lang w:eastAsia="zh-CN"/>
        </w:rPr>
        <w:t>向陆域延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0.5-2米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划定管理范围界线。</w:t>
      </w:r>
    </w:p>
    <w:p>
      <w:pPr>
        <w:adjustRightInd w:val="0"/>
        <w:snapToGrid w:val="0"/>
        <w:spacing w:line="520" w:lineRule="exact"/>
        <w:ind w:firstLine="643" w:firstLineChars="200"/>
        <w:rPr>
          <w:rFonts w:hint="eastAsia" w:ascii="Times New Roman" w:hAnsi="Times New Roman" w:eastAsia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5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紧邻河道水域边线（水崖线）为山体或山崖时，依照水域边线（水崖线）与山体或山崖的交界线划定管理范围界线。</w:t>
      </w:r>
    </w:p>
    <w:p>
      <w:pPr>
        <w:adjustRightInd w:val="0"/>
        <w:snapToGrid w:val="0"/>
        <w:spacing w:line="520" w:lineRule="exact"/>
        <w:ind w:firstLine="643" w:firstLineChars="200"/>
        <w:rPr>
          <w:rFonts w:hint="eastAsia" w:ascii="Times New Roman" w:hAnsi="Times New Roman" w:eastAsia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6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现有河道宽度满足行洪要求的，根据河道上下游管理范围界线划定情况顺延调整，使河道管理范围界线连续平顺，无不合理的突兀或紧缩。</w:t>
      </w:r>
    </w:p>
    <w:p>
      <w:pPr>
        <w:adjustRightInd w:val="0"/>
        <w:snapToGrid w:val="0"/>
        <w:spacing w:line="520" w:lineRule="exact"/>
        <w:ind w:firstLine="643" w:firstLineChars="200"/>
        <w:rPr>
          <w:rFonts w:hint="eastAsia" w:ascii="Times New Roman" w:hAnsi="Times New Roman" w:eastAsia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7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河道紧邻已建成永久性建筑物时，根据建筑物的规模、材质、结构和用途综合判断分析后划定河道管理范围界。</w:t>
      </w:r>
    </w:p>
    <w:p>
      <w:pPr>
        <w:adjustRightInd w:val="0"/>
        <w:snapToGrid w:val="0"/>
        <w:spacing w:line="520" w:lineRule="exact"/>
        <w:ind w:firstLine="643" w:firstLineChars="200"/>
        <w:rPr>
          <w:rFonts w:hint="eastAsia" w:ascii="Times New Roman" w:hAnsi="Times New Roman" w:eastAsia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8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小型水库管理范围为兴利水位线所包含的库区、大坝坝身的等高线闭合线。</w:t>
      </w:r>
    </w:p>
    <w:p>
      <w:pPr>
        <w:adjustRightInd w:val="0"/>
        <w:snapToGrid w:val="0"/>
        <w:spacing w:line="520" w:lineRule="exact"/>
        <w:ind w:firstLine="643" w:firstLineChars="200"/>
        <w:rPr>
          <w:rFonts w:hint="eastAsia" w:ascii="Times New Roman" w:hAnsi="Times New Roman" w:eastAsia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9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eastAsia="zh-CN"/>
        </w:rPr>
        <w:t>.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划定管理范围界线时，同时参照对比沂源县2013年集体土地所有权划界确权及2018年的岸线规划界线编制成果综合判定。</w:t>
      </w:r>
    </w:p>
    <w:p>
      <w:pPr>
        <w:adjustRightInd w:val="0"/>
        <w:snapToGrid w:val="0"/>
        <w:spacing w:line="520" w:lineRule="exact"/>
        <w:ind w:firstLine="643" w:firstLineChars="200"/>
        <w:rPr>
          <w:rFonts w:hint="eastAsia" w:ascii="Times New Roman" w:hAnsi="Times New Roman" w:eastAsia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二、划界成果</w:t>
      </w:r>
    </w:p>
    <w:p>
      <w:pPr>
        <w:adjustRightInd w:val="0"/>
        <w:snapToGrid w:val="0"/>
        <w:spacing w:line="520" w:lineRule="exact"/>
        <w:ind w:firstLine="643" w:firstLineChars="200"/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我县属于山区地形，河道所穿越的地势起伏落差大，河道两侧地貌变化复杂，同一河道的不同河段及同一河段的河道两侧，均综合遵循了上述划界原则，完成了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>村镇级河道240条、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小型水库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>101座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的管理范围的划定工作。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>详见下表：</w:t>
      </w: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/>
        <w:jc w:val="right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各镇办河道明细表1-1  </w:t>
      </w:r>
    </w:p>
    <w:tbl>
      <w:tblPr>
        <w:tblStyle w:val="7"/>
        <w:tblW w:w="4970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509"/>
        <w:gridCol w:w="5629"/>
        <w:gridCol w:w="115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乡镇名称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河道名称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划界长度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南麻街道办事处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刘庄河淄博市沂源县南麻街道,燕崖镇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5.39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栗行河淄博市沂源县南麻街道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埠下河淄博市沂源县南麻街道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古泉河淄博市沂源县南麻街道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重喜河淄博市沂源县南麻街道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历山街道办事处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彩板峪河淄博市沂源县历山街道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东南河淄博市沂源县历山街道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北涝河淄博市沂源县历山街道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西东河淄博市沂源县历山街道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南鲁山镇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北流水村内河淄博市沂源县南鲁山镇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茨峪河淄博市沂源县南鲁山镇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大坡河淄博市沂源县南鲁山镇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东岭河淄博市沂源县南鲁山镇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九会村村内河淄博市沂源县南鲁山镇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刘家洞河淄博市沂源县南鲁山镇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南流水村内河淄博市沂源县南鲁山镇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三岔店村内河淄博市沂源县南鲁山镇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水么头河北村内河淄博市沂源县南鲁山镇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丝窝村内河淄博市沂源县南鲁山镇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丝窝河淄博市沂源县南鲁山镇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7.47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文坦河淄博市沂源县南鲁山镇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郑家庄村内河淄博市沂源县南鲁山镇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朱阿河淄博市沂源县南鲁山镇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南峪河淄博市沂源县南鲁山镇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王林子沟河淄博市沂源县南鲁山镇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东松仙岭河淄博市沂源县南鲁山镇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董家庄村内河淄博市沂源县南鲁山镇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芦芽村内河淄博市沂源县南鲁山镇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木沟子峪河淄博市沂源县南鲁山镇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马场河淄博市沂源县南鲁山镇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孟坡村内河淄博市沂源县南鲁山镇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菜园河淄博市沂源县南鲁山镇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唐家六河淄博市沂源县南鲁山镇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西镏河淄博市沂源县南鲁山镇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东峪河淄博市沂源县石桥镇,南鲁山镇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璞邱西河淄博市沂源县南鲁山镇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红山峪河淄博市沂源县南鲁山镇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璞邱北河淄博市沂源县南鲁山镇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岭根河淄博市沂源县南鲁山镇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胜家庄河淄博市沂源县南鲁山镇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鄢家峪河淄博市沂源县南鲁山镇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文泉河淄博市沂源县南鲁山镇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南水沟河淄博市沂源县南鲁山镇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双石屋河淄博市沂源县南鲁山镇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平地河淄博市沂源县南鲁山镇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朱阿村内河淄博市沂源县南鲁山镇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池埠河淄博市沂源县南鲁山镇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石沟子河淄博市沂源县南鲁山镇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东溜河淄博市沂源县南鲁山镇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龙泉大沟河淄博市沂源县南鲁山镇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101.19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鲁村镇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东五陡河、西五陡河淄博市沂源县鲁村镇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姬家峪河淄博市沂源县鲁村镇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凉泉河淄博市沂源县鲁村镇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鲁村东河淄博市沂源县鲁村镇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鲁村西河淄博市沂源县鲁村镇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鹿角山、刘家坡淄博市沂源县鲁村镇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青杨圈河淄博市沂源县鲁村镇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桃花山、郑家岭淄博市沂源县鲁村镇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小张庄河淄博市沂源县鲁村镇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草埠河淄博市沂源县鲁村镇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涝坡河淄博市沂源县鲁村镇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邢家庄河淄博市沂源县鲁村镇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琉璃河淄博市沂源县鲁村镇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崮山上头庄河淄博市沂源县鲁村镇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单村河淄博市沂源县鲁村镇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曹家庄沙沟河淄博市沂源县鲁村镇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福南河淄博市沂源县鲁村镇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南泉河淄博市沂源县鲁村镇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章义河淄博市沂源县鲁村镇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三黄沟河淄博市沂源县鲁村镇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大张庄镇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北山、西山、西顾庄、北旋峰河淄博市沂源县大张庄镇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赤坂（大里万沟）河淄博市沂源县大张庄镇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赤坂（沙沟、后沟）河淄博市沂源县大张庄镇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大三地（南水沟、小石榴峪、庄子峪）河淄博市沂源县大张庄镇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东上峪（北湾）河淄博市沂源县大张庄镇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茧场河（南北2条）淄博市沂源县大张庄镇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南岩四村、西峪河淄博市沂源县大张庄镇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南墁、红星、沙崖子、松崮河淄博市沂源县大张庄镇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牛栏峪河淄博市沂源县大张庄镇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上升科河段（东）淄博市沂源县大张庄镇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上升科河段（西）淄博市沂源县大张庄镇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胜利村、上淤土地、下淤土地、栗洼河淄博市沂源县大张庄镇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石柱河淄博市沂源县大张庄镇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西唐庄（松山沟、西山小河）淄博市沂源县大张庄镇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下升科河淄博市沂源县大张庄镇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闲场河淄博市沂源县大张庄镇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小官庄、北村、新村河淄博市沂源县大张庄镇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张家旁峪河淄博市沂源县大张庄镇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左家旁峪（小河）河淄博市沂源县大张庄镇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土眉峪村内河淄博市沂源县大张庄镇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南沟河淄博市沂源县大张庄镇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铁场河淄博市沂源县大张庄镇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东沟河淄博市沂源县大张庄镇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西沟淄博市沂源县大张庄镇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东上峪河淄博市沂源县大张庄镇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石夹河淄博市沂源县大张庄镇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南岩河支流1淄博市沂源县大张庄镇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南岩河支流2淄博市沂源县大张庄镇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后家河淄博市沂源县大张庄镇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黑峪河淄博市沂源县大张庄镇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东沟小河淄博市沂源县大张庄镇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石狼峪河淄博市沂源县大张庄镇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大三地村内河淄博市沂源县大张庄镇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双庙村内河淄博市沂源县大张庄镇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村前河淄博市沂源县大张庄镇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西山村内河淄博市沂源县大张庄镇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干河子淄博市沂源县大张庄镇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回峪河淄博市沂源县大张庄镇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东上峪（黄崖）河淄博市沂源县大张庄镇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燕崖镇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安乐官庄河淄博市沂源县燕崖镇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大洪峪河淄博市沂源县燕崖镇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红岭子河淄博市沂源县燕崖镇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井子峪河淄博市沂源县燕崖镇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马岭河淄博市沂源县燕崖镇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碾砣河淄博市沂源县燕崖镇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偏良山河淄博市沂源县燕崖镇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平安河淄博市沂源县燕崖镇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蒲峪河淄博市沂源县燕崖镇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上龙巷河淄博市沂源县燕崖镇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石板河淄博市沂源县燕崖镇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西白峪河淄博市沂源县燕崖镇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西郑河淄博市沂源县燕崖镇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东郑河淄博市沂源县燕崖镇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中辉河淄博市沂源县燕崖镇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杏花河淄博市沂源县燕崖镇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双泉河淄博市沂源县燕崖镇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刘庄河淄博市沂源县燕崖镇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中庄镇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北坡村内河淄博市沂源县中庄镇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道坐崮河淄博市沂源县中庄镇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盖冶村内河淄博市沂源县中庄镇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耿庄河淄博市沂源县中庄镇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韩庄河淄博市沂源县中庄镇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后峪子河淄博市沂源县中庄镇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焦家上庄村内河淄博市沂源县中庄镇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列里村内河淄博市沂源县中庄镇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马连峪河淄博市沂源县中庄镇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青龙官庄河淄博市沂源县中庄镇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阮南峪河淄博市沂源县中庄镇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社庄村内河淄博市沂源县中庄镇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桐峪河淄博市沂源县中庄镇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西柳峪村内河淄博市沂源县中庄镇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大峪河淄博市沂源县中庄镇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桃峪河淄博市沂源县中庄镇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耿庄村内河淄博市沂源县中庄镇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大沟河淄博市沂源县中庄镇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杨家庄河支流淄博市沂源县中庄镇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高厂河淄博市沂源县中庄镇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西里镇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金星河淄博市沂源县西里镇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柳泉沟河淄博市沂源县西里镇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山西万河淄博市沂源县西里镇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下冷泉河淄博市沂源县西里镇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薛家峪河淄博市沂源县西里镇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裕华河淄博市沂源县西里镇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唐庄河淄博市沂源县西里镇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月庄河淄博市沂源县西里镇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苗庄河淄博市沂源县西里镇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徐家庄河淄博市沂源县西里镇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江家峪河淄博市沂源县西里镇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黎明河淄博市沂源县西里镇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清泉河淄博市沂源县西里镇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双胜河淄博市沂源县西里镇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新华河淄博市沂源县西里镇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下沟河淄博市沂源县西里镇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龙洼河淄博市沂源县西里镇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石炕子河淄博市沂源县西里镇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50.13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东里镇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柳沟河淄博市沂源县东里镇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柴家庄河淄博市沂源县东里镇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大洼河淄博市沂源县东里镇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福禄坪河淄博市沂源县东里镇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巨东河淄博市沂源县东里镇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龙王峪河淄博市沂源县东里镇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墨牛河淄博市沂源县东里镇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水北河淄博市沂源县东里镇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四崮峪河淄博市沂源县东里镇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院峪河淄博市沂源县东里镇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马家沟河淄博市沂源县东里镇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张家坡镇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前瓜峪河淄博市沂源县张家坡镇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巨石崖河淄博市沂源县张家坡镇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邵家峪河淄博市沂源县张家坡镇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冯家圈河淄博市沂源县张家坡镇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上河疃河淄博市沂源县张家坡镇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下河疃河淄博市沂源县张家坡镇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任马庄村内河淄博市沂源县张家坡镇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大石沟河淄博市沂源县张家坡镇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黄家峪河淄博市沂源县张家坡镇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张家坡村内河淄博市沂源县张家坡镇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保泉河淄博市沂源县张家坡镇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河东河淄博市沂源县张家坡镇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保安河淄博市沂源县张家坡镇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东王庄河淄博市沂源县张家坡镇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宋王庄河淄博市沂源县张家坡镇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西王庄河淄博市沂源县张家坡镇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林前河淄博市沂源县张家坡镇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桃花坪河淄博市沂源县张家坡镇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陈家沟河淄博市沂源县张家坡镇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北店子河淄博市沂源县张家坡镇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后峪河淄博市沂源县张家坡镇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撑子峪河淄博市沂源县张家坡镇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兴旺河淄博市沂源县张家坡镇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刘家峪河淄博市沂源县张家坡镇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石桥镇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北河峪河淄博市沂源县石桥镇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大泉河淄博市沂源县石桥镇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东北庄河淄博市沂源县石桥镇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分水河淄博市沂源县石桥镇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关河峪河淄博市沂源县石桥镇,悦庄镇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黑崖河淄博市沂源县石桥镇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黄安河淄博市沂源县石桥镇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珩崖河淄博市沂源县石桥镇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茶峪河淄博市沂源县石桥镇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松峪河淄博市沂源县石桥镇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茅子峪河淄博市沂源县石桥镇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葛庄河淄博市沂源县石桥镇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石龙河淄博市沂源县石桥镇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上峪河淄博市沂源县石桥镇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西北庄河淄博市沂源县石桥镇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错石河淄博市沂源县石桥镇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55.37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悦庄镇</w:t>
            </w: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埠村河淄博市沂源县悦庄镇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江泉峪河淄博市沂源县悦庄镇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涝洼河淄博市沂源县悦庄镇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龙巷河淄博市沂源县悦庄镇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上枝南沟河淄博市沂源县悦庄镇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田峪河淄博市沂源县悦庄镇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西鲍庄河淄博市沂源县悦庄镇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消水河淄博市沂源县悦庄镇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饮马河淄博市沂源县悦庄镇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悦庄河淄博市沂源县悦庄镇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踅庄河淄博市沂源县悦庄镇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石臼河淄博市沂源县悦庄镇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赵庄河淄博市沂源县悦庄镇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高家北峪河淄博市沂源县悦庄镇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桃花峪河淄博市沂源县悦庄镇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辽军部河淄博市沂源县悦庄镇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赵家峪河淄博市沂源县悦庄镇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黑山峪河淄博市沂源县悦庄镇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衣家庄河淄博市沂源县悦庄镇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寨里河淄博市沂源县悦庄镇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埠村西河淄博市沂源县悦庄镇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3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鲍庄河淄博市沂源县悦庄镇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8.87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5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</w:p>
        </w:tc>
        <w:tc>
          <w:tcPr>
            <w:tcW w:w="6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98.95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/>
        <w:jc w:val="righ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/>
        <w:jc w:val="right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各镇办水库明细表1-1  </w:t>
      </w:r>
    </w:p>
    <w:tbl>
      <w:tblPr>
        <w:tblStyle w:val="7"/>
        <w:tblW w:w="831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6"/>
        <w:gridCol w:w="2115"/>
        <w:gridCol w:w="1275"/>
        <w:gridCol w:w="1305"/>
        <w:gridCol w:w="1800"/>
        <w:gridCol w:w="115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水库名称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乡镇名称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村名称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注册登记号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划界面积(km</w:t>
            </w:r>
            <w:r>
              <w:rPr>
                <w:rStyle w:val="15"/>
                <w:b/>
                <w:bCs/>
                <w:sz w:val="24"/>
                <w:szCs w:val="24"/>
                <w:lang w:val="en-US" w:eastAsia="zh-CN" w:bidi="ar"/>
              </w:rPr>
              <w:t>2</w:t>
            </w:r>
            <w:r>
              <w:rPr>
                <w:rStyle w:val="16"/>
                <w:b/>
                <w:bCs/>
                <w:sz w:val="24"/>
                <w:szCs w:val="24"/>
                <w:lang w:val="en-US" w:eastAsia="zh-CN" w:bidi="ar"/>
              </w:rPr>
              <w:t>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陡起峪水库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南麻街道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陡起峪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37032350034-A4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盗玉秋水库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西上高村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37032350024-A4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侯家官庄水库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侯家官庄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37032350046-A4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朱家庄水库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朱家庄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37032350092-A4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北大岩(一)水库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历山街道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北大岩村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37032350004-A4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北大岩(二)水库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北大岩村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37032350003-A4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吴家官庄水库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吴家官庄村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37032350081-A4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西沙沟水库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西沙沟村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37032350085-A4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彩板峪水库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彩板峪村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37032350009-A4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窗户沟水库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窗户沟村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37032350018-A4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东沙沟水库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东沙沟村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37032350029-A4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璞邱一水库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南鲁山镇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璞邱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37032340012-A4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璞邱（二）水库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璞邱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37032350069-A4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孟坡水库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孟坡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37032350066-A4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董家庄水库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董家庄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37032350033-A4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车场水库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车场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37032350016-A4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郑家庄水库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郑家庄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37032350091-A4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菜园（东沟）水库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菜园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37032350010-A4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大坡水库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大坡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37032350022-A4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南流水水库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南流水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37032350067-A4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菜园（南沟）水库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菜园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37032350011-A4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崮山（北）水库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鲁村镇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崮山村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37032350041-A4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青杨圈水库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安平村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37032340013-A4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石门（一）水库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石门村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37032340015-A4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丁家庄（三岔河）水库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丁家庄村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37032350026-A4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丁家庄（草埠山）水库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丁家庄村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37032350025-A4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王家庄水库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王家庄村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37032350080-A4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吴家庄水库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吴家庄村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37032350082-A4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东岭水库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东岭村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37032350028-A4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姬家峪水库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姬家峪村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37032350049-A4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曹家庄（上）水库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曹家庄村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37032350012-A4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曹家庄（下）水库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曹家庄村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37032350013-A4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乐村水库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37032350053-A4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崮山（东）水库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崮山村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37032350042-A4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北官庄水库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北官庄村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37032350007-A4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上头庄水库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上头庄村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37032350072-A4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石门（二）水库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丁家庄村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37032350077-A4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西五陡（下）水库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西五陡村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37032350087-A4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西官庄水库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西官庄村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37032350083-A4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峨峪水库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峨峪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37032350035-A4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北官庄（二）水库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北官庄村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37032350006-A4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西五陡（上）水库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西五陡村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37032350086-A4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高峪（泉崖）水库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高峪村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37032350036-A4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高峪（西前峪）水库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高峪村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37032350037-A4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草埠一村水库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草埠村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37032350015-A4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李家泉子（东）水库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李家泉子村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37032350055-A4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李家泉子（西）水库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李家泉子村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37032350056-A4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大娄水库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大张庄镇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旋风片北山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37032350021-A4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东上峪水库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东上峪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37032350030-A4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左家旁峪水库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左家旁峪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37032350062-A4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刘家旁峪水库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刘家旁峪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37032350059-A4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下升科峪水库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下升科峪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37032350088-A4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上于土地水库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上于土地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37032350073-A4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上升科峪水库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上升科峪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37032350071-A4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牛栏峪水库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牛栏峪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37032350068-A4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保安庄水库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保安庄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37032350001-A4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董家河沟水库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董家河沟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37032350032-A4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太平庄水库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太平庄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37032350078-A4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曹家庄水库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曹家庄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37032350014-A4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赤坂水库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赤坂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37032350017-A4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东唐庄水库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东唐庄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37032350031-A4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刘庄水库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燕崖镇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刘庄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37032350061-A4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社庄水库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中庄镇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社庄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37032340014-A4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耿庄水库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耿庄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37032350039-A4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列里水库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列里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37032350058-A4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崮东万水库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西里镇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崮东万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37032350040-A4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曹宅水库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曹宅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37032340003-A4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李家沟水库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东里镇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李家沟村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37032350054-A4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龙王峪水库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龙王峪村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37032350064-A4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后峪水库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张家坡镇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后峪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37032340007-A4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北店子（二）水库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北店子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37032350005-A4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邵家峪水库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邵家峪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37032350074-A4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刘家峪水库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刘家峪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37032350060-A4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大石沟水库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大石沟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37032350023-A4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郭家上峪水库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石桥镇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郭家上峪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37032340006-A4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毫山水库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毫山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37032350045-A4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东北庄水库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东北庄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37032350027-A4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马庄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37032350065-A4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黄墩河水库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黄墩河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37032350047-A4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关河峪（栗子园）水库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关河峪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37032350044-A4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关河峪（大路沟）水库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关河峪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37032350043-A4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圣佛山水库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圣佛山景区郭家上峪村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37032350075-A4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葛庄水库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葛庄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37032350038-A4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豹家峪水库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悦庄镇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李家庄村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37032350002-A4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埠村西山水库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埠村西山村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37032350008-A4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崔家庄水库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崔家庄村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37032350019-A4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大涝洼水库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西赵庄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37032350020-A4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黄山子水库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黄山子村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37032350048-A4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狼窝子沟水库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张家庄村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37032350052-A4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李家庄水库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李家庄村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37032350057-A4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龙王官庄（二）水库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龙王官庄村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37032350063-A4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青龙山水库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黄山子村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37032350070-A4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赵家峪水库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赵家峪村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37032350090-A4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大寺水库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七里寺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37032340005-A4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双跃水库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黄山子村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37032340017-A4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龙王官庄一水库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王官庄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37032340009-A4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北营水库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北营村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37032340002-A4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赵庄水库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赵庄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37032340020-A4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抗子沟水库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抗子沟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37032350051-A4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桃花峪水库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桃花峪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37032350079-A4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西辽军部水库</w:t>
            </w:r>
          </w:p>
        </w:tc>
        <w:tc>
          <w:tcPr>
            <w:tcW w:w="12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西辽军部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37032350084-A4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16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5.163</w:t>
            </w:r>
          </w:p>
        </w:tc>
      </w:tr>
    </w:tbl>
    <w:p>
      <w:pPr>
        <w:adjustRightInd w:val="0"/>
        <w:snapToGrid w:val="0"/>
        <w:spacing w:line="520" w:lineRule="exact"/>
        <w:ind w:firstLine="643" w:firstLineChars="200"/>
        <w:rPr>
          <w:rFonts w:hint="eastAsia" w:ascii="Times New Roman" w:hAnsi="Times New Roman" w:eastAsia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区域内河道进行河道治理后，其河道管理范围按照有关要求适时进行调整。</w:t>
      </w:r>
    </w:p>
    <w:p>
      <w:pPr>
        <w:adjustRightInd w:val="0"/>
        <w:snapToGrid w:val="0"/>
        <w:spacing w:line="520" w:lineRule="exact"/>
        <w:ind w:firstLine="643" w:firstLineChars="200"/>
        <w:rPr>
          <w:rFonts w:hint="eastAsia" w:ascii="Times New Roman" w:hAnsi="Times New Roman" w:eastAsia="仿宋_GB2312"/>
          <w:b/>
          <w:bCs/>
          <w:sz w:val="32"/>
          <w:szCs w:val="32"/>
        </w:rPr>
      </w:pPr>
    </w:p>
    <w:p>
      <w:pPr>
        <w:pStyle w:val="2"/>
        <w:rPr>
          <w:rFonts w:hint="eastAsia" w:ascii="Times New Roman" w:hAnsi="Times New Roman" w:eastAsia="仿宋_GB2312"/>
          <w:b/>
          <w:bCs/>
          <w:sz w:val="32"/>
          <w:szCs w:val="32"/>
        </w:rPr>
      </w:pPr>
    </w:p>
    <w:p>
      <w:pPr>
        <w:pStyle w:val="2"/>
        <w:rPr>
          <w:rFonts w:hint="eastAsia" w:ascii="Times New Roman" w:hAnsi="Times New Roman" w:eastAsia="仿宋_GB2312"/>
          <w:b/>
          <w:bCs/>
          <w:sz w:val="32"/>
          <w:szCs w:val="32"/>
        </w:rPr>
      </w:pPr>
    </w:p>
    <w:p>
      <w:pPr>
        <w:adjustRightInd w:val="0"/>
        <w:snapToGrid w:val="0"/>
        <w:spacing w:line="520" w:lineRule="exact"/>
        <w:ind w:firstLine="643" w:firstLineChars="200"/>
        <w:rPr>
          <w:rFonts w:hint="eastAsia" w:ascii="Times New Roman" w:hAnsi="Times New Roman" w:eastAsia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 xml:space="preserve">                     </w:t>
      </w:r>
    </w:p>
    <w:p>
      <w:pPr>
        <w:adjustRightInd w:val="0"/>
        <w:snapToGrid w:val="0"/>
        <w:spacing w:line="520" w:lineRule="exact"/>
        <w:ind w:firstLine="643" w:firstLineChars="200"/>
        <w:jc w:val="right"/>
        <w:rPr>
          <w:rFonts w:hint="eastAsia" w:ascii="Times New Roman" w:hAnsi="Times New Roman" w:eastAsia="仿宋_GB2312"/>
          <w:b/>
          <w:bCs/>
          <w:sz w:val="32"/>
          <w:szCs w:val="32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 xml:space="preserve">                      20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年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月</w:t>
      </w:r>
      <w:r>
        <w:rPr>
          <w:rFonts w:hint="eastAsia" w:eastAsia="仿宋_GB2312"/>
          <w:b/>
          <w:bCs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Times New Roman" w:hAnsi="Times New Roman" w:eastAsia="仿宋_GB2312"/>
          <w:b/>
          <w:bCs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91A"/>
    <w:rsid w:val="00002416"/>
    <w:rsid w:val="00004400"/>
    <w:rsid w:val="0001016B"/>
    <w:rsid w:val="00014D02"/>
    <w:rsid w:val="00055DCC"/>
    <w:rsid w:val="0009627A"/>
    <w:rsid w:val="000A07EE"/>
    <w:rsid w:val="000A3C20"/>
    <w:rsid w:val="000A6B2F"/>
    <w:rsid w:val="000B3B5D"/>
    <w:rsid w:val="000B3FAA"/>
    <w:rsid w:val="000C7BA6"/>
    <w:rsid w:val="000D246F"/>
    <w:rsid w:val="001527E9"/>
    <w:rsid w:val="001949A2"/>
    <w:rsid w:val="001B51C1"/>
    <w:rsid w:val="001B7974"/>
    <w:rsid w:val="001C7564"/>
    <w:rsid w:val="001F5F4B"/>
    <w:rsid w:val="00201ACC"/>
    <w:rsid w:val="0028513D"/>
    <w:rsid w:val="002B0718"/>
    <w:rsid w:val="002C6F89"/>
    <w:rsid w:val="002D694B"/>
    <w:rsid w:val="002F0D28"/>
    <w:rsid w:val="00333AA2"/>
    <w:rsid w:val="00356EA0"/>
    <w:rsid w:val="0037146E"/>
    <w:rsid w:val="00373E76"/>
    <w:rsid w:val="003B520E"/>
    <w:rsid w:val="003C55CE"/>
    <w:rsid w:val="003D04A1"/>
    <w:rsid w:val="003D28CF"/>
    <w:rsid w:val="003E0385"/>
    <w:rsid w:val="003F152D"/>
    <w:rsid w:val="0040091A"/>
    <w:rsid w:val="004308F7"/>
    <w:rsid w:val="00433DE7"/>
    <w:rsid w:val="00451596"/>
    <w:rsid w:val="004527AE"/>
    <w:rsid w:val="00493094"/>
    <w:rsid w:val="004D20BF"/>
    <w:rsid w:val="004D443D"/>
    <w:rsid w:val="004D5104"/>
    <w:rsid w:val="004F365F"/>
    <w:rsid w:val="005009F9"/>
    <w:rsid w:val="00506F21"/>
    <w:rsid w:val="005279BA"/>
    <w:rsid w:val="00537366"/>
    <w:rsid w:val="00540EDF"/>
    <w:rsid w:val="005443E1"/>
    <w:rsid w:val="005E7AF7"/>
    <w:rsid w:val="005F3A3F"/>
    <w:rsid w:val="005F403C"/>
    <w:rsid w:val="0061625B"/>
    <w:rsid w:val="00641608"/>
    <w:rsid w:val="00647330"/>
    <w:rsid w:val="00661350"/>
    <w:rsid w:val="006A1652"/>
    <w:rsid w:val="006A6D38"/>
    <w:rsid w:val="006C3F2F"/>
    <w:rsid w:val="006D1F18"/>
    <w:rsid w:val="006E6823"/>
    <w:rsid w:val="00722C29"/>
    <w:rsid w:val="00770228"/>
    <w:rsid w:val="00773C61"/>
    <w:rsid w:val="00777F5D"/>
    <w:rsid w:val="0078178F"/>
    <w:rsid w:val="007935B6"/>
    <w:rsid w:val="00795C0C"/>
    <w:rsid w:val="007B2A1B"/>
    <w:rsid w:val="007C2F46"/>
    <w:rsid w:val="007D178E"/>
    <w:rsid w:val="008065DF"/>
    <w:rsid w:val="008152BB"/>
    <w:rsid w:val="00883AE8"/>
    <w:rsid w:val="00895121"/>
    <w:rsid w:val="008D4E72"/>
    <w:rsid w:val="008E4863"/>
    <w:rsid w:val="00956F50"/>
    <w:rsid w:val="009862A7"/>
    <w:rsid w:val="00992613"/>
    <w:rsid w:val="0099265F"/>
    <w:rsid w:val="0099754E"/>
    <w:rsid w:val="009A71B7"/>
    <w:rsid w:val="009B52BC"/>
    <w:rsid w:val="009C66CE"/>
    <w:rsid w:val="009D6BBB"/>
    <w:rsid w:val="009E3394"/>
    <w:rsid w:val="009E3606"/>
    <w:rsid w:val="00A408B2"/>
    <w:rsid w:val="00A4451B"/>
    <w:rsid w:val="00A51D2A"/>
    <w:rsid w:val="00A82B67"/>
    <w:rsid w:val="00A933D8"/>
    <w:rsid w:val="00AF09D4"/>
    <w:rsid w:val="00AF305F"/>
    <w:rsid w:val="00AF649E"/>
    <w:rsid w:val="00B16269"/>
    <w:rsid w:val="00B30979"/>
    <w:rsid w:val="00B40A75"/>
    <w:rsid w:val="00B455F6"/>
    <w:rsid w:val="00B475C9"/>
    <w:rsid w:val="00B60ED5"/>
    <w:rsid w:val="00B875A1"/>
    <w:rsid w:val="00BB1BD9"/>
    <w:rsid w:val="00BF7A55"/>
    <w:rsid w:val="00C04655"/>
    <w:rsid w:val="00C17E28"/>
    <w:rsid w:val="00C23E16"/>
    <w:rsid w:val="00C432CD"/>
    <w:rsid w:val="00C86111"/>
    <w:rsid w:val="00C976BA"/>
    <w:rsid w:val="00C97E6F"/>
    <w:rsid w:val="00CC60B0"/>
    <w:rsid w:val="00CC6A3C"/>
    <w:rsid w:val="00CE6896"/>
    <w:rsid w:val="00CF53E5"/>
    <w:rsid w:val="00D20224"/>
    <w:rsid w:val="00D441CF"/>
    <w:rsid w:val="00D84A3E"/>
    <w:rsid w:val="00D84F69"/>
    <w:rsid w:val="00D940AD"/>
    <w:rsid w:val="00DC1DDD"/>
    <w:rsid w:val="00DD3AF7"/>
    <w:rsid w:val="00DD7157"/>
    <w:rsid w:val="00DE0E18"/>
    <w:rsid w:val="00E6227F"/>
    <w:rsid w:val="00EB0817"/>
    <w:rsid w:val="00EB2928"/>
    <w:rsid w:val="00EB3A62"/>
    <w:rsid w:val="00ED0980"/>
    <w:rsid w:val="00ED5DA6"/>
    <w:rsid w:val="00EE37E0"/>
    <w:rsid w:val="00F00D6C"/>
    <w:rsid w:val="00F172D0"/>
    <w:rsid w:val="00F41FCC"/>
    <w:rsid w:val="00F60B39"/>
    <w:rsid w:val="00F905BD"/>
    <w:rsid w:val="00FD10D8"/>
    <w:rsid w:val="020709AE"/>
    <w:rsid w:val="0D9166D4"/>
    <w:rsid w:val="141821FA"/>
    <w:rsid w:val="16642432"/>
    <w:rsid w:val="16891E1F"/>
    <w:rsid w:val="16F25848"/>
    <w:rsid w:val="1B480851"/>
    <w:rsid w:val="1BF61C1D"/>
    <w:rsid w:val="1EA75632"/>
    <w:rsid w:val="23B7433D"/>
    <w:rsid w:val="26413BC3"/>
    <w:rsid w:val="273C39BB"/>
    <w:rsid w:val="275D512C"/>
    <w:rsid w:val="295B4DDF"/>
    <w:rsid w:val="2B6E0DBF"/>
    <w:rsid w:val="2D971848"/>
    <w:rsid w:val="32F723EC"/>
    <w:rsid w:val="36C070D4"/>
    <w:rsid w:val="37033BF6"/>
    <w:rsid w:val="40D65069"/>
    <w:rsid w:val="441D1B59"/>
    <w:rsid w:val="452522CF"/>
    <w:rsid w:val="46083E27"/>
    <w:rsid w:val="46EA47CE"/>
    <w:rsid w:val="47CC5116"/>
    <w:rsid w:val="47D35B16"/>
    <w:rsid w:val="500D24C5"/>
    <w:rsid w:val="538C38A3"/>
    <w:rsid w:val="55BC57FF"/>
    <w:rsid w:val="55E41417"/>
    <w:rsid w:val="58035693"/>
    <w:rsid w:val="59767970"/>
    <w:rsid w:val="5B682D1A"/>
    <w:rsid w:val="5ED52830"/>
    <w:rsid w:val="6611329B"/>
    <w:rsid w:val="685E3E38"/>
    <w:rsid w:val="6B0A5B45"/>
    <w:rsid w:val="72262260"/>
    <w:rsid w:val="7ADD68F3"/>
    <w:rsid w:val="7DF61B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qFormat/>
    <w:uiPriority w:val="99"/>
    <w:pPr>
      <w:ind w:firstLine="420" w:firstLineChars="200"/>
    </w:pPr>
  </w:style>
  <w:style w:type="paragraph" w:styleId="3">
    <w:name w:val="Body Text Indent"/>
    <w:basedOn w:val="1"/>
    <w:qFormat/>
    <w:uiPriority w:val="99"/>
    <w:pPr>
      <w:spacing w:after="120"/>
      <w:ind w:left="360"/>
    </w:pPr>
    <w:rPr>
      <w:color w:val="595959"/>
    </w:rPr>
  </w:style>
  <w:style w:type="paragraph" w:styleId="4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0">
    <w:name w:val="批注框文本 Char"/>
    <w:link w:val="4"/>
    <w:semiHidden/>
    <w:qFormat/>
    <w:uiPriority w:val="99"/>
    <w:rPr>
      <w:kern w:val="2"/>
      <w:sz w:val="18"/>
      <w:szCs w:val="18"/>
    </w:rPr>
  </w:style>
  <w:style w:type="character" w:customStyle="1" w:styleId="11">
    <w:name w:val="页眉 Char"/>
    <w:link w:val="6"/>
    <w:qFormat/>
    <w:uiPriority w:val="99"/>
    <w:rPr>
      <w:sz w:val="18"/>
      <w:szCs w:val="18"/>
    </w:rPr>
  </w:style>
  <w:style w:type="character" w:customStyle="1" w:styleId="12">
    <w:name w:val="页脚 Char"/>
    <w:link w:val="5"/>
    <w:qFormat/>
    <w:uiPriority w:val="99"/>
    <w:rPr>
      <w:sz w:val="18"/>
      <w:szCs w:val="18"/>
    </w:rPr>
  </w:style>
  <w:style w:type="character" w:customStyle="1" w:styleId="13">
    <w:name w:val="font101"/>
    <w:basedOn w:val="9"/>
    <w:qFormat/>
    <w:uiPriority w:val="0"/>
    <w:rPr>
      <w:rFonts w:hint="default" w:ascii="仿宋_GB2312" w:eastAsia="仿宋_GB2312" w:cs="仿宋_GB2312"/>
      <w:color w:val="00CCFF"/>
      <w:sz w:val="18"/>
      <w:szCs w:val="18"/>
      <w:u w:val="none"/>
    </w:rPr>
  </w:style>
  <w:style w:type="character" w:customStyle="1" w:styleId="14">
    <w:name w:val="font91"/>
    <w:basedOn w:val="9"/>
    <w:qFormat/>
    <w:uiPriority w:val="0"/>
    <w:rPr>
      <w:rFonts w:hint="default" w:ascii="仿宋_GB2312" w:eastAsia="仿宋_GB2312" w:cs="仿宋_GB2312"/>
      <w:color w:val="000000"/>
      <w:sz w:val="18"/>
      <w:szCs w:val="18"/>
      <w:u w:val="none"/>
    </w:rPr>
  </w:style>
  <w:style w:type="character" w:customStyle="1" w:styleId="15">
    <w:name w:val="font41"/>
    <w:basedOn w:val="9"/>
    <w:uiPriority w:val="0"/>
    <w:rPr>
      <w:rFonts w:hint="eastAsia" w:ascii="宋体" w:hAnsi="宋体" w:eastAsia="宋体" w:cs="宋体"/>
      <w:b/>
      <w:color w:val="000000"/>
      <w:sz w:val="20"/>
      <w:szCs w:val="20"/>
      <w:u w:val="none"/>
      <w:vertAlign w:val="superscript"/>
    </w:rPr>
  </w:style>
  <w:style w:type="character" w:customStyle="1" w:styleId="16">
    <w:name w:val="font21"/>
    <w:basedOn w:val="9"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166</Words>
  <Characters>949</Characters>
  <Lines>7</Lines>
  <Paragraphs>2</Paragraphs>
  <TotalTime>60</TotalTime>
  <ScaleCrop>false</ScaleCrop>
  <LinksUpToDate>false</LinksUpToDate>
  <CharactersWithSpaces>1113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2018-12-21T08:13:00Z</dcterms:created>
  <dc:creator>Administrator</dc:creator>
  <cp:lastModifiedBy>道成</cp:lastModifiedBy>
  <cp:lastPrinted>2019-09-29T00:27:00Z</cp:lastPrinted>
  <dcterms:modified xsi:type="dcterms:W3CDTF">2020-08-03T05:57:28Z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