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AA" w:rsidRDefault="006D6383">
      <w:pPr>
        <w:pStyle w:val="a3"/>
        <w:widowControl/>
      </w:pPr>
      <w:r>
        <w:t> </w:t>
      </w:r>
    </w:p>
    <w:p w:rsidR="006D6383" w:rsidRDefault="006D6383">
      <w:pPr>
        <w:pStyle w:val="a3"/>
        <w:widowControl/>
        <w:spacing w:line="630" w:lineRule="atLeast"/>
        <w:jc w:val="center"/>
        <w:rPr>
          <w:rStyle w:val="a4"/>
          <w:rFonts w:ascii="黑体" w:eastAsia="黑体" w:hAnsi="宋体" w:cs="黑体"/>
          <w:sz w:val="43"/>
          <w:szCs w:val="43"/>
        </w:rPr>
      </w:pPr>
      <w:r>
        <w:rPr>
          <w:rStyle w:val="a4"/>
          <w:rFonts w:ascii="黑体" w:eastAsia="黑体" w:hAnsi="宋体" w:cs="黑体"/>
          <w:sz w:val="43"/>
          <w:szCs w:val="43"/>
        </w:rPr>
        <w:t>沂源县</w:t>
      </w:r>
      <w:r>
        <w:rPr>
          <w:rStyle w:val="a4"/>
          <w:rFonts w:ascii="黑体" w:eastAsia="黑体" w:hAnsi="宋体" w:cs="黑体" w:hint="eastAsia"/>
          <w:sz w:val="43"/>
          <w:szCs w:val="43"/>
        </w:rPr>
        <w:t>水利局</w:t>
      </w:r>
    </w:p>
    <w:p w:rsidR="00A856AA" w:rsidRDefault="006D6383">
      <w:pPr>
        <w:pStyle w:val="a3"/>
        <w:widowControl/>
        <w:spacing w:line="630" w:lineRule="atLeast"/>
        <w:jc w:val="center"/>
      </w:pPr>
      <w:r>
        <w:rPr>
          <w:rStyle w:val="a4"/>
          <w:rFonts w:ascii="黑体" w:eastAsia="黑体" w:hAnsi="宋体" w:cs="黑体"/>
          <w:sz w:val="43"/>
          <w:szCs w:val="43"/>
        </w:rPr>
        <w:t>2019年政府信息公开工作年度报告</w:t>
      </w:r>
      <w:r w:rsidR="002B3181">
        <w:rPr>
          <w:rStyle w:val="a4"/>
          <w:rFonts w:ascii="黑体" w:eastAsia="黑体" w:hAnsi="宋体" w:cs="黑体" w:hint="eastAsia"/>
          <w:sz w:val="43"/>
          <w:szCs w:val="43"/>
        </w:rPr>
        <w:t>解读</w:t>
      </w:r>
    </w:p>
    <w:p w:rsidR="006D6383" w:rsidRDefault="006D6383">
      <w:pPr>
        <w:pStyle w:val="a3"/>
        <w:widowControl/>
        <w:rPr>
          <w:rStyle w:val="a4"/>
          <w:rFonts w:ascii="仿宋" w:eastAsia="仿宋" w:hAnsi="仿宋" w:cs="仿宋"/>
          <w:sz w:val="31"/>
          <w:szCs w:val="31"/>
        </w:rPr>
      </w:pPr>
      <w:r>
        <w:rPr>
          <w:rStyle w:val="a4"/>
          <w:rFonts w:ascii="仿宋" w:eastAsia="仿宋" w:hAnsi="仿宋" w:cs="仿宋"/>
          <w:sz w:val="31"/>
          <w:szCs w:val="31"/>
        </w:rPr>
        <w:t>   </w:t>
      </w:r>
    </w:p>
    <w:p w:rsidR="002B3181" w:rsidRPr="002B3181" w:rsidRDefault="002B3181" w:rsidP="002B3181">
      <w:pPr>
        <w:pStyle w:val="a3"/>
        <w:widowControl/>
        <w:ind w:left="413" w:firstLineChars="150" w:firstLine="467"/>
        <w:rPr>
          <w:rStyle w:val="a4"/>
          <w:rFonts w:ascii="黑体" w:eastAsia="黑体" w:hAnsi="宋体" w:cs="黑体" w:hint="eastAsia"/>
          <w:sz w:val="31"/>
          <w:szCs w:val="31"/>
        </w:rPr>
      </w:pPr>
      <w:r w:rsidRPr="002B3181">
        <w:rPr>
          <w:rStyle w:val="a4"/>
          <w:rFonts w:ascii="黑体" w:eastAsia="黑体" w:hAnsi="宋体" w:cs="黑体" w:hint="eastAsia"/>
          <w:sz w:val="31"/>
          <w:szCs w:val="31"/>
        </w:rPr>
        <w:t>一、起草背景</w:t>
      </w:r>
    </w:p>
    <w:p w:rsidR="002B3181" w:rsidRDefault="006D6383" w:rsidP="002B3181">
      <w:pPr>
        <w:pStyle w:val="a3"/>
        <w:widowControl/>
        <w:ind w:firstLineChars="250" w:firstLine="778"/>
        <w:rPr>
          <w:rFonts w:eastAsia="仿宋" w:hint="eastAsia"/>
          <w:color w:val="FF0000"/>
        </w:rPr>
      </w:pPr>
      <w:r>
        <w:rPr>
          <w:rStyle w:val="a4"/>
          <w:rFonts w:ascii="仿宋" w:eastAsia="仿宋" w:hAnsi="仿宋" w:cs="仿宋"/>
          <w:sz w:val="31"/>
          <w:szCs w:val="31"/>
        </w:rPr>
        <w:t>本报告按照新修订的《中华人民共和国政府信息公开条例》（以下简称《条例》）和《山东省政府信息公开办法》（以下简称《办法》）规定</w:t>
      </w:r>
      <w:r w:rsidR="002B3181">
        <w:rPr>
          <w:rStyle w:val="a4"/>
          <w:rFonts w:ascii="仿宋" w:eastAsia="仿宋" w:hAnsi="仿宋" w:cs="仿宋" w:hint="eastAsia"/>
          <w:sz w:val="31"/>
          <w:szCs w:val="31"/>
        </w:rPr>
        <w:t>起草</w:t>
      </w:r>
      <w:r>
        <w:rPr>
          <w:rStyle w:val="a4"/>
          <w:rFonts w:ascii="仿宋" w:eastAsia="仿宋" w:hAnsi="仿宋" w:cs="仿宋"/>
          <w:sz w:val="31"/>
          <w:szCs w:val="31"/>
        </w:rPr>
        <w:t>，</w:t>
      </w:r>
      <w:r>
        <w:rPr>
          <w:rStyle w:val="a4"/>
          <w:rFonts w:ascii="仿宋" w:eastAsia="仿宋" w:hAnsi="仿宋" w:cs="仿宋" w:hint="eastAsia"/>
          <w:sz w:val="31"/>
          <w:szCs w:val="31"/>
        </w:rPr>
        <w:t>报告全文由总体情况、主动公开政府信息情况、收到和处理政府信息公开申请情况、因政府信息公开工作被申请行政复议与提起行政诉讼情况</w:t>
      </w:r>
      <w:bookmarkStart w:id="0" w:name="_GoBack"/>
      <w:bookmarkEnd w:id="0"/>
      <w:r>
        <w:rPr>
          <w:rStyle w:val="a4"/>
          <w:rFonts w:ascii="仿宋" w:eastAsia="仿宋" w:hAnsi="仿宋" w:cs="仿宋" w:hint="eastAsia"/>
          <w:sz w:val="31"/>
          <w:szCs w:val="31"/>
        </w:rPr>
        <w:t>、政府信息公开工作存在的主要问题及改进情况等部分组成。报告中所列数据统计期限自2019年1月1日始，至2019年12月31</w:t>
      </w:r>
      <w:r w:rsidR="002B3181">
        <w:rPr>
          <w:rStyle w:val="a4"/>
          <w:rFonts w:ascii="仿宋" w:eastAsia="仿宋" w:hAnsi="仿宋" w:cs="仿宋" w:hint="eastAsia"/>
          <w:sz w:val="31"/>
          <w:szCs w:val="31"/>
        </w:rPr>
        <w:t>日止。报告电子版可从沂源县人民政府门户网</w:t>
      </w:r>
      <w:r>
        <w:rPr>
          <w:rStyle w:val="a4"/>
          <w:rFonts w:ascii="仿宋" w:eastAsia="仿宋" w:hAnsi="仿宋" w:cs="仿宋" w:hint="eastAsia"/>
          <w:sz w:val="31"/>
          <w:szCs w:val="31"/>
        </w:rPr>
        <w:t>（</w:t>
      </w:r>
      <w:proofErr w:type="spellStart"/>
      <w:r>
        <w:rPr>
          <w:rStyle w:val="a4"/>
          <w:rFonts w:ascii="仿宋" w:eastAsia="仿宋" w:hAnsi="仿宋" w:cs="仿宋" w:hint="eastAsia"/>
          <w:sz w:val="31"/>
          <w:szCs w:val="31"/>
        </w:rPr>
        <w:t>www.yiyuan.gov.cn</w:t>
      </w:r>
      <w:proofErr w:type="spellEnd"/>
      <w:r>
        <w:rPr>
          <w:rStyle w:val="a4"/>
          <w:rFonts w:ascii="仿宋" w:eastAsia="仿宋" w:hAnsi="仿宋" w:cs="仿宋" w:hint="eastAsia"/>
          <w:sz w:val="31"/>
          <w:szCs w:val="31"/>
        </w:rPr>
        <w:t>）下载。</w:t>
      </w:r>
    </w:p>
    <w:p w:rsidR="00A856AA" w:rsidRPr="002B3181" w:rsidRDefault="002B3181" w:rsidP="002B3181">
      <w:pPr>
        <w:pStyle w:val="a3"/>
        <w:widowControl/>
        <w:ind w:firstLineChars="250" w:firstLine="778"/>
        <w:rPr>
          <w:rFonts w:eastAsia="仿宋"/>
          <w:color w:val="FF0000"/>
        </w:rPr>
      </w:pPr>
      <w:r>
        <w:rPr>
          <w:rStyle w:val="a4"/>
          <w:rFonts w:ascii="黑体" w:eastAsia="黑体" w:hAnsi="宋体" w:cs="黑体" w:hint="eastAsia"/>
          <w:sz w:val="31"/>
          <w:szCs w:val="31"/>
        </w:rPr>
        <w:t>二</w:t>
      </w:r>
      <w:r w:rsidR="006D6383">
        <w:rPr>
          <w:rStyle w:val="a4"/>
          <w:rFonts w:ascii="黑体" w:eastAsia="黑体" w:hAnsi="宋体" w:cs="黑体" w:hint="eastAsia"/>
          <w:sz w:val="31"/>
          <w:szCs w:val="31"/>
        </w:rPr>
        <w:t>、总体情况</w:t>
      </w:r>
    </w:p>
    <w:p w:rsidR="002B3181" w:rsidRPr="002B3181" w:rsidRDefault="006D6383" w:rsidP="002B3181">
      <w:pPr>
        <w:pStyle w:val="a3"/>
        <w:widowControl/>
        <w:rPr>
          <w:rStyle w:val="a4"/>
          <w:rFonts w:ascii="楷体_GB2312" w:eastAsia="楷体_GB2312" w:hAnsi="仿宋" w:cs="仿宋" w:hint="eastAsia"/>
          <w:sz w:val="31"/>
          <w:szCs w:val="31"/>
        </w:rPr>
      </w:pPr>
      <w:r w:rsidRPr="002B3181">
        <w:rPr>
          <w:rStyle w:val="a4"/>
          <w:rFonts w:ascii="仿宋" w:eastAsia="仿宋" w:hAnsi="仿宋" w:cs="仿宋" w:hint="eastAsia"/>
          <w:sz w:val="31"/>
          <w:szCs w:val="31"/>
        </w:rPr>
        <w:t> </w:t>
      </w:r>
      <w:r w:rsidR="002B3181">
        <w:rPr>
          <w:rStyle w:val="a4"/>
          <w:rFonts w:ascii="仿宋" w:eastAsia="仿宋" w:hAnsi="仿宋" w:cs="仿宋" w:hint="eastAsia"/>
          <w:sz w:val="31"/>
          <w:szCs w:val="31"/>
        </w:rPr>
        <w:t xml:space="preserve"> </w:t>
      </w:r>
      <w:r w:rsidR="002B3181" w:rsidRPr="002B3181">
        <w:rPr>
          <w:rStyle w:val="a4"/>
          <w:rFonts w:ascii="楷体_GB2312" w:eastAsia="楷体_GB2312" w:hAnsi="仿宋" w:cs="仿宋" w:hint="eastAsia"/>
          <w:sz w:val="31"/>
          <w:szCs w:val="31"/>
        </w:rPr>
        <w:t>（一）主动公开内容</w:t>
      </w:r>
    </w:p>
    <w:p w:rsid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t>本年度主动公开政府信息41条，其中，机构职能1条，政务会议1条，建议提案4条，部门文件2条，公示公告10条，重大决策公开2条，政策解读2条，信息公开指南1条，信息公开年报1条，重点领域信息公开17条。</w:t>
      </w:r>
    </w:p>
    <w:p w:rsidR="002B3181" w:rsidRPr="002B3181" w:rsidRDefault="002B3181" w:rsidP="002B3181">
      <w:pPr>
        <w:pStyle w:val="a3"/>
        <w:widowControl/>
        <w:ind w:firstLineChars="150" w:firstLine="467"/>
        <w:rPr>
          <w:rStyle w:val="a4"/>
          <w:rFonts w:ascii="楷体_GB2312" w:eastAsia="楷体_GB2312" w:hAnsi="仿宋" w:cs="仿宋" w:hint="eastAsia"/>
          <w:sz w:val="31"/>
          <w:szCs w:val="31"/>
        </w:rPr>
      </w:pPr>
      <w:r w:rsidRPr="002B3181">
        <w:rPr>
          <w:rStyle w:val="a4"/>
          <w:rFonts w:ascii="楷体_GB2312" w:eastAsia="楷体_GB2312" w:hAnsi="仿宋" w:cs="仿宋" w:hint="eastAsia"/>
          <w:sz w:val="31"/>
          <w:szCs w:val="31"/>
        </w:rPr>
        <w:t>（二）依申请公开情况</w:t>
      </w:r>
    </w:p>
    <w:p w:rsid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lastRenderedPageBreak/>
        <w:t>本年度未接到公民、法人或者其他组织有关公开政府信息的申请。</w:t>
      </w:r>
    </w:p>
    <w:p w:rsidR="002B3181" w:rsidRPr="002B3181" w:rsidRDefault="002B3181" w:rsidP="002B3181">
      <w:pPr>
        <w:pStyle w:val="a3"/>
        <w:widowControl/>
        <w:ind w:firstLineChars="150" w:firstLine="467"/>
        <w:rPr>
          <w:rStyle w:val="a4"/>
          <w:rFonts w:ascii="楷体_GB2312" w:eastAsia="楷体_GB2312" w:hAnsi="仿宋" w:cs="仿宋" w:hint="eastAsia"/>
          <w:sz w:val="31"/>
          <w:szCs w:val="31"/>
        </w:rPr>
      </w:pPr>
      <w:r w:rsidRPr="002B3181">
        <w:rPr>
          <w:rStyle w:val="a4"/>
          <w:rFonts w:ascii="楷体_GB2312" w:eastAsia="楷体_GB2312" w:hAnsi="仿宋" w:cs="仿宋" w:hint="eastAsia"/>
          <w:sz w:val="31"/>
          <w:szCs w:val="31"/>
        </w:rPr>
        <w:t>（三）政府信息管理情况</w:t>
      </w:r>
    </w:p>
    <w:p w:rsid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t>认真贯彻落实《中华人民共和国政府信息公开条例》，对县水利局有关信息公开等规章制度进行了完善，明确要求局机关各科室将年度重点水利工作和与群众利益密切相关的信息、政策及制度进行依法公开，对公开的内容、形式、时间进行了统一要求，确保了信息公开工作的扎实有效开展。</w:t>
      </w:r>
    </w:p>
    <w:p w:rsidR="002B3181" w:rsidRPr="002B3181" w:rsidRDefault="002B3181" w:rsidP="002B3181">
      <w:pPr>
        <w:pStyle w:val="a3"/>
        <w:widowControl/>
        <w:ind w:firstLineChars="150" w:firstLine="467"/>
        <w:rPr>
          <w:rStyle w:val="a4"/>
          <w:rFonts w:ascii="楷体_GB2312" w:eastAsia="楷体_GB2312" w:hAnsi="仿宋" w:cs="仿宋" w:hint="eastAsia"/>
          <w:sz w:val="31"/>
          <w:szCs w:val="31"/>
        </w:rPr>
      </w:pPr>
      <w:r w:rsidRPr="002B3181">
        <w:rPr>
          <w:rStyle w:val="a4"/>
          <w:rFonts w:ascii="楷体_GB2312" w:eastAsia="楷体_GB2312" w:hAnsi="仿宋" w:cs="仿宋" w:hint="eastAsia"/>
          <w:sz w:val="31"/>
          <w:szCs w:val="31"/>
        </w:rPr>
        <w:t>（四）政府信息公开平台、机构建设和人员情况</w:t>
      </w:r>
    </w:p>
    <w:p w:rsid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t>成立政务信息公开工作领导小组，由主要负责同志任组长，明确局办公室为局政务信息公开工作负责机构，确定专人具体负责政府信息公开工作。</w:t>
      </w:r>
    </w:p>
    <w:p w:rsidR="002B3181" w:rsidRPr="002B3181" w:rsidRDefault="002B3181" w:rsidP="002B3181">
      <w:pPr>
        <w:pStyle w:val="a3"/>
        <w:widowControl/>
        <w:ind w:firstLineChars="150" w:firstLine="467"/>
        <w:rPr>
          <w:rStyle w:val="a4"/>
          <w:rFonts w:ascii="楷体_GB2312" w:eastAsia="楷体_GB2312" w:hAnsi="仿宋" w:cs="仿宋" w:hint="eastAsia"/>
          <w:sz w:val="31"/>
          <w:szCs w:val="31"/>
        </w:rPr>
      </w:pPr>
      <w:r w:rsidRPr="002B3181">
        <w:rPr>
          <w:rStyle w:val="a4"/>
          <w:rFonts w:ascii="楷体_GB2312" w:eastAsia="楷体_GB2312" w:hAnsi="仿宋" w:cs="仿宋" w:hint="eastAsia"/>
          <w:sz w:val="31"/>
          <w:szCs w:val="31"/>
        </w:rPr>
        <w:t>（五）监督保障情况</w:t>
      </w:r>
    </w:p>
    <w:p w:rsid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t>加强公开内容的审核监测，有关内容必须通过信息公开保密审查合格后才能进行公开，确保公开内容不出问题。同时将各科室政务信息公开工作开展情况纳入日常考核内容，将考核结果作为年底评定、评议的重要依据。</w:t>
      </w:r>
    </w:p>
    <w:p w:rsidR="002B3181" w:rsidRPr="002B3181" w:rsidRDefault="002B3181" w:rsidP="002B3181">
      <w:pPr>
        <w:pStyle w:val="a3"/>
        <w:widowControl/>
        <w:ind w:firstLineChars="150" w:firstLine="467"/>
        <w:rPr>
          <w:rStyle w:val="a4"/>
          <w:rFonts w:ascii="楷体_GB2312" w:eastAsia="楷体_GB2312" w:hAnsi="仿宋" w:cs="仿宋" w:hint="eastAsia"/>
          <w:sz w:val="31"/>
          <w:szCs w:val="31"/>
        </w:rPr>
      </w:pPr>
      <w:r w:rsidRPr="002B3181">
        <w:rPr>
          <w:rStyle w:val="a4"/>
          <w:rFonts w:ascii="楷体_GB2312" w:eastAsia="楷体_GB2312" w:hAnsi="仿宋" w:cs="仿宋" w:hint="eastAsia"/>
          <w:sz w:val="31"/>
          <w:szCs w:val="31"/>
        </w:rPr>
        <w:t>（六）建议提案办理结果公开情况</w:t>
      </w:r>
    </w:p>
    <w:p w:rsidR="002B3181" w:rsidRPr="002B3181" w:rsidRDefault="002B3181" w:rsidP="002B3181">
      <w:pPr>
        <w:pStyle w:val="a3"/>
        <w:widowControl/>
        <w:ind w:firstLineChars="200" w:firstLine="622"/>
        <w:rPr>
          <w:rStyle w:val="a4"/>
          <w:rFonts w:ascii="仿宋" w:eastAsia="仿宋" w:hAnsi="仿宋" w:cs="仿宋" w:hint="eastAsia"/>
          <w:sz w:val="31"/>
          <w:szCs w:val="31"/>
        </w:rPr>
      </w:pPr>
      <w:r w:rsidRPr="002B3181">
        <w:rPr>
          <w:rStyle w:val="a4"/>
          <w:rFonts w:ascii="仿宋" w:eastAsia="仿宋" w:hAnsi="仿宋" w:cs="仿宋" w:hint="eastAsia"/>
          <w:sz w:val="31"/>
          <w:szCs w:val="31"/>
        </w:rPr>
        <w:t>已经按照建议、提案办理要求，主动进行了公开公示。</w:t>
      </w:r>
    </w:p>
    <w:p w:rsidR="002B3181" w:rsidRDefault="002B3181" w:rsidP="002B3181">
      <w:pPr>
        <w:pStyle w:val="a3"/>
        <w:widowControl/>
        <w:rPr>
          <w:rStyle w:val="a4"/>
          <w:rFonts w:ascii="黑体" w:eastAsia="黑体" w:hAnsi="宋体" w:cs="黑体" w:hint="eastAsia"/>
          <w:sz w:val="31"/>
          <w:szCs w:val="31"/>
        </w:rPr>
      </w:pPr>
    </w:p>
    <w:p w:rsidR="002B3181" w:rsidRDefault="002B3181" w:rsidP="002B3181">
      <w:pPr>
        <w:pStyle w:val="a3"/>
        <w:widowControl/>
        <w:rPr>
          <w:rStyle w:val="a4"/>
          <w:rFonts w:ascii="黑体" w:eastAsia="黑体" w:hAnsi="宋体" w:cs="黑体" w:hint="eastAsia"/>
          <w:sz w:val="31"/>
          <w:szCs w:val="31"/>
        </w:rPr>
      </w:pPr>
    </w:p>
    <w:p w:rsidR="00A856AA" w:rsidRDefault="006D6383" w:rsidP="002B3181">
      <w:pPr>
        <w:pStyle w:val="a3"/>
        <w:widowControl/>
      </w:pPr>
      <w:r>
        <w:rPr>
          <w:rStyle w:val="a4"/>
          <w:rFonts w:ascii="黑体" w:eastAsia="黑体" w:hAnsi="宋体" w:cs="黑体" w:hint="eastAsia"/>
          <w:sz w:val="31"/>
          <w:szCs w:val="31"/>
        </w:rPr>
        <w:lastRenderedPageBreak/>
        <w:t>二、主动公开政府信息情况</w:t>
      </w:r>
    </w:p>
    <w:tbl>
      <w:tblPr>
        <w:tblW w:w="8416" w:type="dxa"/>
        <w:shd w:val="clear" w:color="auto" w:fill="FFFFFF"/>
        <w:tblCellMar>
          <w:top w:w="15" w:type="dxa"/>
          <w:left w:w="15" w:type="dxa"/>
          <w:bottom w:w="15" w:type="dxa"/>
          <w:right w:w="15" w:type="dxa"/>
        </w:tblCellMar>
        <w:tblLook w:val="04A0"/>
      </w:tblPr>
      <w:tblGrid>
        <w:gridCol w:w="3224"/>
        <w:gridCol w:w="1937"/>
        <w:gridCol w:w="1317"/>
        <w:gridCol w:w="1938"/>
      </w:tblGrid>
      <w:tr w:rsidR="00EC553C" w:rsidRPr="00DB3F63" w:rsidTr="0049169A">
        <w:trPr>
          <w:trHeight w:val="493"/>
        </w:trPr>
        <w:tc>
          <w:tcPr>
            <w:tcW w:w="8415" w:type="dxa"/>
            <w:gridSpan w:val="4"/>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第二十条第（一）项</w:t>
            </w:r>
          </w:p>
        </w:tc>
      </w:tr>
      <w:tr w:rsidR="00EC553C" w:rsidRPr="00DB3F63" w:rsidTr="0049169A">
        <w:trPr>
          <w:trHeight w:val="881"/>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信息内容</w:t>
            </w:r>
          </w:p>
        </w:tc>
        <w:tc>
          <w:tcPr>
            <w:tcW w:w="193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本年新</w:t>
            </w:r>
          </w:p>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bdr w:val="none" w:sz="0" w:space="0" w:color="auto" w:frame="1"/>
              </w:rPr>
              <w:t>制作数量</w:t>
            </w:r>
          </w:p>
        </w:tc>
        <w:tc>
          <w:tcPr>
            <w:tcW w:w="131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本年新</w:t>
            </w:r>
          </w:p>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bdr w:val="none" w:sz="0" w:space="0" w:color="auto" w:frame="1"/>
              </w:rPr>
              <w:t>公开数量</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对外公开总数量</w:t>
            </w:r>
          </w:p>
        </w:tc>
      </w:tr>
      <w:tr w:rsidR="00EC553C" w:rsidRPr="00DB3F63" w:rsidTr="0049169A">
        <w:trPr>
          <w:trHeight w:val="523"/>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规章</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 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463"/>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规范性文件</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 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478"/>
        </w:trPr>
        <w:tc>
          <w:tcPr>
            <w:tcW w:w="841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第二十条第（五）项</w:t>
            </w:r>
          </w:p>
        </w:tc>
      </w:tr>
      <w:tr w:rsidR="00EC553C" w:rsidRPr="00DB3F63" w:rsidTr="0049169A">
        <w:trPr>
          <w:trHeight w:val="627"/>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信息内容</w:t>
            </w:r>
          </w:p>
        </w:tc>
        <w:tc>
          <w:tcPr>
            <w:tcW w:w="193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上一年项目数量</w:t>
            </w:r>
          </w:p>
        </w:tc>
        <w:tc>
          <w:tcPr>
            <w:tcW w:w="131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本年增/减</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处理决定数量</w:t>
            </w:r>
          </w:p>
        </w:tc>
      </w:tr>
      <w:tr w:rsidR="00EC553C" w:rsidRPr="00DB3F63" w:rsidTr="0049169A">
        <w:trPr>
          <w:trHeight w:val="523"/>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行政许可</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552"/>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其他对外管理服务事项</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403"/>
        </w:trPr>
        <w:tc>
          <w:tcPr>
            <w:tcW w:w="841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第二十条第（六）项</w:t>
            </w:r>
          </w:p>
        </w:tc>
      </w:tr>
      <w:tr w:rsidR="00EC553C" w:rsidRPr="00DB3F63" w:rsidTr="0049169A">
        <w:trPr>
          <w:trHeight w:val="627"/>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信息内容</w:t>
            </w:r>
          </w:p>
        </w:tc>
        <w:tc>
          <w:tcPr>
            <w:tcW w:w="193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上一年项目数量</w:t>
            </w:r>
          </w:p>
        </w:tc>
        <w:tc>
          <w:tcPr>
            <w:tcW w:w="131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本年增/减</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处理决定数量</w:t>
            </w:r>
          </w:p>
        </w:tc>
      </w:tr>
      <w:tr w:rsidR="00EC553C" w:rsidRPr="00DB3F63" w:rsidTr="0049169A">
        <w:trPr>
          <w:trHeight w:val="433"/>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行政处罚</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403"/>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行政强制</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3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r>
      <w:tr w:rsidR="00EC553C" w:rsidRPr="00DB3F63" w:rsidTr="0049169A">
        <w:trPr>
          <w:trHeight w:val="478"/>
        </w:trPr>
        <w:tc>
          <w:tcPr>
            <w:tcW w:w="841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第二十条第（八）项</w:t>
            </w:r>
          </w:p>
        </w:tc>
      </w:tr>
      <w:tr w:rsidR="00EC553C" w:rsidRPr="00DB3F63" w:rsidTr="0049169A">
        <w:trPr>
          <w:trHeight w:val="269"/>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信息内容</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上一年项目数量</w:t>
            </w:r>
          </w:p>
        </w:tc>
        <w:tc>
          <w:tcPr>
            <w:tcW w:w="3255" w:type="dxa"/>
            <w:gridSpan w:val="2"/>
            <w:tcBorders>
              <w:top w:val="single" w:sz="6" w:space="0" w:color="auto"/>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本年增/减</w:t>
            </w:r>
          </w:p>
        </w:tc>
      </w:tr>
      <w:tr w:rsidR="00EC553C" w:rsidRPr="00DB3F63" w:rsidTr="0049169A">
        <w:trPr>
          <w:trHeight w:val="552"/>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行政事业性收费</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325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0 </w:t>
            </w:r>
          </w:p>
        </w:tc>
      </w:tr>
      <w:tr w:rsidR="00EC553C" w:rsidRPr="00DB3F63" w:rsidTr="0049169A">
        <w:trPr>
          <w:trHeight w:val="478"/>
        </w:trPr>
        <w:tc>
          <w:tcPr>
            <w:tcW w:w="8415" w:type="dxa"/>
            <w:gridSpan w:val="4"/>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第二十条第（九）项</w:t>
            </w:r>
          </w:p>
        </w:tc>
      </w:tr>
      <w:tr w:rsidR="00EC553C" w:rsidRPr="00DB3F63" w:rsidTr="0049169A">
        <w:trPr>
          <w:trHeight w:val="582"/>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信息内容</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采购项目数量</w:t>
            </w:r>
          </w:p>
        </w:tc>
        <w:tc>
          <w:tcPr>
            <w:tcW w:w="3255" w:type="dxa"/>
            <w:gridSpan w:val="2"/>
            <w:tcBorders>
              <w:top w:val="single" w:sz="6" w:space="0" w:color="auto"/>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采购总金额</w:t>
            </w:r>
          </w:p>
        </w:tc>
      </w:tr>
      <w:tr w:rsidR="00EC553C" w:rsidRPr="00DB3F63" w:rsidTr="0049169A">
        <w:trPr>
          <w:trHeight w:val="538"/>
        </w:trPr>
        <w:tc>
          <w:tcPr>
            <w:tcW w:w="3224"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政府集中采购</w:t>
            </w:r>
          </w:p>
        </w:tc>
        <w:tc>
          <w:tcPr>
            <w:tcW w:w="193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微软雅黑" w:eastAsia="微软雅黑" w:hAnsi="微软雅黑" w:cs="宋体" w:hint="eastAsia"/>
                <w:color w:val="3D3D3D"/>
                <w:kern w:val="0"/>
                <w:sz w:val="23"/>
                <w:szCs w:val="23"/>
              </w:rPr>
              <w:t xml:space="preserve">　</w:t>
            </w:r>
            <w:r w:rsidRPr="00DB3F63">
              <w:rPr>
                <w:rFonts w:ascii="宋体" w:hAnsi="宋体" w:cs="宋体" w:hint="eastAsia"/>
                <w:color w:val="3D3D3D"/>
                <w:kern w:val="0"/>
                <w:sz w:val="20"/>
                <w:szCs w:val="20"/>
                <w:bdr w:val="none" w:sz="0" w:space="0" w:color="auto" w:frame="1"/>
              </w:rPr>
              <w:t>0</w:t>
            </w:r>
          </w:p>
        </w:tc>
        <w:tc>
          <w:tcPr>
            <w:tcW w:w="3255" w:type="dxa"/>
            <w:gridSpan w:val="2"/>
            <w:tcBorders>
              <w:top w:val="nil"/>
              <w:left w:val="nil"/>
              <w:bottom w:val="single" w:sz="6" w:space="0" w:color="auto"/>
              <w:right w:val="single" w:sz="6" w:space="0" w:color="000000"/>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Cs w:val="21"/>
                <w:bdr w:val="none" w:sz="0" w:space="0" w:color="auto" w:frame="1"/>
              </w:rPr>
              <w:t>0</w:t>
            </w:r>
          </w:p>
        </w:tc>
      </w:tr>
    </w:tbl>
    <w:p w:rsidR="00A856AA" w:rsidRDefault="00A856AA">
      <w:pPr>
        <w:pStyle w:val="a3"/>
        <w:widowControl/>
        <w:shd w:val="clear" w:color="auto" w:fill="FFFFFF"/>
        <w:spacing w:line="630" w:lineRule="atLeast"/>
        <w:jc w:val="both"/>
        <w:rPr>
          <w:rFonts w:ascii="仿宋_GB2312" w:eastAsia="仿宋_GB2312" w:cs="仿宋_GB2312" w:hint="eastAsia"/>
          <w:sz w:val="31"/>
          <w:szCs w:val="31"/>
          <w:shd w:val="clear" w:color="auto" w:fill="FFFFFF"/>
        </w:rPr>
      </w:pPr>
    </w:p>
    <w:p w:rsidR="00EC553C" w:rsidRDefault="00EC553C">
      <w:pPr>
        <w:pStyle w:val="a3"/>
        <w:widowControl/>
        <w:shd w:val="clear" w:color="auto" w:fill="FFFFFF"/>
        <w:spacing w:line="630" w:lineRule="atLeast"/>
        <w:jc w:val="both"/>
        <w:rPr>
          <w:rFonts w:ascii="仿宋_GB2312" w:eastAsia="仿宋_GB2312" w:cs="仿宋_GB2312" w:hint="eastAsia"/>
          <w:sz w:val="31"/>
          <w:szCs w:val="31"/>
          <w:shd w:val="clear" w:color="auto" w:fill="FFFFFF"/>
        </w:rPr>
      </w:pPr>
    </w:p>
    <w:p w:rsidR="00064F59" w:rsidRDefault="00064F59">
      <w:pPr>
        <w:pStyle w:val="a3"/>
        <w:widowControl/>
        <w:shd w:val="clear" w:color="auto" w:fill="FFFFFF"/>
        <w:spacing w:line="630" w:lineRule="atLeast"/>
        <w:jc w:val="both"/>
        <w:rPr>
          <w:rFonts w:ascii="仿宋_GB2312" w:eastAsia="仿宋_GB2312" w:cs="仿宋_GB2312" w:hint="eastAsia"/>
          <w:sz w:val="31"/>
          <w:szCs w:val="31"/>
          <w:shd w:val="clear" w:color="auto" w:fill="FFFFFF"/>
        </w:rPr>
      </w:pPr>
    </w:p>
    <w:p w:rsidR="00064F59" w:rsidRDefault="00064F59">
      <w:pPr>
        <w:pStyle w:val="a3"/>
        <w:widowControl/>
        <w:shd w:val="clear" w:color="auto" w:fill="FFFFFF"/>
        <w:spacing w:line="630" w:lineRule="atLeast"/>
        <w:jc w:val="both"/>
        <w:rPr>
          <w:rFonts w:ascii="仿宋_GB2312" w:eastAsia="仿宋_GB2312" w:cs="仿宋_GB2312" w:hint="eastAsia"/>
          <w:sz w:val="31"/>
          <w:szCs w:val="31"/>
          <w:shd w:val="clear" w:color="auto" w:fill="FFFFFF"/>
        </w:rPr>
      </w:pPr>
    </w:p>
    <w:p w:rsidR="00064F59" w:rsidRDefault="00064F59">
      <w:pPr>
        <w:pStyle w:val="a3"/>
        <w:widowControl/>
        <w:shd w:val="clear" w:color="auto" w:fill="FFFFFF"/>
        <w:spacing w:line="630" w:lineRule="atLeast"/>
        <w:jc w:val="both"/>
        <w:rPr>
          <w:rFonts w:ascii="仿宋_GB2312" w:eastAsia="仿宋_GB2312" w:cs="仿宋_GB2312"/>
          <w:sz w:val="31"/>
          <w:szCs w:val="31"/>
          <w:shd w:val="clear" w:color="auto" w:fill="FFFFFF"/>
        </w:rPr>
      </w:pPr>
    </w:p>
    <w:p w:rsidR="00A856AA" w:rsidRDefault="006D6383" w:rsidP="00EC553C">
      <w:pPr>
        <w:pStyle w:val="a3"/>
        <w:widowControl/>
        <w:shd w:val="clear" w:color="auto" w:fill="FFFFFF"/>
        <w:spacing w:line="630" w:lineRule="atLeast"/>
        <w:jc w:val="both"/>
        <w:rPr>
          <w:rStyle w:val="a4"/>
          <w:rFonts w:ascii="黑体" w:eastAsia="黑体" w:hAnsi="宋体" w:cs="黑体"/>
          <w:color w:val="333333"/>
          <w:sz w:val="31"/>
          <w:szCs w:val="31"/>
          <w:shd w:val="clear" w:color="auto" w:fill="FFFFFF"/>
        </w:rPr>
      </w:pPr>
      <w:r>
        <w:rPr>
          <w:rFonts w:ascii="宋体" w:hAnsi="宋体" w:cs="宋体" w:hint="eastAsia"/>
          <w:color w:val="333333"/>
          <w:shd w:val="clear" w:color="auto" w:fill="FFFFFF"/>
        </w:rPr>
        <w:lastRenderedPageBreak/>
        <w:t> </w:t>
      </w:r>
      <w:r>
        <w:rPr>
          <w:rStyle w:val="a4"/>
          <w:rFonts w:ascii="黑体" w:eastAsia="黑体" w:hAnsi="宋体" w:cs="黑体" w:hint="eastAsia"/>
          <w:color w:val="333333"/>
          <w:sz w:val="31"/>
          <w:szCs w:val="31"/>
          <w:shd w:val="clear" w:color="auto" w:fill="FFFFFF"/>
        </w:rPr>
        <w:t>三、收到和处理政府信息公开申请情况</w:t>
      </w:r>
    </w:p>
    <w:tbl>
      <w:tblPr>
        <w:tblW w:w="8399" w:type="dxa"/>
        <w:shd w:val="clear" w:color="auto" w:fill="FFFFFF"/>
        <w:tblCellMar>
          <w:top w:w="15" w:type="dxa"/>
          <w:left w:w="15" w:type="dxa"/>
          <w:bottom w:w="15" w:type="dxa"/>
          <w:right w:w="15" w:type="dxa"/>
        </w:tblCellMar>
        <w:tblLook w:val="04A0"/>
      </w:tblPr>
      <w:tblGrid>
        <w:gridCol w:w="610"/>
        <w:gridCol w:w="810"/>
        <w:gridCol w:w="1908"/>
        <w:gridCol w:w="744"/>
        <w:gridCol w:w="689"/>
        <w:gridCol w:w="689"/>
        <w:gridCol w:w="744"/>
        <w:gridCol w:w="894"/>
        <w:gridCol w:w="663"/>
        <w:gridCol w:w="648"/>
      </w:tblGrid>
      <w:tr w:rsidR="00EC553C" w:rsidRPr="00DB3F63" w:rsidTr="00EC553C">
        <w:trPr>
          <w:trHeight w:val="146"/>
        </w:trPr>
        <w:tc>
          <w:tcPr>
            <w:tcW w:w="3328" w:type="dxa"/>
            <w:gridSpan w:val="3"/>
            <w:vMerge w:val="restart"/>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6D6383" w:rsidP="0049169A">
            <w:pPr>
              <w:widowControl/>
              <w:jc w:val="center"/>
              <w:rPr>
                <w:rFonts w:ascii="微软雅黑" w:eastAsia="微软雅黑" w:hAnsi="微软雅黑" w:cs="宋体"/>
                <w:color w:val="3D3D3D"/>
                <w:kern w:val="0"/>
                <w:sz w:val="23"/>
                <w:szCs w:val="23"/>
              </w:rPr>
            </w:pPr>
            <w:r>
              <w:rPr>
                <w:rFonts w:ascii="黑体" w:eastAsia="黑体" w:hAnsi="宋体" w:cs="黑体" w:hint="eastAsia"/>
                <w:color w:val="333333"/>
                <w:sz w:val="31"/>
                <w:szCs w:val="31"/>
                <w:shd w:val="clear" w:color="auto" w:fill="FFFFFF"/>
              </w:rPr>
              <w:t> </w:t>
            </w:r>
            <w:r w:rsidR="00EC553C" w:rsidRPr="00DB3F63">
              <w:rPr>
                <w:rFonts w:ascii="宋体" w:hAnsi="宋体" w:cs="宋体" w:hint="eastAsia"/>
                <w:color w:val="3D3D3D"/>
                <w:kern w:val="0"/>
                <w:sz w:val="20"/>
                <w:szCs w:val="20"/>
                <w:bdr w:val="none" w:sz="0" w:space="0" w:color="auto" w:frame="1"/>
              </w:rPr>
              <w:t>本列数据的勾稽关系为：第一项加第二项之和，等于第三项加第四项之和）</w:t>
            </w:r>
          </w:p>
        </w:tc>
        <w:tc>
          <w:tcPr>
            <w:tcW w:w="5071" w:type="dxa"/>
            <w:gridSpan w:val="7"/>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申请人情况</w:t>
            </w:r>
          </w:p>
        </w:tc>
      </w:tr>
      <w:tr w:rsidR="00EC553C" w:rsidRPr="00DB3F63" w:rsidTr="00EC553C">
        <w:trPr>
          <w:trHeight w:val="146"/>
        </w:trPr>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自然人</w:t>
            </w:r>
          </w:p>
        </w:tc>
        <w:tc>
          <w:tcPr>
            <w:tcW w:w="3679" w:type="dxa"/>
            <w:gridSpan w:val="5"/>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法人或其他组织</w:t>
            </w:r>
          </w:p>
        </w:tc>
        <w:tc>
          <w:tcPr>
            <w:tcW w:w="648" w:type="dxa"/>
            <w:vMerge w:val="restart"/>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总计</w:t>
            </w:r>
          </w:p>
        </w:tc>
      </w:tr>
      <w:tr w:rsidR="00EC553C" w:rsidRPr="00DB3F63" w:rsidTr="00EC553C">
        <w:trPr>
          <w:trHeight w:val="146"/>
        </w:trPr>
        <w:tc>
          <w:tcPr>
            <w:tcW w:w="0" w:type="auto"/>
            <w:gridSpan w:val="3"/>
            <w:vMerge/>
            <w:tcBorders>
              <w:top w:val="single" w:sz="6" w:space="0" w:color="auto"/>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商业企业</w:t>
            </w: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科研机构</w:t>
            </w:r>
          </w:p>
        </w:tc>
        <w:tc>
          <w:tcPr>
            <w:tcW w:w="74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社会公益组织</w:t>
            </w:r>
          </w:p>
        </w:tc>
        <w:tc>
          <w:tcPr>
            <w:tcW w:w="894"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法律服务机构</w:t>
            </w:r>
          </w:p>
        </w:tc>
        <w:tc>
          <w:tcPr>
            <w:tcW w:w="663"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其他</w:t>
            </w:r>
          </w:p>
        </w:tc>
        <w:tc>
          <w:tcPr>
            <w:tcW w:w="0" w:type="auto"/>
            <w:vMerge/>
            <w:tcBorders>
              <w:top w:val="single" w:sz="6" w:space="0" w:color="auto"/>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r>
      <w:tr w:rsidR="00EC553C" w:rsidRPr="00DB3F63" w:rsidTr="00EC553C">
        <w:trPr>
          <w:trHeight w:val="146"/>
        </w:trPr>
        <w:tc>
          <w:tcPr>
            <w:tcW w:w="3328"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一、本年新收政府信息公开申请数量</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3328"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二、上年结转政府信息公开申请数量</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610"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三、本年度办理结果</w:t>
            </w:r>
          </w:p>
        </w:tc>
        <w:tc>
          <w:tcPr>
            <w:tcW w:w="271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（一）予以公开</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271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（二）部分公开（区分处理的，只计这一情形，不计其他情形）</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1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（三）不予公开</w:t>
            </w: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1.属于国家秘密</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2.其他法律行政法规禁止公开</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3.危及“三安全一稳定”</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4.保护第三方合法权益</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5.属于三类内部事务信息</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6.属于四类过程性信息</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7.属于行政执法案卷</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8.属于行政查询事项</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1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（四）无法提供</w:t>
            </w: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1.本机关不掌握相关政府信息</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2.没有现成信息需要另行制作</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3.补正后申请内容仍不明确</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10"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（五）不予处理</w:t>
            </w: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1.信访举报投诉类申请</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2.重复申请</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3.要求提供公开出版物</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4.无正当理由大量反复申请</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0" w:type="auto"/>
            <w:vMerge/>
            <w:tcBorders>
              <w:top w:val="nil"/>
              <w:left w:val="nil"/>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190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5.要求行政机关确</w:t>
            </w:r>
            <w:r w:rsidRPr="00DB3F63">
              <w:rPr>
                <w:rFonts w:ascii="楷体" w:eastAsia="楷体" w:hAnsi="楷体" w:cs="宋体" w:hint="eastAsia"/>
                <w:color w:val="3D3D3D"/>
                <w:kern w:val="0"/>
                <w:sz w:val="20"/>
                <w:szCs w:val="20"/>
                <w:bdr w:val="none" w:sz="0" w:space="0" w:color="auto" w:frame="1"/>
              </w:rPr>
              <w:lastRenderedPageBreak/>
              <w:t>认或重新出具已获取信息</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271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（六）其他处理</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0</w:t>
            </w:r>
            <w:r w:rsidRPr="00DB3F63">
              <w:rPr>
                <w:rFonts w:eastAsia="微软雅黑" w:cs="宋体"/>
                <w:color w:val="3D3D3D"/>
                <w:kern w:val="0"/>
                <w:sz w:val="20"/>
                <w:szCs w:val="20"/>
                <w:bdr w:val="none" w:sz="0" w:space="0" w:color="auto" w:frame="1"/>
              </w:rPr>
              <w:t> </w:t>
            </w:r>
          </w:p>
        </w:tc>
      </w:tr>
      <w:tr w:rsidR="00EC553C" w:rsidRPr="00DB3F63" w:rsidTr="00EC553C">
        <w:trPr>
          <w:trHeight w:val="146"/>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2718" w:type="dxa"/>
            <w:gridSpan w:val="2"/>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楷体" w:eastAsia="楷体" w:hAnsi="楷体" w:cs="宋体" w:hint="eastAsia"/>
                <w:color w:val="3D3D3D"/>
                <w:kern w:val="0"/>
                <w:sz w:val="20"/>
                <w:szCs w:val="20"/>
                <w:bdr w:val="none" w:sz="0" w:space="0" w:color="auto" w:frame="1"/>
              </w:rPr>
              <w:t>（七）总计</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center"/>
              <w:rPr>
                <w:rFonts w:ascii="微软雅黑" w:eastAsia="微软雅黑" w:hAnsi="微软雅黑" w:cs="宋体"/>
                <w:color w:val="3D3D3D"/>
                <w:kern w:val="0"/>
                <w:sz w:val="23"/>
                <w:szCs w:val="23"/>
              </w:rPr>
            </w:pPr>
            <w:r w:rsidRPr="00DB3F63">
              <w:rPr>
                <w:rFonts w:eastAsia="微软雅黑" w:cs="宋体"/>
                <w:color w:val="3D3D3D"/>
                <w:kern w:val="0"/>
                <w:sz w:val="20"/>
                <w:szCs w:val="20"/>
                <w:bdr w:val="none" w:sz="0" w:space="0" w:color="auto" w:frame="1"/>
              </w:rPr>
              <w:t> </w:t>
            </w:r>
            <w:r w:rsidRPr="00DB3F63">
              <w:rPr>
                <w:rFonts w:ascii="宋体" w:hAnsi="宋体" w:cs="宋体" w:hint="eastAsia"/>
                <w:color w:val="3D3D3D"/>
                <w:kern w:val="0"/>
                <w:sz w:val="20"/>
                <w:szCs w:val="20"/>
                <w:bdr w:val="none" w:sz="0" w:space="0" w:color="auto" w:frame="1"/>
              </w:rPr>
              <w:t>0</w:t>
            </w:r>
          </w:p>
        </w:tc>
      </w:tr>
      <w:tr w:rsidR="00EC553C" w:rsidRPr="00DB3F63" w:rsidTr="00EC553C">
        <w:trPr>
          <w:trHeight w:val="319"/>
        </w:trPr>
        <w:tc>
          <w:tcPr>
            <w:tcW w:w="3328" w:type="dxa"/>
            <w:gridSpan w:val="3"/>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0"/>
                <w:szCs w:val="20"/>
                <w:bdr w:val="none" w:sz="0" w:space="0" w:color="auto" w:frame="1"/>
              </w:rPr>
              <w:t>四、结转下年度继续办理</w:t>
            </w: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8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74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894"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63"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p>
        </w:tc>
        <w:tc>
          <w:tcPr>
            <w:tcW w:w="648"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C553C" w:rsidRPr="00DB3F63" w:rsidRDefault="00EC553C" w:rsidP="0049169A">
            <w:pPr>
              <w:widowControl/>
              <w:jc w:val="left"/>
              <w:rPr>
                <w:rFonts w:ascii="微软雅黑" w:eastAsia="微软雅黑" w:hAnsi="微软雅黑" w:cs="宋体"/>
                <w:color w:val="3D3D3D"/>
                <w:kern w:val="0"/>
                <w:sz w:val="23"/>
                <w:szCs w:val="23"/>
              </w:rPr>
            </w:pPr>
            <w:r w:rsidRPr="00DB3F63">
              <w:rPr>
                <w:rFonts w:ascii="宋体" w:hAnsi="宋体" w:cs="宋体" w:hint="eastAsia"/>
                <w:color w:val="3D3D3D"/>
                <w:kern w:val="0"/>
                <w:sz w:val="24"/>
                <w:bdr w:val="none" w:sz="0" w:space="0" w:color="auto" w:frame="1"/>
              </w:rPr>
              <w:t>0</w:t>
            </w:r>
          </w:p>
        </w:tc>
      </w:tr>
    </w:tbl>
    <w:p w:rsidR="00A856AA" w:rsidRDefault="00A856AA">
      <w:pPr>
        <w:pStyle w:val="a3"/>
        <w:widowControl/>
        <w:shd w:val="clear" w:color="auto" w:fill="FFFFFF"/>
        <w:spacing w:line="630" w:lineRule="atLeast"/>
        <w:jc w:val="both"/>
      </w:pPr>
    </w:p>
    <w:p w:rsidR="00A856AA" w:rsidRDefault="006D6383">
      <w:pPr>
        <w:pStyle w:val="a3"/>
        <w:widowControl/>
        <w:shd w:val="clear" w:color="auto" w:fill="FFFFFF"/>
        <w:spacing w:line="630" w:lineRule="atLeast"/>
        <w:ind w:firstLine="645"/>
        <w:jc w:val="both"/>
      </w:pPr>
      <w:r>
        <w:rPr>
          <w:rStyle w:val="a4"/>
          <w:rFonts w:ascii="黑体" w:eastAsia="黑体" w:hAnsi="宋体" w:cs="黑体" w:hint="eastAsia"/>
          <w:color w:val="333333"/>
          <w:sz w:val="31"/>
          <w:szCs w:val="31"/>
          <w:shd w:val="clear" w:color="auto" w:fill="FFFFFF"/>
        </w:rPr>
        <w:t>四、政府信息公开行政复议、行政诉讼情况</w:t>
      </w:r>
    </w:p>
    <w:tbl>
      <w:tblPr>
        <w:tblW w:w="9071" w:type="dxa"/>
        <w:tblInd w:w="93"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shd w:val="clear" w:color="auto" w:fill="E6F4FF"/>
        <w:tblCellMar>
          <w:top w:w="15" w:type="dxa"/>
          <w:left w:w="15" w:type="dxa"/>
          <w:bottom w:w="15" w:type="dxa"/>
          <w:right w:w="15"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A856AA">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行政诉讼</w:t>
            </w:r>
          </w:p>
        </w:tc>
      </w:tr>
      <w:tr w:rsidR="00A856AA">
        <w:tc>
          <w:tcPr>
            <w:tcW w:w="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结果维持</w:t>
            </w:r>
          </w:p>
        </w:tc>
        <w:tc>
          <w:tcPr>
            <w:tcW w:w="604"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总计</w:t>
            </w:r>
          </w:p>
        </w:tc>
        <w:tc>
          <w:tcPr>
            <w:tcW w:w="2970"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复议后起诉</w:t>
            </w:r>
          </w:p>
        </w:tc>
      </w:tr>
      <w:tr w:rsidR="00A856AA">
        <w:tc>
          <w:tcPr>
            <w:tcW w:w="604" w:type="dxa"/>
            <w:vMerge/>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A856AA">
            <w:pPr>
              <w:rPr>
                <w:rFonts w:ascii="Segoe UI" w:eastAsia="Segoe UI" w:hAnsi="Segoe UI" w:cs="Segoe UI"/>
                <w:color w:val="000000"/>
                <w:szCs w:val="21"/>
              </w:rPr>
            </w:pPr>
          </w:p>
        </w:tc>
        <w:tc>
          <w:tcPr>
            <w:tcW w:w="604" w:type="dxa"/>
            <w:vMerge/>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A856AA">
            <w:pPr>
              <w:rPr>
                <w:rFonts w:ascii="Segoe UI" w:eastAsia="Segoe UI" w:hAnsi="Segoe UI" w:cs="Segoe UI"/>
                <w:color w:val="000000"/>
                <w:szCs w:val="21"/>
              </w:rPr>
            </w:pPr>
          </w:p>
        </w:tc>
        <w:tc>
          <w:tcPr>
            <w:tcW w:w="604"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A856AA">
            <w:pPr>
              <w:rPr>
                <w:rFonts w:ascii="Segoe UI" w:eastAsia="Segoe UI" w:hAnsi="Segoe UI" w:cs="Segoe UI"/>
                <w:color w:val="000000"/>
                <w:szCs w:val="21"/>
              </w:rPr>
            </w:pPr>
          </w:p>
        </w:tc>
        <w:tc>
          <w:tcPr>
            <w:tcW w:w="604"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A856AA">
            <w:pPr>
              <w:rPr>
                <w:rFonts w:ascii="Segoe UI" w:eastAsia="Segoe UI" w:hAnsi="Segoe UI" w:cs="Segoe UI"/>
                <w:color w:val="000000"/>
                <w:szCs w:val="21"/>
              </w:rPr>
            </w:pPr>
          </w:p>
        </w:tc>
        <w:tc>
          <w:tcPr>
            <w:tcW w:w="658" w:type="dxa"/>
            <w:vMerge/>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A856AA">
            <w:pPr>
              <w:rPr>
                <w:rFonts w:ascii="Segoe UI" w:eastAsia="Segoe UI" w:hAnsi="Segoe UI" w:cs="Segoe UI"/>
                <w:color w:val="000000"/>
                <w:szCs w:val="21"/>
              </w:rPr>
            </w:pPr>
          </w:p>
        </w:tc>
        <w:tc>
          <w:tcPr>
            <w:tcW w:w="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结果维持</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其他结果</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尚未审结</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总计</w:t>
            </w:r>
          </w:p>
        </w:tc>
      </w:tr>
      <w:tr w:rsidR="00A856AA">
        <w:tc>
          <w:tcPr>
            <w:tcW w:w="6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eastAsia="Segoe UI" w:cs="Calibri"/>
                <w:color w:val="000000"/>
                <w:kern w:val="0"/>
                <w:sz w:val="20"/>
                <w:szCs w:val="20"/>
              </w:rPr>
              <w:t> </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eastAsia="Segoe UI" w:cs="Calibri"/>
                <w:color w:val="000000"/>
                <w:kern w:val="0"/>
                <w:sz w:val="20"/>
                <w:szCs w:val="20"/>
              </w:rPr>
              <w:t> </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eastAsia="Segoe UI" w:cs="Calibri"/>
                <w:color w:val="000000"/>
                <w:kern w:val="0"/>
                <w:sz w:val="20"/>
                <w:szCs w:val="20"/>
              </w:rPr>
              <w:t> </w:t>
            </w:r>
          </w:p>
        </w:tc>
        <w:tc>
          <w:tcPr>
            <w:tcW w:w="6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eastAsia="Segoe UI" w:cs="Calibri"/>
                <w:color w:val="000000"/>
                <w:kern w:val="0"/>
                <w:sz w:val="20"/>
                <w:szCs w:val="20"/>
              </w:rPr>
              <w:t> </w:t>
            </w:r>
          </w:p>
        </w:tc>
        <w:tc>
          <w:tcPr>
            <w:tcW w:w="65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Pr="00EC553C" w:rsidRDefault="006D6383">
            <w:pPr>
              <w:widowControl/>
              <w:jc w:val="center"/>
              <w:rPr>
                <w:rFonts w:eastAsiaTheme="minorEastAsia" w:hint="eastAsia"/>
                <w:color w:val="000000"/>
              </w:rPr>
            </w:pPr>
            <w:r>
              <w:rPr>
                <w:rFonts w:eastAsia="Segoe UI" w:cs="Calibri"/>
                <w:color w:val="000000"/>
                <w:kern w:val="0"/>
                <w:sz w:val="20"/>
                <w:szCs w:val="20"/>
              </w:rPr>
              <w:t> </w:t>
            </w:r>
            <w:r w:rsidR="00EC553C">
              <w:rPr>
                <w:rFonts w:eastAsiaTheme="minorEastAsia" w:cs="Calibri" w:hint="eastAsia"/>
                <w:color w:val="000000"/>
                <w:kern w:val="0"/>
                <w:sz w:val="20"/>
                <w:szCs w:val="20"/>
              </w:rPr>
              <w:t>0</w:t>
            </w:r>
          </w:p>
        </w:tc>
        <w:tc>
          <w:tcPr>
            <w:tcW w:w="5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Default="006D6383">
            <w:pPr>
              <w:widowControl/>
              <w:jc w:val="center"/>
              <w:rPr>
                <w:color w:val="000000"/>
              </w:rPr>
            </w:pPr>
            <w:r>
              <w:rPr>
                <w:rFonts w:ascii="宋体" w:hAnsi="宋体" w:cs="宋体" w:hint="eastAsia"/>
                <w:color w:val="000000"/>
                <w:kern w:val="0"/>
                <w:sz w:val="20"/>
                <w:szCs w:val="20"/>
              </w:rPr>
              <w:t> </w:t>
            </w:r>
          </w:p>
        </w:tc>
        <w:tc>
          <w:tcPr>
            <w:tcW w:w="6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856AA" w:rsidRPr="00EC553C" w:rsidRDefault="00EC553C">
            <w:pPr>
              <w:rPr>
                <w:rFonts w:ascii="Segoe UI" w:eastAsiaTheme="minorEastAsia" w:hAnsi="Segoe UI" w:cs="Segoe UI" w:hint="eastAsia"/>
                <w:color w:val="000000"/>
                <w:szCs w:val="21"/>
              </w:rPr>
            </w:pPr>
            <w:r>
              <w:rPr>
                <w:rFonts w:ascii="Segoe UI" w:eastAsiaTheme="minorEastAsia" w:hAnsi="Segoe UI" w:cs="Segoe UI" w:hint="eastAsia"/>
                <w:color w:val="000000"/>
                <w:szCs w:val="21"/>
              </w:rPr>
              <w:t>0</w:t>
            </w:r>
          </w:p>
        </w:tc>
      </w:tr>
    </w:tbl>
    <w:p w:rsidR="00A856AA" w:rsidRDefault="00A856AA">
      <w:pPr>
        <w:widowControl/>
        <w:jc w:val="left"/>
      </w:pPr>
    </w:p>
    <w:p w:rsidR="00A856AA" w:rsidRDefault="006D6383">
      <w:pPr>
        <w:pStyle w:val="a3"/>
        <w:widowControl/>
        <w:shd w:val="clear" w:color="auto" w:fill="FFFFFF"/>
        <w:spacing w:line="630" w:lineRule="atLeast"/>
      </w:pPr>
      <w:r>
        <w:rPr>
          <w:shd w:val="clear" w:color="auto" w:fill="FFFFFF"/>
        </w:rPr>
        <w:t>       </w:t>
      </w:r>
      <w:r>
        <w:rPr>
          <w:rStyle w:val="a4"/>
          <w:rFonts w:ascii="黑体" w:eastAsia="黑体" w:hAnsi="宋体" w:cs="黑体" w:hint="eastAsia"/>
          <w:sz w:val="31"/>
          <w:szCs w:val="31"/>
          <w:shd w:val="clear" w:color="auto" w:fill="FFFFFF"/>
        </w:rPr>
        <w:t>五、存在的主要问题及改进情况</w:t>
      </w:r>
    </w:p>
    <w:p w:rsidR="00EC553C" w:rsidRPr="00EC553C" w:rsidRDefault="00EC553C" w:rsidP="00EC553C">
      <w:pPr>
        <w:pStyle w:val="a3"/>
        <w:widowControl/>
        <w:ind w:firstLineChars="150" w:firstLine="467"/>
        <w:rPr>
          <w:rStyle w:val="a4"/>
          <w:rFonts w:ascii="仿宋" w:eastAsia="仿宋" w:hAnsi="仿宋" w:cs="仿宋" w:hint="eastAsia"/>
          <w:sz w:val="31"/>
          <w:szCs w:val="31"/>
        </w:rPr>
      </w:pPr>
      <w:r w:rsidRPr="00EC553C">
        <w:rPr>
          <w:rStyle w:val="a4"/>
          <w:rFonts w:ascii="仿宋" w:eastAsia="仿宋" w:hAnsi="仿宋" w:cs="仿宋" w:hint="eastAsia"/>
          <w:sz w:val="31"/>
          <w:szCs w:val="31"/>
        </w:rPr>
        <w:t>（一）工作中存在的主要问题和困难</w:t>
      </w:r>
    </w:p>
    <w:p w:rsidR="00EC553C" w:rsidRPr="00EC553C" w:rsidRDefault="00EC553C" w:rsidP="00EC553C">
      <w:pPr>
        <w:pStyle w:val="a3"/>
        <w:widowControl/>
        <w:ind w:firstLineChars="200" w:firstLine="622"/>
        <w:rPr>
          <w:rStyle w:val="a4"/>
          <w:rFonts w:ascii="仿宋" w:eastAsia="仿宋" w:hAnsi="仿宋" w:cs="仿宋" w:hint="eastAsia"/>
          <w:sz w:val="31"/>
          <w:szCs w:val="31"/>
        </w:rPr>
      </w:pPr>
      <w:r w:rsidRPr="00EC553C">
        <w:rPr>
          <w:rStyle w:val="a4"/>
          <w:rFonts w:ascii="仿宋" w:eastAsia="仿宋" w:hAnsi="仿宋" w:cs="仿宋" w:hint="eastAsia"/>
          <w:sz w:val="31"/>
          <w:szCs w:val="31"/>
        </w:rPr>
        <w:t>1、重大建设项目和公共资源配置方面。重大建设项目批准和实施领域信息和公共资源配置领域信息发布较少。</w:t>
      </w:r>
    </w:p>
    <w:p w:rsidR="00EC553C" w:rsidRPr="00EC553C" w:rsidRDefault="00EC553C" w:rsidP="00EC553C">
      <w:pPr>
        <w:pStyle w:val="a3"/>
        <w:widowControl/>
        <w:ind w:firstLineChars="200" w:firstLine="622"/>
        <w:rPr>
          <w:rStyle w:val="a4"/>
          <w:rFonts w:ascii="仿宋" w:eastAsia="仿宋" w:hAnsi="仿宋" w:cs="仿宋" w:hint="eastAsia"/>
          <w:sz w:val="31"/>
          <w:szCs w:val="31"/>
        </w:rPr>
      </w:pPr>
      <w:r w:rsidRPr="00EC553C">
        <w:rPr>
          <w:rStyle w:val="a4"/>
          <w:rFonts w:ascii="仿宋" w:eastAsia="仿宋" w:hAnsi="仿宋" w:cs="仿宋" w:hint="eastAsia"/>
          <w:sz w:val="31"/>
          <w:szCs w:val="31"/>
        </w:rPr>
        <w:t>2、信息发布不均衡，部分单位在公告公示等栏目发布信息较多，部门文件及办公会议等其他栏目发布信息较少。</w:t>
      </w:r>
    </w:p>
    <w:p w:rsidR="00EC553C" w:rsidRPr="00EC553C" w:rsidRDefault="00EC553C" w:rsidP="00EC553C">
      <w:pPr>
        <w:pStyle w:val="a3"/>
        <w:widowControl/>
        <w:ind w:firstLineChars="200" w:firstLine="622"/>
        <w:rPr>
          <w:rStyle w:val="a4"/>
          <w:rFonts w:ascii="仿宋" w:eastAsia="仿宋" w:hAnsi="仿宋" w:cs="仿宋" w:hint="eastAsia"/>
          <w:sz w:val="31"/>
          <w:szCs w:val="31"/>
        </w:rPr>
      </w:pPr>
      <w:r w:rsidRPr="00EC553C">
        <w:rPr>
          <w:rStyle w:val="a4"/>
          <w:rFonts w:ascii="仿宋" w:eastAsia="仿宋" w:hAnsi="仿宋" w:cs="仿宋" w:hint="eastAsia"/>
          <w:sz w:val="31"/>
          <w:szCs w:val="31"/>
        </w:rPr>
        <w:t>（二）具体解决办法和改进措施</w:t>
      </w:r>
    </w:p>
    <w:p w:rsidR="00EC553C" w:rsidRDefault="00EC553C" w:rsidP="00EC553C">
      <w:pPr>
        <w:pStyle w:val="a3"/>
        <w:widowControl/>
        <w:ind w:firstLineChars="200" w:firstLine="622"/>
        <w:rPr>
          <w:rStyle w:val="a4"/>
          <w:rFonts w:ascii="仿宋" w:eastAsia="仿宋" w:hAnsi="仿宋" w:cs="仿宋" w:hint="eastAsia"/>
          <w:sz w:val="31"/>
          <w:szCs w:val="31"/>
        </w:rPr>
      </w:pPr>
      <w:r w:rsidRPr="00EC553C">
        <w:rPr>
          <w:rStyle w:val="a4"/>
          <w:rFonts w:ascii="仿宋" w:eastAsia="仿宋" w:hAnsi="仿宋" w:cs="仿宋" w:hint="eastAsia"/>
          <w:sz w:val="31"/>
          <w:szCs w:val="31"/>
        </w:rPr>
        <w:t>一是高度重视信息宣传工作，进一步细化政务公开要求，每月要求各中心、科室积极供稿，把信息宣传当做一项重要考核指标，加大对信息的分类发布，要求社保中心每年对全县参保人数、缴费标准、社保收支情况进行公布公开，及时更新相关信息。二是加强政务公开方面的学习培训，提升政务公开工</w:t>
      </w:r>
      <w:r w:rsidRPr="00EC553C">
        <w:rPr>
          <w:rStyle w:val="a4"/>
          <w:rFonts w:ascii="仿宋" w:eastAsia="仿宋" w:hAnsi="仿宋" w:cs="仿宋" w:hint="eastAsia"/>
          <w:sz w:val="31"/>
          <w:szCs w:val="31"/>
        </w:rPr>
        <w:lastRenderedPageBreak/>
        <w:t>作水平。三是规范政务公开报送机制，保证政务公开的准确性和实效性。</w:t>
      </w:r>
    </w:p>
    <w:p w:rsidR="00A856AA" w:rsidRPr="00EC553C" w:rsidRDefault="006D6383" w:rsidP="00EC553C">
      <w:pPr>
        <w:pStyle w:val="a3"/>
        <w:widowControl/>
        <w:ind w:firstLineChars="200" w:firstLine="622"/>
        <w:rPr>
          <w:rFonts w:ascii="仿宋" w:eastAsia="仿宋" w:hAnsi="仿宋" w:cs="仿宋"/>
          <w:b/>
          <w:sz w:val="31"/>
          <w:szCs w:val="31"/>
        </w:rPr>
      </w:pPr>
      <w:r>
        <w:rPr>
          <w:rStyle w:val="a4"/>
          <w:rFonts w:ascii="黑体" w:eastAsia="黑体" w:hAnsi="宋体" w:cs="黑体" w:hint="eastAsia"/>
          <w:sz w:val="31"/>
          <w:szCs w:val="31"/>
        </w:rPr>
        <w:t>六、其他需要报告的事项</w:t>
      </w:r>
    </w:p>
    <w:p w:rsidR="00A856AA" w:rsidRPr="00EC553C" w:rsidRDefault="006D6383">
      <w:pPr>
        <w:pStyle w:val="a3"/>
        <w:widowControl/>
        <w:rPr>
          <w:rStyle w:val="a4"/>
          <w:rFonts w:hint="eastAsia"/>
          <w:b w:val="0"/>
        </w:rPr>
      </w:pPr>
      <w:r>
        <w:rPr>
          <w:rStyle w:val="a4"/>
          <w:rFonts w:ascii="仿宋" w:eastAsia="仿宋" w:hAnsi="仿宋" w:cs="仿宋" w:hint="eastAsia"/>
          <w:sz w:val="31"/>
          <w:szCs w:val="31"/>
        </w:rPr>
        <w:t> </w:t>
      </w:r>
      <w:r w:rsidR="00EC553C">
        <w:rPr>
          <w:rStyle w:val="a4"/>
          <w:rFonts w:ascii="仿宋" w:eastAsia="仿宋" w:hAnsi="仿宋" w:cs="仿宋" w:hint="eastAsia"/>
          <w:sz w:val="31"/>
          <w:szCs w:val="31"/>
        </w:rPr>
        <w:t xml:space="preserve">  </w:t>
      </w:r>
      <w:r w:rsidR="00EC553C" w:rsidRPr="00EC553C">
        <w:rPr>
          <w:rStyle w:val="a4"/>
          <w:rFonts w:ascii="仿宋" w:eastAsia="仿宋" w:hAnsi="仿宋" w:cs="仿宋" w:hint="eastAsia"/>
          <w:sz w:val="31"/>
          <w:szCs w:val="31"/>
        </w:rPr>
        <w:t>无</w:t>
      </w:r>
      <w:r w:rsidR="00EC553C">
        <w:rPr>
          <w:rStyle w:val="a4"/>
          <w:rFonts w:ascii="仿宋" w:eastAsia="仿宋" w:hAnsi="仿宋" w:cs="仿宋" w:hint="eastAsia"/>
          <w:sz w:val="31"/>
          <w:szCs w:val="31"/>
        </w:rPr>
        <w:t>其他报告事项</w:t>
      </w:r>
      <w:r w:rsidR="00EC553C" w:rsidRPr="00EC553C">
        <w:rPr>
          <w:rStyle w:val="a4"/>
          <w:rFonts w:ascii="仿宋" w:eastAsia="仿宋" w:hAnsi="仿宋" w:cs="仿宋" w:hint="eastAsia"/>
          <w:sz w:val="31"/>
          <w:szCs w:val="31"/>
        </w:rPr>
        <w:t>。</w:t>
      </w:r>
    </w:p>
    <w:sectPr w:rsidR="00A856AA" w:rsidRPr="00EC553C" w:rsidSect="00A856AA">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5EB" w:rsidRDefault="00F875EB" w:rsidP="00CE2BDB">
      <w:r>
        <w:separator/>
      </w:r>
    </w:p>
  </w:endnote>
  <w:endnote w:type="continuationSeparator" w:id="0">
    <w:p w:rsidR="00F875EB" w:rsidRDefault="00F875EB" w:rsidP="00CE2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1485"/>
      <w:docPartObj>
        <w:docPartGallery w:val="Page Numbers (Bottom of Page)"/>
        <w:docPartUnique/>
      </w:docPartObj>
    </w:sdtPr>
    <w:sdtContent>
      <w:p w:rsidR="00CE2BDB" w:rsidRDefault="00CE2BDB">
        <w:pPr>
          <w:pStyle w:val="a6"/>
          <w:jc w:val="center"/>
        </w:pPr>
        <w:fldSimple w:instr=" PAGE   \* MERGEFORMAT ">
          <w:r w:rsidRPr="00CE2BDB">
            <w:rPr>
              <w:noProof/>
              <w:lang w:val="zh-CN"/>
            </w:rPr>
            <w:t>1</w:t>
          </w:r>
        </w:fldSimple>
      </w:p>
    </w:sdtContent>
  </w:sdt>
  <w:p w:rsidR="00CE2BDB" w:rsidRDefault="00CE2BD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5EB" w:rsidRDefault="00F875EB" w:rsidP="00CE2BDB">
      <w:r>
        <w:separator/>
      </w:r>
    </w:p>
  </w:footnote>
  <w:footnote w:type="continuationSeparator" w:id="0">
    <w:p w:rsidR="00F875EB" w:rsidRDefault="00F875EB" w:rsidP="00CE2B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06102F"/>
    <w:rsid w:val="00064F59"/>
    <w:rsid w:val="002B3181"/>
    <w:rsid w:val="00347CE1"/>
    <w:rsid w:val="006D6383"/>
    <w:rsid w:val="00A856AA"/>
    <w:rsid w:val="00CE2BDB"/>
    <w:rsid w:val="00EC553C"/>
    <w:rsid w:val="00F875EB"/>
    <w:rsid w:val="0506102F"/>
    <w:rsid w:val="36DD2C2A"/>
    <w:rsid w:val="3D54134E"/>
    <w:rsid w:val="430043A2"/>
    <w:rsid w:val="583B1483"/>
    <w:rsid w:val="5BDF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6AA"/>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856AA"/>
    <w:pPr>
      <w:spacing w:before="75" w:after="75"/>
      <w:jc w:val="left"/>
    </w:pPr>
    <w:rPr>
      <w:kern w:val="0"/>
      <w:sz w:val="24"/>
    </w:rPr>
  </w:style>
  <w:style w:type="character" w:styleId="a4">
    <w:name w:val="Strong"/>
    <w:basedOn w:val="a0"/>
    <w:qFormat/>
    <w:rsid w:val="00A856AA"/>
    <w:rPr>
      <w:b/>
    </w:rPr>
  </w:style>
  <w:style w:type="paragraph" w:styleId="a5">
    <w:name w:val="header"/>
    <w:basedOn w:val="a"/>
    <w:link w:val="Char"/>
    <w:rsid w:val="00CE2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E2BDB"/>
    <w:rPr>
      <w:rFonts w:ascii="Calibri" w:hAnsi="Calibri"/>
      <w:kern w:val="2"/>
      <w:sz w:val="18"/>
      <w:szCs w:val="18"/>
    </w:rPr>
  </w:style>
  <w:style w:type="paragraph" w:styleId="a6">
    <w:name w:val="footer"/>
    <w:basedOn w:val="a"/>
    <w:link w:val="Char0"/>
    <w:uiPriority w:val="99"/>
    <w:rsid w:val="00CE2BDB"/>
    <w:pPr>
      <w:tabs>
        <w:tab w:val="center" w:pos="4153"/>
        <w:tab w:val="right" w:pos="8306"/>
      </w:tabs>
      <w:snapToGrid w:val="0"/>
      <w:jc w:val="left"/>
    </w:pPr>
    <w:rPr>
      <w:sz w:val="18"/>
      <w:szCs w:val="18"/>
    </w:rPr>
  </w:style>
  <w:style w:type="character" w:customStyle="1" w:styleId="Char0">
    <w:name w:val="页脚 Char"/>
    <w:basedOn w:val="a0"/>
    <w:link w:val="a6"/>
    <w:uiPriority w:val="99"/>
    <w:rsid w:val="00CE2BD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Administrator</cp:lastModifiedBy>
  <cp:revision>6</cp:revision>
  <dcterms:created xsi:type="dcterms:W3CDTF">2020-07-07T07:52:00Z</dcterms:created>
  <dcterms:modified xsi:type="dcterms:W3CDTF">2020-07-20T01:49:00Z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