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附件1：</w:t>
      </w: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275"/>
        <w:gridCol w:w="2085"/>
        <w:gridCol w:w="1185"/>
        <w:gridCol w:w="825"/>
        <w:gridCol w:w="1215"/>
        <w:gridCol w:w="1095"/>
        <w:gridCol w:w="735"/>
        <w:gridCol w:w="990"/>
        <w:gridCol w:w="3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081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沂源县司法局“双随机、一公开”抽查事项清单（2023年版）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抽查内容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抽查比例及频次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负责科室</w:t>
            </w: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对律师、律师事务所进行监督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1.律师队伍建设情况。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2.业务活动开展情况。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3.律师执业表现情况。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4.内部管理情况。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5.受行政奖惩、行业奖惩的情况。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6.履行律师协会会员义务的情况。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7.省、自治区、直辖市司法行政机关根据需要认为应当检查考核的其他事项。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律师事务所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现场检查、网络检查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全年抽查比例不低于25%，每年抽查1次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3月至12月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律师科</w:t>
            </w: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1.《律师法》（1996年5月通过，2017年9月修正）第四条。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2.《律师事务所管理办法》（2008年7月司法部令第111号发布，2018年12月司法部令第142号修正）第六十四条、第六十五条、第六十六条。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3.《律师执业管理办法》（2008年7月司法部令第112号发布，2016年9月司法部令第134号修订）第五十条、第五十一条、第五十二条。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4.《律师事务所年度检查考核办法》（司法部令第121号）第四条、第六条。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对公证员、公证机构及公证协会进行监督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1.公证机构组织建设情况。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2.公证机构队伍建设情况。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3.公证机构执业活动情况。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4.公证机构质量控制情况。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5.公证机构内部管理情况。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公证机构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现场检查、网络检查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全年抽查比例不低于100%，每年抽查1次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3月至12月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公法科</w:t>
            </w: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1.《公证法》（2005年8月通过，2017年9月修正）第五条。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2.《公证程序规则》（2006年5月18日司法部令第103号发布，2020年10月20日司法部令第145号修正）第八条。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3.《公证机构执业管理办法》（2006年2月司法部令第101号发布）第五条、第二十四条、第二十五条、第二十六条。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对基层法律服务执业机构、人员执业的检查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1.党建工作情况。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2.资质管理情况。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3.队伍建设情况。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4.年度业务活动开展情况。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5.内部管理情况。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6.遵守基层法律服务行业协会章程、履行会员义务的情况。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7.受行政奖惩、行业奖惩情况。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8.司法行政机关认为应当考核的其他事项。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基层法律服务机构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现场检查、网络检查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全年抽查比例不低于35%，每年抽查1次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3月至12月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人促科</w:t>
            </w: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1.《基层法律服务所管理办法》（2000年3月司法部令第59号公布，2017年12月司法部令第137号修订）第三十四条。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2.《基层法律服务工作者管理办法》（2000年3月司法部令第60号公布，2017年12月司法部令第138号修订）第四十四条。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3.《山东省司法厅关于印发&lt;山东省基层法律服务所年度考核办法&gt;&lt;山东省基层法律服务工作者年度考核办法&gt;&lt;山东省基层法律服务年度考核印章样式及使用说明&gt;的通知》（鲁司</w:t>
            </w:r>
            <w:r>
              <w:rPr>
                <w:rStyle w:val="6"/>
                <w:lang w:val="en-US" w:eastAsia="zh-CN" w:bidi="ar"/>
              </w:rPr>
              <w:t>﹝</w:t>
            </w:r>
            <w:r>
              <w:rPr>
                <w:rStyle w:val="7"/>
                <w:rFonts w:hAnsi="宋体"/>
                <w:lang w:val="en-US" w:eastAsia="zh-CN" w:bidi="ar"/>
              </w:rPr>
              <w:t>2018</w:t>
            </w:r>
            <w:r>
              <w:rPr>
                <w:rStyle w:val="6"/>
                <w:lang w:val="en-US" w:eastAsia="zh-CN" w:bidi="ar"/>
              </w:rPr>
              <w:t>﹞</w:t>
            </w:r>
            <w:r>
              <w:rPr>
                <w:rStyle w:val="7"/>
                <w:rFonts w:hAnsi="宋体"/>
                <w:lang w:val="en-US" w:eastAsia="zh-CN" w:bidi="ar"/>
              </w:rPr>
              <w:t>50号）第六条。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对法治宣传教育规划实施的检查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本行政区域法治宣传教育规划实施情况的检查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企业和其他社会组织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现场检查、网络检查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3月至12月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普法科</w:t>
            </w: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《山东省法治宣传教育条例》（2017年9月通过）第十一条。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对司法鉴定机构及司法鉴定人员的检查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本行政区域司法鉴定机构及司法鉴定人员日常执业情况的检查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司法鉴定机构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现场检查、网络检查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全年抽查比例不低于100%，每年抽查1次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3月至12月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公法科</w:t>
            </w: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《山东省司法鉴定条例》（2011年11月25日通过）第四十六条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NDIxZDE5YTlmYWQ4NjVmMWMxZjg3YjQyOWQzMDIifQ=="/>
  </w:docVars>
  <w:rsids>
    <w:rsidRoot w:val="43B91F4C"/>
    <w:rsid w:val="43B9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2023-02-24T06:57:00Z</dcterms:created>
  <dc:creator>Administrator</dc:creator>
  <cp:lastModifiedBy>Administrator</cp:lastModifiedBy>
  <dcterms:modified xsi:type="dcterms:W3CDTF">2023-02-24T07:00:20Z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3B37420112E54429B14E0C83EAF7FA2A</vt:lpwstr>
  </property>
</Properties>
</file>