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6"/>
          <w:rFonts w:ascii="微软雅黑" w:hAnsi="微软雅黑" w:eastAsia="微软雅黑" w:cs="微软雅黑"/>
          <w:color w:val="000000"/>
          <w:sz w:val="36"/>
          <w:szCs w:val="36"/>
        </w:rPr>
        <w:t>沂源县民政局关于命名“怡泽苑小区”的批复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〔2022〕7号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沂源县房屋建设综合开发有限公司：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Fonts w:hint="eastAsia" w:ascii="微软雅黑" w:hAnsi="微软雅黑" w:eastAsia="微软雅黑" w:cs="微软雅黑"/>
          <w:sz w:val="24"/>
          <w:szCs w:val="24"/>
        </w:rPr>
        <w:t>关于对“怡泽苑小区”命名的申请已收悉。经研究，同意命名。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Fonts w:hint="eastAsia" w:ascii="微软雅黑" w:hAnsi="微软雅黑" w:eastAsia="微软雅黑" w:cs="微软雅黑"/>
          <w:sz w:val="24"/>
          <w:szCs w:val="24"/>
        </w:rPr>
        <w:t>怡泽苑小区位于沂源县城历山路北段西侧、人民路南侧。四至范围：东至历山路，西至西北麻村、窗户沟村住宅楼，南至东北麻村，北至西北麻村耕地、园地。占地面积15668.3平方米，总建筑面积63609.46平方米。同意命名“怡泽苑小区”为标准地名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命名后，应</w:t>
      </w:r>
      <w:r>
        <w:rPr>
          <w:rFonts w:hint="eastAsia" w:ascii="微软雅黑" w:hAnsi="微软雅黑" w:eastAsia="微软雅黑" w:cs="微软雅黑"/>
          <w:sz w:val="24"/>
          <w:szCs w:val="24"/>
        </w:rPr>
        <w:t>于建设工程竣工时，在居民区的主要出、入口处设置标准地名标志。有关组织、团体和个人在办理相关事项时，都应使用命名后的标准名称。 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3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沂源县民政局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2022年3月10日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3B472ADB"/>
    <w:rsid w:val="481E6840"/>
    <w:rsid w:val="53033E3F"/>
    <w:rsid w:val="5B451AF4"/>
    <w:rsid w:val="5F3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2023-08-31T02:06:00Z</dcterms:created>
  <dc:creator>Administrator</dc:creator>
  <cp:lastModifiedBy>白白白白</cp:lastModifiedBy>
  <dcterms:modified xsi:type="dcterms:W3CDTF">2023-08-31T02:19:12Z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FBC9497F073B408DBC178F90BF4DA066_12</vt:lpwstr>
  </property>
</Properties>
</file>