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37615">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沂源县交通运输局202</w:t>
      </w:r>
      <w:r>
        <w:rPr>
          <w:rFonts w:hint="eastAsia" w:ascii="Times New Roman" w:hAnsi="Times New Roman" w:eastAsia="方正小标宋简体" w:cs="Times New Roman"/>
          <w:color w:val="000000"/>
          <w:sz w:val="44"/>
          <w:szCs w:val="44"/>
          <w:lang w:val="en-US" w:eastAsia="zh-CN"/>
        </w:rPr>
        <w:t>5</w:t>
      </w:r>
      <w:r>
        <w:rPr>
          <w:rFonts w:hint="default" w:ascii="Times New Roman" w:hAnsi="Times New Roman" w:eastAsia="方正小标宋简体" w:cs="Times New Roman"/>
          <w:color w:val="000000"/>
          <w:sz w:val="44"/>
          <w:szCs w:val="44"/>
        </w:rPr>
        <w:t>年政府信息公开工作年度报告</w:t>
      </w:r>
    </w:p>
    <w:p w14:paraId="3EF7EF61">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jc w:val="center"/>
        <w:textAlignment w:val="auto"/>
        <w:rPr>
          <w:rFonts w:hint="default" w:ascii="Times New Roman" w:hAnsi="Times New Roman" w:eastAsia="方正小标宋简体" w:cs="Times New Roman"/>
          <w:color w:val="000000"/>
          <w:sz w:val="44"/>
          <w:szCs w:val="44"/>
        </w:rPr>
      </w:pPr>
    </w:p>
    <w:p w14:paraId="5081140C">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i w:val="0"/>
          <w:caps w:val="0"/>
          <w:color w:val="000000"/>
          <w:spacing w:val="0"/>
          <w:sz w:val="32"/>
          <w:szCs w:val="32"/>
          <w:lang w:eastAsia="zh-CN"/>
        </w:rPr>
        <w:t>本年度报告中所列数据的统计期限自202</w:t>
      </w:r>
      <w:r>
        <w:rPr>
          <w:rFonts w:hint="eastAsia" w:ascii="Times New Roman" w:hAnsi="Times New Roman" w:eastAsia="仿宋_GB2312" w:cs="Times New Roman"/>
          <w:i w:val="0"/>
          <w:caps w:val="0"/>
          <w:color w:val="000000"/>
          <w:spacing w:val="0"/>
          <w:sz w:val="32"/>
          <w:szCs w:val="32"/>
          <w:lang w:val="en-US" w:eastAsia="zh-CN"/>
        </w:rPr>
        <w:t>5</w:t>
      </w:r>
      <w:r>
        <w:rPr>
          <w:rFonts w:hint="default" w:ascii="Times New Roman" w:hAnsi="Times New Roman" w:eastAsia="仿宋_GB2312" w:cs="Times New Roman"/>
          <w:i w:val="0"/>
          <w:caps w:val="0"/>
          <w:color w:val="000000"/>
          <w:spacing w:val="0"/>
          <w:sz w:val="32"/>
          <w:szCs w:val="32"/>
          <w:lang w:eastAsia="zh-CN"/>
        </w:rPr>
        <w:t>年1月1日起，至202</w:t>
      </w:r>
      <w:r>
        <w:rPr>
          <w:rFonts w:hint="eastAsia" w:ascii="Times New Roman" w:hAnsi="Times New Roman" w:eastAsia="仿宋_GB2312" w:cs="Times New Roman"/>
          <w:i w:val="0"/>
          <w:caps w:val="0"/>
          <w:color w:val="000000"/>
          <w:spacing w:val="0"/>
          <w:sz w:val="32"/>
          <w:szCs w:val="32"/>
          <w:lang w:val="en-US" w:eastAsia="zh-CN"/>
        </w:rPr>
        <w:t>5</w:t>
      </w:r>
      <w:r>
        <w:rPr>
          <w:rFonts w:hint="default" w:ascii="Times New Roman" w:hAnsi="Times New Roman" w:eastAsia="仿宋_GB2312" w:cs="Times New Roman"/>
          <w:i w:val="0"/>
          <w:caps w:val="0"/>
          <w:color w:val="000000"/>
          <w:spacing w:val="0"/>
          <w:sz w:val="32"/>
          <w:szCs w:val="32"/>
          <w:lang w:eastAsia="zh-CN"/>
        </w:rPr>
        <w:t>年12月31日止。如对报告内容有疑问，请与</w:t>
      </w:r>
      <w:r>
        <w:rPr>
          <w:rFonts w:hint="default" w:ascii="Times New Roman" w:hAnsi="Times New Roman" w:eastAsia="仿宋_GB2312" w:cs="Times New Roman"/>
          <w:i w:val="0"/>
          <w:caps w:val="0"/>
          <w:color w:val="000000"/>
          <w:spacing w:val="0"/>
          <w:sz w:val="32"/>
          <w:szCs w:val="32"/>
          <w:lang w:val="en-US" w:eastAsia="zh-CN"/>
        </w:rPr>
        <w:t>沂源县交通运输局办公室</w:t>
      </w:r>
      <w:r>
        <w:rPr>
          <w:rFonts w:hint="default" w:ascii="Times New Roman" w:hAnsi="Times New Roman" w:eastAsia="仿宋_GB2312" w:cs="Times New Roman"/>
          <w:i w:val="0"/>
          <w:caps w:val="0"/>
          <w:color w:val="000000"/>
          <w:spacing w:val="0"/>
          <w:sz w:val="32"/>
          <w:szCs w:val="32"/>
          <w:lang w:eastAsia="zh-CN"/>
        </w:rPr>
        <w:t>联系（地址：</w:t>
      </w:r>
      <w:r>
        <w:rPr>
          <w:rFonts w:hint="default" w:ascii="Times New Roman" w:hAnsi="Times New Roman" w:eastAsia="仿宋_GB2312" w:cs="Times New Roman"/>
          <w:kern w:val="2"/>
          <w:sz w:val="32"/>
          <w:szCs w:val="32"/>
          <w:lang w:val="en-US" w:eastAsia="zh-CN" w:bidi="ar-SA"/>
        </w:rPr>
        <w:t>沂源县新城路与祥源路交叉路口东办公楼</w:t>
      </w:r>
      <w:r>
        <w:rPr>
          <w:rFonts w:hint="default" w:ascii="Times New Roman" w:hAnsi="Times New Roman" w:eastAsia="仿宋_GB2312" w:cs="Times New Roman"/>
          <w:i w:val="0"/>
          <w:caps w:val="0"/>
          <w:color w:val="000000"/>
          <w:spacing w:val="0"/>
          <w:sz w:val="32"/>
          <w:szCs w:val="32"/>
          <w:lang w:eastAsia="zh-CN"/>
        </w:rPr>
        <w:t>；邮编：</w:t>
      </w:r>
      <w:r>
        <w:rPr>
          <w:rFonts w:hint="default" w:ascii="Times New Roman" w:hAnsi="Times New Roman" w:eastAsia="仿宋_GB2312" w:cs="Times New Roman"/>
          <w:kern w:val="2"/>
          <w:sz w:val="32"/>
          <w:szCs w:val="32"/>
          <w:lang w:val="en-US" w:eastAsia="zh-CN" w:bidi="ar-SA"/>
        </w:rPr>
        <w:t>256100</w:t>
      </w:r>
      <w:r>
        <w:rPr>
          <w:rFonts w:hint="default" w:ascii="Times New Roman" w:hAnsi="Times New Roman" w:eastAsia="仿宋_GB2312" w:cs="Times New Roman"/>
          <w:i w:val="0"/>
          <w:caps w:val="0"/>
          <w:color w:val="000000"/>
          <w:spacing w:val="0"/>
          <w:sz w:val="32"/>
          <w:szCs w:val="32"/>
          <w:lang w:eastAsia="zh-CN"/>
        </w:rPr>
        <w:t>；电话：</w:t>
      </w:r>
      <w:r>
        <w:rPr>
          <w:rFonts w:hint="default" w:ascii="Times New Roman" w:hAnsi="Times New Roman" w:eastAsia="仿宋_GB2312" w:cs="Times New Roman"/>
          <w:kern w:val="2"/>
          <w:sz w:val="32"/>
          <w:szCs w:val="32"/>
          <w:lang w:val="en-US" w:eastAsia="zh-CN" w:bidi="ar-SA"/>
        </w:rPr>
        <w:t>0533-2343800</w:t>
      </w:r>
      <w:r>
        <w:rPr>
          <w:rFonts w:hint="default" w:ascii="Times New Roman" w:hAnsi="Times New Roman" w:eastAsia="仿宋_GB2312" w:cs="Times New Roman"/>
          <w:i w:val="0"/>
          <w:caps w:val="0"/>
          <w:color w:val="000000"/>
          <w:spacing w:val="0"/>
          <w:sz w:val="32"/>
          <w:szCs w:val="32"/>
          <w:lang w:eastAsia="zh-CN"/>
        </w:rPr>
        <w:t>；电子邮箱：</w:t>
      </w:r>
      <w:r>
        <w:rPr>
          <w:rFonts w:hint="default" w:ascii="Times New Roman" w:hAnsi="Times New Roman" w:eastAsia="仿宋_GB2312" w:cs="Times New Roman"/>
          <w:kern w:val="2"/>
          <w:sz w:val="32"/>
          <w:szCs w:val="32"/>
          <w:lang w:val="en-US" w:eastAsia="zh-CN" w:bidi="ar-SA"/>
        </w:rPr>
        <w:t>yyxjtjbgs@zb.shandong.cn</w:t>
      </w:r>
      <w:r>
        <w:rPr>
          <w:rFonts w:hint="default" w:ascii="Times New Roman" w:hAnsi="Times New Roman" w:eastAsia="仿宋_GB2312" w:cs="Times New Roman"/>
          <w:i w:val="0"/>
          <w:caps w:val="0"/>
          <w:color w:val="000000"/>
          <w:spacing w:val="0"/>
          <w:sz w:val="32"/>
          <w:szCs w:val="32"/>
          <w:lang w:eastAsia="zh-CN"/>
        </w:rPr>
        <w:t>）。</w:t>
      </w:r>
    </w:p>
    <w:p w14:paraId="26F525A8">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lang w:eastAsia="zh-CN"/>
        </w:rPr>
        <w:t>一、总体情况</w:t>
      </w:r>
    </w:p>
    <w:p w14:paraId="60540FC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202</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lang w:val="en-US" w:eastAsia="zh-CN"/>
        </w:rPr>
        <w:t>年</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沂源县交通运输局坚持以习近平新时代中国特色社会主义思想为指导，锚定</w:t>
      </w:r>
      <w:r>
        <w:rPr>
          <w:rFonts w:hint="eastAsia" w:ascii="Times New Roman" w:hAnsi="Times New Roman" w:eastAsia="仿宋_GB2312" w:cs="Times New Roman"/>
          <w:color w:val="000000"/>
          <w:sz w:val="32"/>
          <w:szCs w:val="32"/>
          <w:lang w:val="en-US" w:eastAsia="zh-CN"/>
        </w:rPr>
        <w:t>交通强国</w:t>
      </w:r>
      <w:r>
        <w:rPr>
          <w:rFonts w:hint="default" w:ascii="Times New Roman" w:hAnsi="Times New Roman" w:eastAsia="仿宋_GB2312" w:cs="Times New Roman"/>
          <w:color w:val="000000"/>
          <w:sz w:val="32"/>
          <w:szCs w:val="32"/>
          <w:lang w:val="en-US" w:eastAsia="zh-CN"/>
        </w:rPr>
        <w:t>建设目标，</w:t>
      </w:r>
      <w:r>
        <w:rPr>
          <w:rFonts w:hint="default" w:ascii="Times New Roman" w:hAnsi="Times New Roman" w:eastAsia="仿宋_GB2312" w:cs="Times New Roman"/>
          <w:sz w:val="32"/>
          <w:szCs w:val="32"/>
        </w:rPr>
        <w:t>持续提升政务公开标准化、规范化和信息化水平，助力打造法治政府、效能政府、数字政府</w:t>
      </w:r>
      <w:r>
        <w:rPr>
          <w:rFonts w:hint="default" w:ascii="Times New Roman" w:hAnsi="Times New Roman" w:eastAsia="仿宋_GB2312" w:cs="Times New Roman"/>
          <w:color w:val="000000"/>
          <w:sz w:val="32"/>
          <w:szCs w:val="32"/>
          <w:lang w:val="en-US" w:eastAsia="zh-CN"/>
        </w:rPr>
        <w:t>。</w:t>
      </w:r>
    </w:p>
    <w:p w14:paraId="4011A164">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楷体_GB2312" w:cs="Times New Roman"/>
          <w:color w:val="000000"/>
          <w:sz w:val="32"/>
          <w:szCs w:val="32"/>
          <w:lang w:eastAsia="zh-CN"/>
        </w:rPr>
        <w:t>1.主动公开方面。</w:t>
      </w:r>
      <w:r>
        <w:rPr>
          <w:rFonts w:hint="default" w:ascii="Times New Roman" w:hAnsi="Times New Roman" w:eastAsia="仿宋_GB2312" w:cs="Times New Roman"/>
          <w:i w:val="0"/>
          <w:iCs w:val="0"/>
          <w:caps w:val="0"/>
          <w:color w:val="000000"/>
          <w:spacing w:val="0"/>
          <w:sz w:val="32"/>
          <w:szCs w:val="32"/>
          <w:shd w:val="clear" w:fill="FFFFFF"/>
          <w:lang w:val="en-US" w:eastAsia="zh-CN"/>
        </w:rPr>
        <w:t>202</w:t>
      </w:r>
      <w:r>
        <w:rPr>
          <w:rFonts w:hint="eastAsia" w:ascii="Times New Roman" w:hAnsi="Times New Roman" w:eastAsia="仿宋_GB2312" w:cs="Times New Roman"/>
          <w:i w:val="0"/>
          <w:iCs w:val="0"/>
          <w:caps w:val="0"/>
          <w:color w:val="000000"/>
          <w:spacing w:val="0"/>
          <w:sz w:val="32"/>
          <w:szCs w:val="32"/>
          <w:shd w:val="clear" w:fill="FFFFFF"/>
          <w:lang w:val="en-US" w:eastAsia="zh-CN"/>
        </w:rPr>
        <w:t>5</w:t>
      </w:r>
      <w:r>
        <w:rPr>
          <w:rFonts w:hint="default" w:ascii="Times New Roman" w:hAnsi="Times New Roman" w:eastAsia="仿宋_GB2312" w:cs="Times New Roman"/>
          <w:i w:val="0"/>
          <w:iCs w:val="0"/>
          <w:caps w:val="0"/>
          <w:color w:val="000000"/>
          <w:spacing w:val="0"/>
          <w:sz w:val="32"/>
          <w:szCs w:val="32"/>
          <w:shd w:val="clear" w:fill="FFFFFF"/>
          <w:lang w:val="en-US" w:eastAsia="zh-CN"/>
        </w:rPr>
        <w:t>年度</w:t>
      </w:r>
      <w:r>
        <w:rPr>
          <w:rFonts w:hint="default" w:ascii="Times New Roman" w:hAnsi="Times New Roman" w:eastAsia="仿宋_GB2312" w:cs="Times New Roman"/>
          <w:i w:val="0"/>
          <w:iCs w:val="0"/>
          <w:caps w:val="0"/>
          <w:color w:val="000000"/>
          <w:spacing w:val="0"/>
          <w:sz w:val="32"/>
          <w:szCs w:val="32"/>
          <w:shd w:val="clear" w:fill="FFFFFF"/>
          <w:lang w:eastAsia="zh-CN"/>
        </w:rPr>
        <w:t>通过县政府门户网站，发布</w:t>
      </w:r>
      <w:r>
        <w:rPr>
          <w:rFonts w:hint="default" w:ascii="Times New Roman" w:hAnsi="Times New Roman" w:eastAsia="仿宋_GB2312" w:cs="Times New Roman"/>
          <w:i w:val="0"/>
          <w:iCs w:val="0"/>
          <w:caps w:val="0"/>
          <w:color w:val="000000"/>
          <w:spacing w:val="0"/>
          <w:sz w:val="32"/>
          <w:szCs w:val="32"/>
          <w:shd w:val="clear" w:fill="FFFFFF"/>
        </w:rPr>
        <w:t>财政预决算、行政</w:t>
      </w:r>
      <w:r>
        <w:rPr>
          <w:rFonts w:hint="default" w:ascii="Times New Roman" w:hAnsi="Times New Roman" w:eastAsia="仿宋_GB2312" w:cs="Times New Roman"/>
          <w:i w:val="0"/>
          <w:iCs w:val="0"/>
          <w:caps w:val="0"/>
          <w:color w:val="000000"/>
          <w:spacing w:val="0"/>
          <w:sz w:val="32"/>
          <w:szCs w:val="32"/>
          <w:shd w:val="clear" w:fill="FFFFFF"/>
          <w:lang w:eastAsia="zh-CN"/>
        </w:rPr>
        <w:t>执法信息事前事后公示、行政执法数据统计年报</w:t>
      </w:r>
      <w:r>
        <w:rPr>
          <w:rFonts w:hint="default" w:ascii="Times New Roman" w:hAnsi="Times New Roman" w:eastAsia="仿宋_GB2312" w:cs="Times New Roman"/>
          <w:i w:val="0"/>
          <w:iCs w:val="0"/>
          <w:caps w:val="0"/>
          <w:color w:val="000000"/>
          <w:spacing w:val="0"/>
          <w:sz w:val="32"/>
          <w:szCs w:val="32"/>
          <w:shd w:val="clear" w:fill="FFFFFF"/>
        </w:rPr>
        <w:t>、建议提案公开、“双随机、一公开”监管信息</w:t>
      </w:r>
      <w:r>
        <w:rPr>
          <w:rFonts w:hint="default" w:ascii="Times New Roman" w:hAnsi="Times New Roman" w:eastAsia="仿宋_GB2312" w:cs="Times New Roman"/>
          <w:i w:val="0"/>
          <w:iCs w:val="0"/>
          <w:caps w:val="0"/>
          <w:color w:val="000000"/>
          <w:spacing w:val="0"/>
          <w:sz w:val="32"/>
          <w:szCs w:val="32"/>
          <w:shd w:val="clear" w:fill="FFFFFF"/>
          <w:lang w:eastAsia="zh-CN"/>
        </w:rPr>
        <w:t>、公共交通企业信息公开</w:t>
      </w:r>
      <w:r>
        <w:rPr>
          <w:rFonts w:hint="default" w:ascii="Times New Roman" w:hAnsi="Times New Roman" w:eastAsia="仿宋_GB2312" w:cs="Times New Roman"/>
          <w:i w:val="0"/>
          <w:iCs w:val="0"/>
          <w:caps w:val="0"/>
          <w:color w:val="000000"/>
          <w:spacing w:val="0"/>
          <w:sz w:val="32"/>
          <w:szCs w:val="32"/>
          <w:shd w:val="clear" w:fill="FFFFFF"/>
        </w:rPr>
        <w:t>等信息共计1</w:t>
      </w:r>
      <w:r>
        <w:rPr>
          <w:rFonts w:hint="default" w:ascii="Times New Roman" w:hAnsi="Times New Roman" w:eastAsia="仿宋_GB2312" w:cs="Times New Roman"/>
          <w:i w:val="0"/>
          <w:iCs w:val="0"/>
          <w:caps w:val="0"/>
          <w:color w:val="000000"/>
          <w:spacing w:val="0"/>
          <w:sz w:val="32"/>
          <w:szCs w:val="32"/>
          <w:shd w:val="clear" w:fill="FFFFFF"/>
          <w:lang w:val="en-US" w:eastAsia="zh-CN"/>
        </w:rPr>
        <w:t>0</w:t>
      </w:r>
      <w:r>
        <w:rPr>
          <w:rFonts w:hint="eastAsia" w:ascii="Times New Roman" w:hAnsi="Times New Roman" w:eastAsia="仿宋_GB2312" w:cs="Times New Roman"/>
          <w:i w:val="0"/>
          <w:iCs w:val="0"/>
          <w:caps w:val="0"/>
          <w:color w:val="000000"/>
          <w:spacing w:val="0"/>
          <w:sz w:val="32"/>
          <w:szCs w:val="32"/>
          <w:shd w:val="clear" w:fill="FFFFFF"/>
          <w:lang w:val="en-US" w:eastAsia="zh-CN"/>
        </w:rPr>
        <w:t>0</w:t>
      </w:r>
      <w:r>
        <w:rPr>
          <w:rFonts w:hint="default" w:ascii="Times New Roman" w:hAnsi="Times New Roman" w:eastAsia="仿宋_GB2312" w:cs="Times New Roman"/>
          <w:i w:val="0"/>
          <w:iCs w:val="0"/>
          <w:caps w:val="0"/>
          <w:color w:val="000000"/>
          <w:spacing w:val="0"/>
          <w:sz w:val="32"/>
          <w:szCs w:val="32"/>
          <w:shd w:val="clear" w:fill="FFFFFF"/>
        </w:rPr>
        <w:t>条。</w:t>
      </w:r>
    </w:p>
    <w:p w14:paraId="1CD94892">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楷体_GB2312" w:cs="Times New Roman"/>
          <w:color w:val="000000"/>
          <w:sz w:val="32"/>
          <w:szCs w:val="32"/>
          <w:lang w:val="en-US" w:eastAsia="zh-CN"/>
        </w:rPr>
        <w:t>2.依申请公开情况。</w:t>
      </w:r>
      <w:r>
        <w:rPr>
          <w:rFonts w:hint="default" w:ascii="Times New Roman" w:hAnsi="Times New Roman" w:eastAsia="仿宋_GB2312" w:cs="Times New Roman"/>
          <w:i w:val="0"/>
          <w:iCs w:val="0"/>
          <w:caps w:val="0"/>
          <w:color w:val="000000"/>
          <w:spacing w:val="0"/>
          <w:sz w:val="32"/>
          <w:szCs w:val="32"/>
          <w:shd w:val="clear" w:fill="FFFFFF"/>
          <w:lang w:val="en-US" w:eastAsia="zh-CN"/>
        </w:rPr>
        <w:t>202</w:t>
      </w:r>
      <w:r>
        <w:rPr>
          <w:rFonts w:hint="eastAsia" w:ascii="Times New Roman" w:hAnsi="Times New Roman" w:eastAsia="仿宋_GB2312" w:cs="Times New Roman"/>
          <w:i w:val="0"/>
          <w:iCs w:val="0"/>
          <w:caps w:val="0"/>
          <w:color w:val="000000"/>
          <w:spacing w:val="0"/>
          <w:sz w:val="32"/>
          <w:szCs w:val="32"/>
          <w:shd w:val="clear" w:fill="FFFFFF"/>
          <w:lang w:val="en-US" w:eastAsia="zh-CN"/>
        </w:rPr>
        <w:t>5</w:t>
      </w:r>
      <w:r>
        <w:rPr>
          <w:rFonts w:hint="default" w:ascii="Times New Roman" w:hAnsi="Times New Roman" w:eastAsia="仿宋_GB2312" w:cs="Times New Roman"/>
          <w:i w:val="0"/>
          <w:iCs w:val="0"/>
          <w:caps w:val="0"/>
          <w:color w:val="000000"/>
          <w:spacing w:val="0"/>
          <w:sz w:val="32"/>
          <w:szCs w:val="32"/>
          <w:shd w:val="clear" w:fill="FFFFFF"/>
          <w:lang w:val="en-US" w:eastAsia="zh-CN"/>
        </w:rPr>
        <w:t>年，我局收到政府信息</w:t>
      </w:r>
      <w:r>
        <w:rPr>
          <w:rFonts w:hint="eastAsia" w:ascii="Times New Roman" w:hAnsi="Times New Roman" w:eastAsia="仿宋_GB2312" w:cs="Times New Roman"/>
          <w:i w:val="0"/>
          <w:iCs w:val="0"/>
          <w:caps w:val="0"/>
          <w:color w:val="000000"/>
          <w:spacing w:val="0"/>
          <w:sz w:val="32"/>
          <w:szCs w:val="32"/>
          <w:shd w:val="clear" w:fill="FFFFFF"/>
          <w:lang w:val="en-US" w:eastAsia="zh-CN"/>
        </w:rPr>
        <w:t>依</w:t>
      </w:r>
      <w:r>
        <w:rPr>
          <w:rFonts w:hint="default" w:ascii="Times New Roman" w:hAnsi="Times New Roman" w:eastAsia="仿宋_GB2312" w:cs="Times New Roman"/>
          <w:i w:val="0"/>
          <w:iCs w:val="0"/>
          <w:caps w:val="0"/>
          <w:color w:val="000000"/>
          <w:spacing w:val="0"/>
          <w:sz w:val="32"/>
          <w:szCs w:val="32"/>
          <w:shd w:val="clear" w:fill="FFFFFF"/>
          <w:lang w:val="en-US" w:eastAsia="zh-CN"/>
        </w:rPr>
        <w:t>申请公开</w:t>
      </w:r>
      <w:r>
        <w:rPr>
          <w:rFonts w:hint="eastAsia" w:ascii="Times New Roman" w:hAnsi="Times New Roman" w:eastAsia="仿宋_GB2312" w:cs="Times New Roman"/>
          <w:i w:val="0"/>
          <w:iCs w:val="0"/>
          <w:caps w:val="0"/>
          <w:color w:val="000000"/>
          <w:spacing w:val="0"/>
          <w:sz w:val="32"/>
          <w:szCs w:val="32"/>
          <w:shd w:val="clear" w:fill="FFFFFF"/>
          <w:lang w:val="en-US" w:eastAsia="zh-CN"/>
        </w:rPr>
        <w:t>1件，相比去年增加1件，</w:t>
      </w:r>
      <w:r>
        <w:rPr>
          <w:rFonts w:hint="default" w:ascii="Times New Roman" w:hAnsi="Times New Roman" w:eastAsia="仿宋_GB2312" w:cs="Times New Roman"/>
          <w:i w:val="0"/>
          <w:iCs w:val="0"/>
          <w:caps w:val="0"/>
          <w:color w:val="000000"/>
          <w:spacing w:val="0"/>
          <w:sz w:val="32"/>
          <w:szCs w:val="32"/>
          <w:shd w:val="clear" w:fill="FFFFFF"/>
          <w:lang w:val="en-US" w:eastAsia="zh-CN"/>
        </w:rPr>
        <w:t>按要求时限完成受理答复工作。</w:t>
      </w:r>
      <w:r>
        <w:rPr>
          <w:rFonts w:hint="eastAsia" w:ascii="Times New Roman" w:hAnsi="Times New Roman" w:eastAsia="仿宋_GB2312" w:cs="Times New Roman"/>
          <w:i w:val="0"/>
          <w:iCs w:val="0"/>
          <w:caps w:val="0"/>
          <w:color w:val="000000"/>
          <w:spacing w:val="0"/>
          <w:sz w:val="32"/>
          <w:szCs w:val="32"/>
          <w:shd w:val="clear" w:fill="FFFFFF"/>
          <w:lang w:val="en-US" w:eastAsia="zh-CN"/>
        </w:rPr>
        <w:t>同时，</w:t>
      </w:r>
      <w:r>
        <w:rPr>
          <w:rFonts w:hint="default" w:ascii="Times New Roman" w:hAnsi="Times New Roman" w:eastAsia="仿宋_GB2312" w:cs="Times New Roman"/>
          <w:i w:val="0"/>
          <w:iCs w:val="0"/>
          <w:caps w:val="0"/>
          <w:color w:val="000000"/>
          <w:spacing w:val="0"/>
          <w:sz w:val="32"/>
          <w:szCs w:val="32"/>
          <w:shd w:val="clear" w:fill="FFFFFF"/>
          <w:lang w:val="en-US" w:eastAsia="zh-CN"/>
        </w:rPr>
        <w:t>持续加大政府信息依申请公开业务培训力度，切实强化公开理念和责任意识，着力提升答复工作的规范性、合法性与办理质效。</w:t>
      </w:r>
    </w:p>
    <w:p w14:paraId="317A125C">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_GB2312" w:cs="Times New Roman"/>
          <w:color w:val="000000"/>
          <w:sz w:val="32"/>
          <w:szCs w:val="32"/>
          <w:lang w:val="en-US" w:eastAsia="zh-CN"/>
        </w:rPr>
        <w:t>3.政府信息管理情况。</w:t>
      </w:r>
      <w:r>
        <w:rPr>
          <w:rFonts w:hint="default" w:ascii="Times New Roman" w:hAnsi="Times New Roman" w:eastAsia="仿宋_GB2312" w:cs="Times New Roman"/>
          <w:i w:val="0"/>
          <w:iCs w:val="0"/>
          <w:caps w:val="0"/>
          <w:color w:val="000000"/>
          <w:spacing w:val="0"/>
          <w:sz w:val="32"/>
          <w:szCs w:val="32"/>
          <w:shd w:val="clear" w:fill="FFFFFF"/>
          <w:lang w:val="en-US" w:eastAsia="zh-CN"/>
        </w:rPr>
        <w:t>严格执行保密审查</w:t>
      </w:r>
      <w:r>
        <w:rPr>
          <w:rFonts w:hint="eastAsia" w:ascii="Times New Roman" w:hAnsi="Times New Roman" w:eastAsia="仿宋_GB2312" w:cs="Times New Roman"/>
          <w:i w:val="0"/>
          <w:iCs w:val="0"/>
          <w:caps w:val="0"/>
          <w:color w:val="000000"/>
          <w:spacing w:val="0"/>
          <w:sz w:val="32"/>
          <w:szCs w:val="32"/>
          <w:shd w:val="clear" w:fill="FFFFFF"/>
          <w:lang w:val="en-US" w:eastAsia="zh-CN"/>
        </w:rPr>
        <w:t>及信息报送审批</w:t>
      </w:r>
      <w:bookmarkStart w:id="9" w:name="_GoBack"/>
      <w:bookmarkEnd w:id="9"/>
      <w:r>
        <w:rPr>
          <w:rFonts w:hint="default" w:ascii="Times New Roman" w:hAnsi="Times New Roman" w:eastAsia="仿宋_GB2312" w:cs="Times New Roman"/>
          <w:i w:val="0"/>
          <w:iCs w:val="0"/>
          <w:caps w:val="0"/>
          <w:color w:val="000000"/>
          <w:spacing w:val="0"/>
          <w:sz w:val="32"/>
          <w:szCs w:val="32"/>
          <w:shd w:val="clear" w:fill="FFFFFF"/>
          <w:lang w:val="en-US" w:eastAsia="zh-CN"/>
        </w:rPr>
        <w:t>制度，安</w:t>
      </w:r>
      <w:r>
        <w:rPr>
          <w:rFonts w:hint="default" w:ascii="Times New Roman" w:hAnsi="Times New Roman" w:eastAsia="仿宋_GB2312" w:cs="Times New Roman"/>
          <w:color w:val="auto"/>
          <w:kern w:val="2"/>
          <w:sz w:val="32"/>
          <w:szCs w:val="32"/>
          <w:lang w:val="en-US" w:eastAsia="zh-CN" w:bidi="ar-SA"/>
        </w:rPr>
        <w:t>排专人负责审核与发布，填写《政府网站、政务新媒体信息内容审核表》</w:t>
      </w:r>
      <w:r>
        <w:rPr>
          <w:rFonts w:hint="eastAsia" w:ascii="Times New Roman" w:hAnsi="Times New Roman" w:eastAsia="仿宋_GB2312" w:cs="Times New Roman"/>
          <w:color w:val="auto"/>
          <w:kern w:val="2"/>
          <w:sz w:val="32"/>
          <w:szCs w:val="32"/>
          <w:lang w:val="en-US" w:eastAsia="zh-CN" w:bidi="ar-SA"/>
        </w:rPr>
        <w:t>，建立健全发布台账</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i w:val="0"/>
          <w:iCs w:val="0"/>
          <w:caps w:val="0"/>
          <w:color w:val="000000"/>
          <w:spacing w:val="0"/>
          <w:sz w:val="32"/>
          <w:szCs w:val="32"/>
          <w:shd w:val="clear" w:fill="FFFFFF"/>
          <w:lang w:val="en-US" w:eastAsia="zh-CN"/>
        </w:rPr>
        <w:t>编制</w:t>
      </w:r>
      <w:r>
        <w:rPr>
          <w:rFonts w:hint="eastAsia" w:ascii="Times New Roman" w:hAnsi="Times New Roman" w:eastAsia="仿宋_GB2312" w:cs="Times New Roman"/>
          <w:i w:val="0"/>
          <w:iCs w:val="0"/>
          <w:caps w:val="0"/>
          <w:color w:val="000000"/>
          <w:spacing w:val="0"/>
          <w:sz w:val="32"/>
          <w:szCs w:val="32"/>
          <w:shd w:val="clear" w:fill="FFFFFF"/>
          <w:lang w:eastAsia="zh-CN"/>
        </w:rPr>
        <w:t>完成政府信息主动</w:t>
      </w:r>
      <w:r>
        <w:rPr>
          <w:rFonts w:hint="eastAsia" w:ascii="Times New Roman" w:hAnsi="Times New Roman" w:eastAsia="仿宋_GB2312" w:cs="Times New Roman"/>
          <w:i w:val="0"/>
          <w:iCs w:val="0"/>
          <w:caps w:val="0"/>
          <w:color w:val="000000"/>
          <w:spacing w:val="0"/>
          <w:sz w:val="32"/>
          <w:szCs w:val="32"/>
          <w:shd w:val="clear" w:fill="FFFFFF"/>
          <w:lang w:val="en-US" w:eastAsia="zh-CN"/>
        </w:rPr>
        <w:t>事项</w:t>
      </w:r>
      <w:r>
        <w:rPr>
          <w:rFonts w:hint="eastAsia" w:ascii="Times New Roman" w:hAnsi="Times New Roman" w:eastAsia="仿宋_GB2312" w:cs="Times New Roman"/>
          <w:i w:val="0"/>
          <w:iCs w:val="0"/>
          <w:caps w:val="0"/>
          <w:color w:val="000000"/>
          <w:spacing w:val="0"/>
          <w:sz w:val="32"/>
          <w:szCs w:val="32"/>
          <w:shd w:val="clear" w:fill="FFFFFF"/>
          <w:lang w:eastAsia="zh-CN"/>
        </w:rPr>
        <w:t>目录，</w:t>
      </w:r>
      <w:r>
        <w:rPr>
          <w:rFonts w:hint="default" w:ascii="Times New Roman" w:hAnsi="Times New Roman" w:eastAsia="仿宋_GB2312" w:cs="Times New Roman"/>
          <w:i w:val="0"/>
          <w:iCs w:val="0"/>
          <w:caps w:val="0"/>
          <w:color w:val="000000"/>
          <w:spacing w:val="0"/>
          <w:sz w:val="32"/>
          <w:szCs w:val="32"/>
          <w:shd w:val="clear" w:fill="FFFFFF"/>
        </w:rPr>
        <w:t>明确事项分类、公开内容、公开时限、公开方式、公开主体，认真做好相关栏目内容保障工作</w:t>
      </w:r>
      <w:r>
        <w:rPr>
          <w:rFonts w:hint="default" w:ascii="Times New Roman" w:hAnsi="Times New Roman" w:eastAsia="仿宋_GB2312" w:cs="Times New Roman"/>
          <w:i w:val="0"/>
          <w:iCs w:val="0"/>
          <w:caps w:val="0"/>
          <w:color w:val="000000"/>
          <w:spacing w:val="0"/>
          <w:sz w:val="32"/>
          <w:szCs w:val="32"/>
          <w:shd w:val="clear" w:fill="FFFFFF"/>
          <w:lang w:eastAsia="zh-CN"/>
        </w:rPr>
        <w:t>。</w:t>
      </w:r>
    </w:p>
    <w:p w14:paraId="7A8DFFB4">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楷体_GB2312" w:cs="Times New Roman"/>
          <w:kern w:val="2"/>
          <w:sz w:val="32"/>
          <w:szCs w:val="32"/>
          <w:lang w:val="en-US" w:eastAsia="zh-CN" w:bidi="ar-SA"/>
        </w:rPr>
        <w:t>4.平台建设方面。</w:t>
      </w:r>
      <w:r>
        <w:rPr>
          <w:rFonts w:hint="eastAsia" w:ascii="仿宋_GB2312" w:hAnsi="仿宋_GB2312" w:eastAsia="仿宋_GB2312" w:cs="仿宋_GB2312"/>
          <w:color w:val="auto"/>
          <w:sz w:val="32"/>
          <w:szCs w:val="32"/>
          <w:lang w:val="en-US" w:eastAsia="zh-CN"/>
        </w:rPr>
        <w:t>充分利用门户网站和</w:t>
      </w:r>
      <w:r>
        <w:rPr>
          <w:rFonts w:hint="default" w:ascii="Times New Roman" w:hAnsi="Times New Roman" w:eastAsia="仿宋_GB2312" w:cs="Times New Roman"/>
          <w:i w:val="0"/>
          <w:iCs w:val="0"/>
          <w:caps w:val="0"/>
          <w:color w:val="000000"/>
          <w:spacing w:val="0"/>
          <w:sz w:val="32"/>
          <w:szCs w:val="32"/>
          <w:shd w:val="clear" w:fill="FFFFFF"/>
        </w:rPr>
        <w:t>“沂源融媒”APP、“淄博交通”及“掌上沂源”微信公众号等新媒体渠道</w:t>
      </w:r>
      <w:r>
        <w:rPr>
          <w:rFonts w:hint="eastAsia" w:ascii="仿宋_GB2312" w:hAnsi="仿宋_GB2312" w:eastAsia="仿宋_GB2312" w:cs="仿宋_GB2312"/>
          <w:color w:val="auto"/>
          <w:sz w:val="32"/>
          <w:szCs w:val="32"/>
          <w:lang w:val="en-US" w:eastAsia="zh-CN"/>
        </w:rPr>
        <w:t>灵活便捷的优势</w:t>
      </w:r>
      <w:r>
        <w:rPr>
          <w:rFonts w:hint="default" w:ascii="Times New Roman" w:hAnsi="Times New Roman" w:eastAsia="仿宋_GB2312" w:cs="Times New Roman"/>
          <w:i w:val="0"/>
          <w:iCs w:val="0"/>
          <w:caps w:val="0"/>
          <w:color w:val="000000"/>
          <w:spacing w:val="0"/>
          <w:sz w:val="32"/>
          <w:szCs w:val="32"/>
          <w:shd w:val="clear" w:fill="FFFFFF"/>
        </w:rPr>
        <w:t>，</w:t>
      </w:r>
      <w:r>
        <w:rPr>
          <w:rFonts w:hint="eastAsia" w:ascii="仿宋_GB2312" w:hAnsi="仿宋_GB2312" w:eastAsia="仿宋_GB2312" w:cs="仿宋_GB2312"/>
          <w:color w:val="auto"/>
          <w:sz w:val="32"/>
          <w:szCs w:val="32"/>
          <w:lang w:val="en-US" w:eastAsia="zh-CN"/>
        </w:rPr>
        <w:t>及时发布有关交通运输发展政策和交通运输事业发展最新动态</w:t>
      </w:r>
      <w:r>
        <w:rPr>
          <w:rFonts w:hint="default" w:ascii="Times New Roman" w:hAnsi="Times New Roman" w:eastAsia="仿宋_GB2312" w:cs="Times New Roman"/>
          <w:i w:val="0"/>
          <w:iCs w:val="0"/>
          <w:caps w:val="0"/>
          <w:color w:val="000000"/>
          <w:spacing w:val="0"/>
          <w:sz w:val="32"/>
          <w:szCs w:val="32"/>
          <w:shd w:val="clear" w:fill="FFFFFF"/>
        </w:rPr>
        <w:t>，</w:t>
      </w:r>
      <w:r>
        <w:rPr>
          <w:rFonts w:hint="eastAsia" w:ascii="仿宋_GB2312" w:hAnsi="仿宋_GB2312" w:eastAsia="仿宋_GB2312" w:cs="仿宋_GB2312"/>
          <w:color w:val="auto"/>
          <w:sz w:val="32"/>
          <w:szCs w:val="32"/>
          <w:lang w:val="en-US" w:eastAsia="zh-CN"/>
        </w:rPr>
        <w:t>进一步增强公开实效，提升服务水平；</w:t>
      </w:r>
      <w:r>
        <w:rPr>
          <w:rFonts w:hint="eastAsia" w:ascii="Times New Roman" w:hAnsi="Times New Roman" w:eastAsia="仿宋_GB2312" w:cs="Times New Roman"/>
          <w:sz w:val="32"/>
          <w:szCs w:val="32"/>
          <w:highlight w:val="none"/>
        </w:rPr>
        <w:t>制作完成“年集公交、爱心送考、四好农村路建设、旅游廊道建设”等4期交通领域民生宣传片</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i w:val="0"/>
          <w:iCs w:val="0"/>
          <w:caps w:val="0"/>
          <w:color w:val="000000"/>
          <w:spacing w:val="0"/>
          <w:sz w:val="32"/>
          <w:szCs w:val="32"/>
          <w:shd w:val="clear" w:fill="FFFFFF"/>
        </w:rPr>
        <w:t>通过重点展示农村公路建设成果与民生实事成效，全面彰显了交通运输行业的良好形象与责任担当。</w:t>
      </w:r>
    </w:p>
    <w:p w14:paraId="06D52BD5">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5.监督保障方面。</w:t>
      </w:r>
      <w:r>
        <w:rPr>
          <w:rFonts w:hint="eastAsia" w:ascii="Times New Roman" w:hAnsi="Times New Roman" w:eastAsia="仿宋_GB2312" w:cs="Times New Roman"/>
          <w:color w:val="auto"/>
          <w:kern w:val="2"/>
          <w:sz w:val="32"/>
          <w:szCs w:val="32"/>
          <w:lang w:val="en-US" w:eastAsia="zh-CN" w:bidi="ar-SA"/>
        </w:rPr>
        <w:t>及时对</w:t>
      </w:r>
      <w:r>
        <w:rPr>
          <w:rFonts w:hint="default" w:ascii="Times New Roman" w:hAnsi="Times New Roman" w:eastAsia="仿宋_GB2312" w:cs="Times New Roman"/>
          <w:color w:val="auto"/>
          <w:kern w:val="2"/>
          <w:sz w:val="32"/>
          <w:szCs w:val="32"/>
          <w:lang w:val="en-US" w:eastAsia="zh-CN" w:bidi="ar-SA"/>
        </w:rPr>
        <w:t>政务公开工作领导小组进行动态调整，配齐配强专职工作力量，</w:t>
      </w:r>
      <w:r>
        <w:rPr>
          <w:rFonts w:hint="eastAsia" w:ascii="仿宋_GB2312" w:hAnsi="仿宋_GB2312" w:eastAsia="仿宋_GB2312" w:cs="仿宋_GB2312"/>
          <w:color w:val="auto"/>
          <w:sz w:val="32"/>
          <w:szCs w:val="32"/>
          <w:lang w:val="en-US" w:eastAsia="zh-CN"/>
        </w:rPr>
        <w:t>切实提高信息公开水平</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常态化组织开展政务公开专题培训，</w:t>
      </w:r>
      <w:r>
        <w:rPr>
          <w:rFonts w:hint="eastAsia" w:ascii="仿宋_GB2312" w:hAnsi="仿宋_GB2312" w:eastAsia="仿宋_GB2312" w:cs="仿宋_GB2312"/>
          <w:sz w:val="32"/>
          <w:szCs w:val="32"/>
          <w:lang w:val="en-US" w:eastAsia="zh-CN"/>
        </w:rPr>
        <w:t>组织召开2025年度交通运输行业政务公开工作培训会议，不断提升从事政务公开工作的能力和水平</w:t>
      </w:r>
      <w:r>
        <w:rPr>
          <w:rFonts w:hint="default" w:ascii="Times New Roman" w:hAnsi="Times New Roman" w:eastAsia="仿宋_GB2312" w:cs="Times New Roman"/>
          <w:color w:val="auto"/>
          <w:kern w:val="2"/>
          <w:sz w:val="32"/>
          <w:szCs w:val="32"/>
          <w:lang w:val="en-US" w:eastAsia="zh-CN" w:bidi="ar-SA"/>
        </w:rPr>
        <w:t>。</w:t>
      </w:r>
    </w:p>
    <w:p w14:paraId="701F5169">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lang w:eastAsia="zh-CN"/>
        </w:rPr>
        <w:t>二、主动公开政府信息情况</w:t>
      </w:r>
    </w:p>
    <w:tbl>
      <w:tblPr>
        <w:tblStyle w:val="10"/>
        <w:tblW w:w="8824" w:type="dxa"/>
        <w:tblInd w:w="0" w:type="dxa"/>
        <w:tblLayout w:type="fixed"/>
        <w:tblCellMar>
          <w:top w:w="0" w:type="dxa"/>
          <w:left w:w="108" w:type="dxa"/>
          <w:bottom w:w="0" w:type="dxa"/>
          <w:right w:w="108" w:type="dxa"/>
        </w:tblCellMar>
      </w:tblPr>
      <w:tblGrid>
        <w:gridCol w:w="2206"/>
        <w:gridCol w:w="2206"/>
        <w:gridCol w:w="2206"/>
        <w:gridCol w:w="2206"/>
      </w:tblGrid>
      <w:tr w14:paraId="7189205E">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0DF7D0F3">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7DB7C518">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471BE11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noWrap w:val="0"/>
            <w:vAlign w:val="center"/>
          </w:tcPr>
          <w:p w14:paraId="1EE1948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noWrap w:val="0"/>
            <w:vAlign w:val="center"/>
          </w:tcPr>
          <w:p w14:paraId="67FEA00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noWrap w:val="0"/>
            <w:vAlign w:val="center"/>
          </w:tcPr>
          <w:p w14:paraId="1EDD4CF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4F891937">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5188B2B0">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noWrap w:val="0"/>
            <w:vAlign w:val="center"/>
          </w:tcPr>
          <w:p w14:paraId="068A93DA">
            <w:pPr>
              <w:widowControl/>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01474461">
            <w:pPr>
              <w:widowControl/>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13B4F705">
            <w:pPr>
              <w:widowControl/>
              <w:jc w:val="center"/>
              <w:rPr>
                <w:rFonts w:hint="eastAsia" w:ascii="仿宋_GB2312" w:hAnsi="Calibri" w:eastAsia="仿宋_GB2312" w:cs="Calibri"/>
                <w:color w:val="auto"/>
                <w:kern w:val="0"/>
                <w:szCs w:val="21"/>
                <w:lang w:val="en-US" w:eastAsia="zh-CN"/>
              </w:rPr>
            </w:pPr>
            <w:r>
              <w:rPr>
                <w:rFonts w:hint="eastAsia" w:ascii="仿宋_GB2312" w:hAnsi="Calibri" w:eastAsia="仿宋_GB2312" w:cs="Calibri"/>
                <w:color w:val="auto"/>
                <w:kern w:val="0"/>
                <w:szCs w:val="21"/>
                <w:lang w:val="en-US" w:eastAsia="zh-CN"/>
              </w:rPr>
              <w:t>0</w:t>
            </w:r>
          </w:p>
        </w:tc>
      </w:tr>
      <w:tr w14:paraId="4A07F59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64F453BC">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noWrap w:val="0"/>
            <w:vAlign w:val="center"/>
          </w:tcPr>
          <w:p w14:paraId="20AEB5B1">
            <w:pPr>
              <w:widowControl/>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7A8E2568">
            <w:pPr>
              <w:widowControl/>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055EF5FF">
            <w:pPr>
              <w:widowControl/>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r>
      <w:tr w14:paraId="076A2E41">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4" w:space="0"/>
              <w:right w:val="single" w:color="000000" w:sz="8" w:space="0"/>
            </w:tcBorders>
            <w:shd w:val="clear" w:color="000000" w:fill="C6D9F1"/>
            <w:noWrap w:val="0"/>
            <w:vAlign w:val="center"/>
          </w:tcPr>
          <w:p w14:paraId="4764ABB1">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291DA531">
        <w:tblPrEx>
          <w:tblCellMar>
            <w:top w:w="0" w:type="dxa"/>
            <w:left w:w="108" w:type="dxa"/>
            <w:bottom w:w="0" w:type="dxa"/>
            <w:right w:w="108" w:type="dxa"/>
          </w:tblCellMar>
        </w:tblPrEx>
        <w:trPr>
          <w:trHeight w:val="567" w:hRule="atLeast"/>
        </w:trPr>
        <w:tc>
          <w:tcPr>
            <w:tcW w:w="2206" w:type="dxa"/>
            <w:tcBorders>
              <w:top w:val="single" w:color="auto" w:sz="4" w:space="0"/>
              <w:left w:val="single" w:color="auto" w:sz="4" w:space="0"/>
              <w:bottom w:val="single" w:color="auto" w:sz="4" w:space="0"/>
              <w:right w:val="single" w:color="auto" w:sz="4" w:space="0"/>
            </w:tcBorders>
            <w:noWrap w:val="0"/>
            <w:vAlign w:val="center"/>
          </w:tcPr>
          <w:p w14:paraId="6C79922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4" w:space="0"/>
              <w:left w:val="single" w:color="auto" w:sz="4" w:space="0"/>
              <w:bottom w:val="single" w:color="auto" w:sz="4" w:space="0"/>
              <w:right w:val="single" w:color="auto" w:sz="4" w:space="0"/>
            </w:tcBorders>
            <w:noWrap w:val="0"/>
            <w:vAlign w:val="center"/>
          </w:tcPr>
          <w:p w14:paraId="4D56DD6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145CD03B">
        <w:tblPrEx>
          <w:tblCellMar>
            <w:top w:w="0" w:type="dxa"/>
            <w:left w:w="108" w:type="dxa"/>
            <w:bottom w:w="0" w:type="dxa"/>
            <w:right w:w="108" w:type="dxa"/>
          </w:tblCellMar>
        </w:tblPrEx>
        <w:trPr>
          <w:trHeight w:val="567" w:hRule="atLeast"/>
        </w:trPr>
        <w:tc>
          <w:tcPr>
            <w:tcW w:w="2206" w:type="dxa"/>
            <w:tcBorders>
              <w:top w:val="single" w:color="auto" w:sz="4" w:space="0"/>
              <w:left w:val="single" w:color="auto" w:sz="4" w:space="0"/>
              <w:bottom w:val="single" w:color="auto" w:sz="4" w:space="0"/>
              <w:right w:val="single" w:color="auto" w:sz="4" w:space="0"/>
            </w:tcBorders>
            <w:noWrap w:val="0"/>
            <w:vAlign w:val="center"/>
          </w:tcPr>
          <w:p w14:paraId="5186F2A3">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4" w:space="0"/>
              <w:left w:val="single" w:color="auto" w:sz="4" w:space="0"/>
              <w:bottom w:val="single" w:color="auto" w:sz="4" w:space="0"/>
              <w:right w:val="single" w:color="auto" w:sz="4" w:space="0"/>
            </w:tcBorders>
            <w:noWrap w:val="0"/>
            <w:vAlign w:val="center"/>
          </w:tcPr>
          <w:p w14:paraId="78E83015">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auto"/>
                <w:kern w:val="0"/>
                <w:szCs w:val="21"/>
                <w:lang w:val="en-US" w:eastAsia="zh-CN"/>
              </w:rPr>
              <w:t>0</w:t>
            </w:r>
          </w:p>
        </w:tc>
      </w:tr>
      <w:tr w14:paraId="1AD9A56E">
        <w:tblPrEx>
          <w:tblCellMar>
            <w:top w:w="0" w:type="dxa"/>
            <w:left w:w="108" w:type="dxa"/>
            <w:bottom w:w="0" w:type="dxa"/>
            <w:right w:w="108" w:type="dxa"/>
          </w:tblCellMar>
        </w:tblPrEx>
        <w:trPr>
          <w:trHeight w:val="567" w:hRule="atLeast"/>
        </w:trPr>
        <w:tc>
          <w:tcPr>
            <w:tcW w:w="8824" w:type="dxa"/>
            <w:gridSpan w:val="4"/>
            <w:tcBorders>
              <w:top w:val="single" w:color="auto" w:sz="4" w:space="0"/>
              <w:left w:val="single" w:color="auto" w:sz="4" w:space="0"/>
              <w:bottom w:val="single" w:color="auto" w:sz="4" w:space="0"/>
              <w:right w:val="single" w:color="auto" w:sz="4" w:space="0"/>
            </w:tcBorders>
            <w:shd w:val="clear" w:color="000000" w:fill="C6D9F1"/>
            <w:noWrap w:val="0"/>
            <w:vAlign w:val="center"/>
          </w:tcPr>
          <w:p w14:paraId="4DE6C451">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4590F722">
        <w:tblPrEx>
          <w:tblCellMar>
            <w:top w:w="0" w:type="dxa"/>
            <w:left w:w="108" w:type="dxa"/>
            <w:bottom w:w="0" w:type="dxa"/>
            <w:right w:w="108" w:type="dxa"/>
          </w:tblCellMar>
        </w:tblPrEx>
        <w:trPr>
          <w:trHeight w:val="567" w:hRule="atLeast"/>
        </w:trPr>
        <w:tc>
          <w:tcPr>
            <w:tcW w:w="2206" w:type="dxa"/>
            <w:tcBorders>
              <w:top w:val="single" w:color="auto" w:sz="4" w:space="0"/>
              <w:left w:val="single" w:color="auto" w:sz="4" w:space="0"/>
              <w:bottom w:val="single" w:color="auto" w:sz="4" w:space="0"/>
              <w:right w:val="single" w:color="auto" w:sz="4" w:space="0"/>
            </w:tcBorders>
            <w:noWrap w:val="0"/>
            <w:vAlign w:val="center"/>
          </w:tcPr>
          <w:p w14:paraId="4A70E9C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4" w:space="0"/>
              <w:left w:val="single" w:color="auto" w:sz="4" w:space="0"/>
              <w:bottom w:val="single" w:color="auto" w:sz="4" w:space="0"/>
              <w:right w:val="single" w:color="auto" w:sz="4" w:space="0"/>
            </w:tcBorders>
            <w:noWrap w:val="0"/>
            <w:vAlign w:val="center"/>
          </w:tcPr>
          <w:p w14:paraId="4C30210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31FC0973">
        <w:tblPrEx>
          <w:tblCellMar>
            <w:top w:w="0" w:type="dxa"/>
            <w:left w:w="108" w:type="dxa"/>
            <w:bottom w:w="0" w:type="dxa"/>
            <w:right w:w="108" w:type="dxa"/>
          </w:tblCellMar>
        </w:tblPrEx>
        <w:trPr>
          <w:trHeight w:val="567" w:hRule="atLeast"/>
        </w:trPr>
        <w:tc>
          <w:tcPr>
            <w:tcW w:w="2206" w:type="dxa"/>
            <w:tcBorders>
              <w:top w:val="single" w:color="auto" w:sz="4" w:space="0"/>
              <w:left w:val="single" w:color="auto" w:sz="4" w:space="0"/>
              <w:bottom w:val="single" w:color="auto" w:sz="4" w:space="0"/>
              <w:right w:val="single" w:color="auto" w:sz="4" w:space="0"/>
            </w:tcBorders>
            <w:noWrap w:val="0"/>
            <w:vAlign w:val="center"/>
          </w:tcPr>
          <w:p w14:paraId="2330F17D">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4" w:space="0"/>
              <w:left w:val="single" w:color="auto" w:sz="4" w:space="0"/>
              <w:bottom w:val="single" w:color="auto" w:sz="4" w:space="0"/>
              <w:right w:val="single" w:color="auto" w:sz="4" w:space="0"/>
            </w:tcBorders>
            <w:noWrap w:val="0"/>
            <w:vAlign w:val="center"/>
          </w:tcPr>
          <w:p w14:paraId="7D529DE2">
            <w:pPr>
              <w:widowControl/>
              <w:jc w:val="center"/>
              <w:rPr>
                <w:rFonts w:hint="default" w:ascii="仿宋_GB2312" w:hAnsi="Calibri" w:eastAsia="仿宋_GB2312" w:cs="Calibri"/>
                <w:color w:val="auto"/>
                <w:kern w:val="0"/>
                <w:szCs w:val="21"/>
                <w:lang w:val="en-US" w:eastAsia="zh-CN"/>
              </w:rPr>
            </w:pPr>
            <w:r>
              <w:rPr>
                <w:rFonts w:hint="eastAsia" w:ascii="仿宋_GB2312" w:hAnsi="Calibri" w:eastAsia="仿宋_GB2312" w:cs="Calibri"/>
                <w:color w:val="auto"/>
                <w:kern w:val="0"/>
                <w:szCs w:val="21"/>
                <w:lang w:val="en-US" w:eastAsia="zh-CN"/>
              </w:rPr>
              <w:t>185</w:t>
            </w:r>
          </w:p>
        </w:tc>
      </w:tr>
      <w:tr w14:paraId="7EA3700E">
        <w:tblPrEx>
          <w:tblCellMar>
            <w:top w:w="0" w:type="dxa"/>
            <w:left w:w="108" w:type="dxa"/>
            <w:bottom w:w="0" w:type="dxa"/>
            <w:right w:w="108" w:type="dxa"/>
          </w:tblCellMar>
        </w:tblPrEx>
        <w:trPr>
          <w:trHeight w:val="567" w:hRule="atLeast"/>
        </w:trPr>
        <w:tc>
          <w:tcPr>
            <w:tcW w:w="2206" w:type="dxa"/>
            <w:tcBorders>
              <w:top w:val="single" w:color="auto" w:sz="4" w:space="0"/>
              <w:left w:val="single" w:color="auto" w:sz="4" w:space="0"/>
              <w:bottom w:val="single" w:color="auto" w:sz="4" w:space="0"/>
              <w:right w:val="single" w:color="auto" w:sz="4" w:space="0"/>
            </w:tcBorders>
            <w:noWrap w:val="0"/>
            <w:vAlign w:val="center"/>
          </w:tcPr>
          <w:p w14:paraId="30AD8394">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4" w:space="0"/>
              <w:left w:val="single" w:color="auto" w:sz="4" w:space="0"/>
              <w:bottom w:val="single" w:color="auto" w:sz="4" w:space="0"/>
              <w:right w:val="single" w:color="auto" w:sz="4" w:space="0"/>
            </w:tcBorders>
            <w:noWrap w:val="0"/>
            <w:vAlign w:val="center"/>
          </w:tcPr>
          <w:p w14:paraId="49805A82">
            <w:pPr>
              <w:widowControl/>
              <w:jc w:val="center"/>
              <w:rPr>
                <w:rFonts w:hint="default" w:ascii="仿宋_GB2312" w:hAnsi="Calibri" w:eastAsia="仿宋_GB2312" w:cs="Calibri"/>
                <w:color w:val="auto"/>
                <w:kern w:val="0"/>
                <w:szCs w:val="21"/>
                <w:lang w:val="en-US" w:eastAsia="zh-CN"/>
              </w:rPr>
            </w:pPr>
            <w:r>
              <w:rPr>
                <w:rFonts w:hint="eastAsia" w:ascii="仿宋_GB2312" w:hAnsi="Calibri" w:eastAsia="仿宋_GB2312" w:cs="Calibri"/>
                <w:color w:val="auto"/>
                <w:kern w:val="0"/>
                <w:szCs w:val="21"/>
                <w:lang w:val="en-US" w:eastAsia="zh-CN"/>
              </w:rPr>
              <w:t>14</w:t>
            </w:r>
          </w:p>
        </w:tc>
      </w:tr>
      <w:tr w14:paraId="03918482">
        <w:tblPrEx>
          <w:tblCellMar>
            <w:top w:w="0" w:type="dxa"/>
            <w:left w:w="108" w:type="dxa"/>
            <w:bottom w:w="0" w:type="dxa"/>
            <w:right w:w="108" w:type="dxa"/>
          </w:tblCellMar>
        </w:tblPrEx>
        <w:trPr>
          <w:trHeight w:val="567" w:hRule="atLeast"/>
        </w:trPr>
        <w:tc>
          <w:tcPr>
            <w:tcW w:w="8824" w:type="dxa"/>
            <w:gridSpan w:val="4"/>
            <w:tcBorders>
              <w:top w:val="single" w:color="auto" w:sz="4" w:space="0"/>
              <w:left w:val="single" w:color="auto" w:sz="8" w:space="0"/>
              <w:bottom w:val="single" w:color="auto" w:sz="8" w:space="0"/>
              <w:right w:val="single" w:color="000000" w:sz="8" w:space="0"/>
            </w:tcBorders>
            <w:shd w:val="clear" w:color="000000" w:fill="C6D9F1"/>
            <w:noWrap w:val="0"/>
            <w:vAlign w:val="center"/>
          </w:tcPr>
          <w:p w14:paraId="6C2E7D4C">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3DF10474">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5AAC974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2E3CC97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48F2BCBA">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3BF338B6">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noWrap w:val="0"/>
            <w:vAlign w:val="center"/>
          </w:tcPr>
          <w:p w14:paraId="1879E5F9">
            <w:pPr>
              <w:widowControl/>
              <w:jc w:val="center"/>
              <w:rPr>
                <w:rFonts w:hint="eastAsia" w:ascii="仿宋_GB2312" w:hAnsi="Calibri" w:eastAsia="仿宋_GB2312" w:cs="Calibri"/>
                <w:color w:val="000000"/>
                <w:kern w:val="0"/>
                <w:szCs w:val="21"/>
                <w:lang w:eastAsia="zh-CN"/>
              </w:rPr>
            </w:pPr>
            <w:r>
              <w:rPr>
                <w:rFonts w:hint="eastAsia" w:ascii="仿宋_GB2312" w:hAnsi="Calibri" w:eastAsia="仿宋_GB2312" w:cs="Calibri"/>
                <w:color w:val="auto"/>
                <w:kern w:val="0"/>
                <w:szCs w:val="21"/>
                <w:lang w:val="en-US" w:eastAsia="zh-CN"/>
              </w:rPr>
              <w:t>0</w:t>
            </w:r>
          </w:p>
        </w:tc>
      </w:tr>
    </w:tbl>
    <w:p w14:paraId="7E26A071">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lang w:eastAsia="zh-CN"/>
        </w:rPr>
        <w:t>三、收到和处理政府信息公开申请情况</w:t>
      </w:r>
    </w:p>
    <w:tbl>
      <w:tblPr>
        <w:tblStyle w:val="10"/>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747"/>
        <w:gridCol w:w="5"/>
        <w:gridCol w:w="535"/>
        <w:gridCol w:w="5"/>
        <w:gridCol w:w="535"/>
        <w:gridCol w:w="720"/>
        <w:gridCol w:w="675"/>
        <w:gridCol w:w="525"/>
        <w:gridCol w:w="1"/>
        <w:gridCol w:w="700"/>
      </w:tblGrid>
      <w:tr w14:paraId="4D73CD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14:paraId="78B5124F">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71F20C19">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448" w:type="dxa"/>
            <w:gridSpan w:val="10"/>
            <w:noWrap w:val="0"/>
            <w:tcMar>
              <w:left w:w="108" w:type="dxa"/>
              <w:right w:w="108" w:type="dxa"/>
            </w:tcMar>
            <w:vAlign w:val="center"/>
          </w:tcPr>
          <w:p w14:paraId="4B9EE24F">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14:paraId="763240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14:paraId="452ADEB0">
            <w:pPr>
              <w:jc w:val="center"/>
              <w:rPr>
                <w:rFonts w:ascii="仿宋_GB2312" w:hAnsi="Times New Roman" w:eastAsia="仿宋_GB2312"/>
                <w:szCs w:val="21"/>
              </w:rPr>
            </w:pPr>
          </w:p>
        </w:tc>
        <w:tc>
          <w:tcPr>
            <w:tcW w:w="747" w:type="dxa"/>
            <w:vMerge w:val="restart"/>
            <w:noWrap w:val="0"/>
            <w:tcMar>
              <w:left w:w="108" w:type="dxa"/>
              <w:right w:w="108" w:type="dxa"/>
            </w:tcMar>
            <w:vAlign w:val="center"/>
          </w:tcPr>
          <w:p w14:paraId="426AEE98">
            <w:pPr>
              <w:widowControl/>
              <w:jc w:val="center"/>
              <w:rPr>
                <w:rFonts w:ascii="黑体" w:hAnsi="黑体" w:eastAsia="黑体"/>
                <w:szCs w:val="21"/>
              </w:rPr>
            </w:pPr>
            <w:r>
              <w:rPr>
                <w:rFonts w:hint="eastAsia" w:ascii="黑体" w:hAnsi="黑体" w:eastAsia="黑体"/>
                <w:kern w:val="0"/>
                <w:szCs w:val="21"/>
              </w:rPr>
              <w:t>自然人</w:t>
            </w:r>
          </w:p>
        </w:tc>
        <w:tc>
          <w:tcPr>
            <w:tcW w:w="3000" w:type="dxa"/>
            <w:gridSpan w:val="7"/>
            <w:noWrap w:val="0"/>
            <w:tcMar>
              <w:left w:w="108" w:type="dxa"/>
              <w:right w:w="108" w:type="dxa"/>
            </w:tcMar>
            <w:vAlign w:val="center"/>
          </w:tcPr>
          <w:p w14:paraId="4EE0365E">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701" w:type="dxa"/>
            <w:gridSpan w:val="2"/>
            <w:vMerge w:val="restart"/>
            <w:noWrap w:val="0"/>
            <w:tcMar>
              <w:left w:w="108" w:type="dxa"/>
              <w:right w:w="108" w:type="dxa"/>
            </w:tcMar>
            <w:vAlign w:val="center"/>
          </w:tcPr>
          <w:p w14:paraId="7406A2E5">
            <w:pPr>
              <w:widowControl/>
              <w:jc w:val="center"/>
              <w:rPr>
                <w:rFonts w:ascii="黑体" w:hAnsi="黑体" w:eastAsia="黑体"/>
                <w:szCs w:val="21"/>
              </w:rPr>
            </w:pPr>
            <w:r>
              <w:rPr>
                <w:rFonts w:hint="eastAsia" w:ascii="黑体" w:hAnsi="黑体" w:eastAsia="黑体"/>
                <w:kern w:val="0"/>
                <w:szCs w:val="21"/>
              </w:rPr>
              <w:t>总计</w:t>
            </w:r>
          </w:p>
        </w:tc>
      </w:tr>
      <w:tr w14:paraId="4C2053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14:paraId="339CE8E5">
            <w:pPr>
              <w:jc w:val="center"/>
              <w:rPr>
                <w:rFonts w:ascii="仿宋_GB2312" w:hAnsi="Times New Roman" w:eastAsia="仿宋_GB2312"/>
                <w:szCs w:val="21"/>
              </w:rPr>
            </w:pPr>
          </w:p>
        </w:tc>
        <w:tc>
          <w:tcPr>
            <w:tcW w:w="747" w:type="dxa"/>
            <w:vMerge w:val="continue"/>
            <w:noWrap w:val="0"/>
            <w:tcMar>
              <w:left w:w="108" w:type="dxa"/>
              <w:right w:w="108" w:type="dxa"/>
            </w:tcMar>
            <w:vAlign w:val="center"/>
          </w:tcPr>
          <w:p w14:paraId="26239A7C">
            <w:pPr>
              <w:jc w:val="center"/>
              <w:rPr>
                <w:rFonts w:ascii="黑体" w:hAnsi="黑体" w:eastAsia="黑体"/>
                <w:szCs w:val="21"/>
              </w:rPr>
            </w:pPr>
          </w:p>
        </w:tc>
        <w:tc>
          <w:tcPr>
            <w:tcW w:w="540" w:type="dxa"/>
            <w:gridSpan w:val="2"/>
            <w:noWrap w:val="0"/>
            <w:tcMar>
              <w:left w:w="108" w:type="dxa"/>
              <w:right w:w="108" w:type="dxa"/>
            </w:tcMar>
            <w:vAlign w:val="center"/>
          </w:tcPr>
          <w:p w14:paraId="39E026C7">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40" w:type="dxa"/>
            <w:gridSpan w:val="2"/>
            <w:noWrap w:val="0"/>
            <w:tcMar>
              <w:left w:w="108" w:type="dxa"/>
              <w:right w:w="108" w:type="dxa"/>
            </w:tcMar>
            <w:vAlign w:val="center"/>
          </w:tcPr>
          <w:p w14:paraId="0DB6A0F5">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20" w:type="dxa"/>
            <w:noWrap w:val="0"/>
            <w:tcMar>
              <w:left w:w="108" w:type="dxa"/>
              <w:right w:w="108" w:type="dxa"/>
            </w:tcMar>
            <w:vAlign w:val="center"/>
          </w:tcPr>
          <w:p w14:paraId="6DDDA4AC">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675" w:type="dxa"/>
            <w:noWrap w:val="0"/>
            <w:tcMar>
              <w:left w:w="108" w:type="dxa"/>
              <w:right w:w="108" w:type="dxa"/>
            </w:tcMar>
            <w:vAlign w:val="center"/>
          </w:tcPr>
          <w:p w14:paraId="79AAD535">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25" w:type="dxa"/>
            <w:noWrap w:val="0"/>
            <w:tcMar>
              <w:left w:w="108" w:type="dxa"/>
              <w:right w:w="108" w:type="dxa"/>
            </w:tcMar>
            <w:vAlign w:val="center"/>
          </w:tcPr>
          <w:p w14:paraId="6F98D390">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701" w:type="dxa"/>
            <w:gridSpan w:val="2"/>
            <w:vMerge w:val="continue"/>
            <w:noWrap w:val="0"/>
            <w:tcMar>
              <w:left w:w="108" w:type="dxa"/>
              <w:right w:w="108" w:type="dxa"/>
            </w:tcMar>
            <w:vAlign w:val="center"/>
          </w:tcPr>
          <w:p w14:paraId="74E4F8E1">
            <w:pPr>
              <w:jc w:val="center"/>
              <w:rPr>
                <w:rFonts w:ascii="仿宋_GB2312" w:hAnsi="Times New Roman" w:eastAsia="仿宋_GB2312"/>
                <w:szCs w:val="21"/>
              </w:rPr>
            </w:pPr>
          </w:p>
        </w:tc>
      </w:tr>
      <w:tr w14:paraId="0005EB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419C441D">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747" w:type="dxa"/>
            <w:noWrap w:val="0"/>
            <w:tcMar>
              <w:left w:w="108" w:type="dxa"/>
              <w:right w:w="108" w:type="dxa"/>
            </w:tcMar>
            <w:vAlign w:val="center"/>
          </w:tcPr>
          <w:p w14:paraId="4BC89FB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1</w:t>
            </w:r>
          </w:p>
        </w:tc>
        <w:tc>
          <w:tcPr>
            <w:tcW w:w="540" w:type="dxa"/>
            <w:gridSpan w:val="2"/>
            <w:noWrap w:val="0"/>
            <w:tcMar>
              <w:left w:w="108" w:type="dxa"/>
              <w:right w:w="108" w:type="dxa"/>
            </w:tcMar>
            <w:vAlign w:val="center"/>
          </w:tcPr>
          <w:p w14:paraId="3204C5A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1E05318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6CF150D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473F2F5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5E6432F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50BDD70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1</w:t>
            </w:r>
          </w:p>
        </w:tc>
      </w:tr>
      <w:tr w14:paraId="40E286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174EFB91">
            <w:pPr>
              <w:widowControl/>
              <w:rPr>
                <w:rFonts w:ascii="黑体" w:hAnsi="黑体" w:eastAsia="黑体"/>
                <w:szCs w:val="21"/>
              </w:rPr>
            </w:pPr>
            <w:r>
              <w:rPr>
                <w:rFonts w:hint="eastAsia" w:ascii="黑体" w:hAnsi="黑体" w:eastAsia="黑体"/>
                <w:kern w:val="0"/>
                <w:szCs w:val="21"/>
              </w:rPr>
              <w:t>二、上年结转政府信息公开申请数量</w:t>
            </w:r>
          </w:p>
        </w:tc>
        <w:tc>
          <w:tcPr>
            <w:tcW w:w="747" w:type="dxa"/>
            <w:noWrap w:val="0"/>
            <w:tcMar>
              <w:left w:w="108" w:type="dxa"/>
              <w:right w:w="108" w:type="dxa"/>
            </w:tcMar>
            <w:vAlign w:val="center"/>
          </w:tcPr>
          <w:p w14:paraId="3F5411E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2363564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2533C54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19768E7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1BE1C47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3CFA500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67F7592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r>
      <w:tr w14:paraId="2EC03A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14:paraId="742B1DBD">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noWrap w:val="0"/>
            <w:tcMar>
              <w:left w:w="108" w:type="dxa"/>
              <w:right w:w="108" w:type="dxa"/>
            </w:tcMar>
            <w:vAlign w:val="center"/>
          </w:tcPr>
          <w:p w14:paraId="25114A39">
            <w:pPr>
              <w:widowControl/>
              <w:rPr>
                <w:rFonts w:ascii="黑体" w:hAnsi="黑体" w:eastAsia="黑体"/>
                <w:szCs w:val="21"/>
              </w:rPr>
            </w:pPr>
            <w:r>
              <w:rPr>
                <w:rFonts w:hint="eastAsia" w:ascii="黑体" w:hAnsi="黑体" w:eastAsia="黑体"/>
                <w:kern w:val="0"/>
                <w:szCs w:val="21"/>
              </w:rPr>
              <w:t>（一）予以公开</w:t>
            </w:r>
          </w:p>
        </w:tc>
        <w:tc>
          <w:tcPr>
            <w:tcW w:w="752" w:type="dxa"/>
            <w:gridSpan w:val="2"/>
            <w:noWrap w:val="0"/>
            <w:tcMar>
              <w:left w:w="108" w:type="dxa"/>
              <w:right w:w="108" w:type="dxa"/>
            </w:tcMar>
            <w:vAlign w:val="center"/>
          </w:tcPr>
          <w:p w14:paraId="69020EF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1</w:t>
            </w:r>
          </w:p>
        </w:tc>
        <w:tc>
          <w:tcPr>
            <w:tcW w:w="540" w:type="dxa"/>
            <w:gridSpan w:val="2"/>
            <w:noWrap w:val="0"/>
            <w:tcMar>
              <w:left w:w="108" w:type="dxa"/>
              <w:right w:w="108" w:type="dxa"/>
            </w:tcMar>
            <w:vAlign w:val="center"/>
          </w:tcPr>
          <w:p w14:paraId="4222CBB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35" w:type="dxa"/>
            <w:noWrap w:val="0"/>
            <w:tcMar>
              <w:left w:w="108" w:type="dxa"/>
              <w:right w:w="108" w:type="dxa"/>
            </w:tcMar>
            <w:vAlign w:val="center"/>
          </w:tcPr>
          <w:p w14:paraId="318961A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76E4604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2B5914D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26" w:type="dxa"/>
            <w:gridSpan w:val="2"/>
            <w:noWrap w:val="0"/>
            <w:tcMar>
              <w:left w:w="108" w:type="dxa"/>
              <w:right w:w="108" w:type="dxa"/>
            </w:tcMar>
            <w:vAlign w:val="center"/>
          </w:tcPr>
          <w:p w14:paraId="6CDB937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0" w:type="dxa"/>
            <w:noWrap w:val="0"/>
            <w:tcMar>
              <w:left w:w="108" w:type="dxa"/>
              <w:right w:w="108" w:type="dxa"/>
            </w:tcMar>
            <w:vAlign w:val="center"/>
          </w:tcPr>
          <w:p w14:paraId="1225AF2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1</w:t>
            </w:r>
          </w:p>
        </w:tc>
      </w:tr>
      <w:tr w14:paraId="0E048D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0BB8474D">
            <w:pPr>
              <w:rPr>
                <w:rFonts w:ascii="黑体" w:hAnsi="黑体" w:eastAsia="黑体"/>
                <w:szCs w:val="21"/>
              </w:rPr>
            </w:pPr>
          </w:p>
        </w:tc>
        <w:tc>
          <w:tcPr>
            <w:tcW w:w="4677" w:type="dxa"/>
            <w:gridSpan w:val="2"/>
            <w:noWrap w:val="0"/>
            <w:tcMar>
              <w:left w:w="108" w:type="dxa"/>
              <w:right w:w="108" w:type="dxa"/>
            </w:tcMar>
            <w:vAlign w:val="center"/>
          </w:tcPr>
          <w:p w14:paraId="2D386501">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752" w:type="dxa"/>
            <w:gridSpan w:val="2"/>
            <w:noWrap w:val="0"/>
            <w:tcMar>
              <w:left w:w="108" w:type="dxa"/>
              <w:right w:w="108" w:type="dxa"/>
            </w:tcMar>
            <w:vAlign w:val="center"/>
          </w:tcPr>
          <w:p w14:paraId="38B484E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1760706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35" w:type="dxa"/>
            <w:noWrap w:val="0"/>
            <w:tcMar>
              <w:left w:w="108" w:type="dxa"/>
              <w:right w:w="108" w:type="dxa"/>
            </w:tcMar>
            <w:vAlign w:val="center"/>
          </w:tcPr>
          <w:p w14:paraId="351E6F8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465204A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77EAFC8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26" w:type="dxa"/>
            <w:gridSpan w:val="2"/>
            <w:noWrap w:val="0"/>
            <w:tcMar>
              <w:left w:w="108" w:type="dxa"/>
              <w:right w:w="108" w:type="dxa"/>
            </w:tcMar>
            <w:vAlign w:val="center"/>
          </w:tcPr>
          <w:p w14:paraId="445859C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0" w:type="dxa"/>
            <w:noWrap w:val="0"/>
            <w:tcMar>
              <w:left w:w="108" w:type="dxa"/>
              <w:right w:w="108" w:type="dxa"/>
            </w:tcMar>
            <w:vAlign w:val="center"/>
          </w:tcPr>
          <w:p w14:paraId="5F91123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r>
      <w:tr w14:paraId="6DA904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3C33F7F">
            <w:pPr>
              <w:rPr>
                <w:rFonts w:ascii="黑体" w:hAnsi="黑体" w:eastAsia="黑体"/>
                <w:szCs w:val="21"/>
              </w:rPr>
            </w:pPr>
          </w:p>
        </w:tc>
        <w:tc>
          <w:tcPr>
            <w:tcW w:w="1701" w:type="dxa"/>
            <w:vMerge w:val="restart"/>
            <w:noWrap w:val="0"/>
            <w:tcMar>
              <w:left w:w="108" w:type="dxa"/>
              <w:right w:w="108" w:type="dxa"/>
            </w:tcMar>
            <w:vAlign w:val="center"/>
          </w:tcPr>
          <w:p w14:paraId="0A775EE4">
            <w:pPr>
              <w:widowControl/>
              <w:spacing w:line="200" w:lineRule="exact"/>
              <w:ind w:left="-107" w:leftChars="-51"/>
              <w:rPr>
                <w:rFonts w:ascii="黑体" w:hAnsi="黑体" w:eastAsia="黑体"/>
                <w:szCs w:val="21"/>
              </w:rPr>
            </w:pPr>
            <w:r>
              <w:rPr>
                <w:rFonts w:hint="eastAsia" w:ascii="黑体" w:hAnsi="黑体" w:eastAsia="黑体"/>
                <w:kern w:val="0"/>
                <w:szCs w:val="21"/>
              </w:rPr>
              <w:t>（三）不予公开</w:t>
            </w:r>
          </w:p>
        </w:tc>
        <w:tc>
          <w:tcPr>
            <w:tcW w:w="2976" w:type="dxa"/>
            <w:noWrap w:val="0"/>
            <w:tcMar>
              <w:left w:w="108" w:type="dxa"/>
              <w:right w:w="108" w:type="dxa"/>
            </w:tcMar>
            <w:vAlign w:val="center"/>
          </w:tcPr>
          <w:p w14:paraId="158453FA">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747" w:type="dxa"/>
            <w:noWrap w:val="0"/>
            <w:tcMar>
              <w:left w:w="108" w:type="dxa"/>
              <w:right w:w="108" w:type="dxa"/>
            </w:tcMar>
            <w:vAlign w:val="center"/>
          </w:tcPr>
          <w:p w14:paraId="7382EF5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6524190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38F6E69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6F84E11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2354696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42DB975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7A273BE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28A7D8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8923E0B">
            <w:pPr>
              <w:rPr>
                <w:rFonts w:ascii="黑体" w:hAnsi="黑体" w:eastAsia="黑体"/>
                <w:szCs w:val="21"/>
              </w:rPr>
            </w:pPr>
          </w:p>
        </w:tc>
        <w:tc>
          <w:tcPr>
            <w:tcW w:w="1701" w:type="dxa"/>
            <w:vMerge w:val="continue"/>
            <w:noWrap w:val="0"/>
            <w:tcMar>
              <w:left w:w="108" w:type="dxa"/>
              <w:right w:w="108" w:type="dxa"/>
            </w:tcMar>
            <w:vAlign w:val="center"/>
          </w:tcPr>
          <w:p w14:paraId="0EE9FE48">
            <w:pPr>
              <w:spacing w:line="200" w:lineRule="exact"/>
              <w:rPr>
                <w:rFonts w:ascii="黑体" w:hAnsi="黑体" w:eastAsia="黑体"/>
                <w:szCs w:val="21"/>
              </w:rPr>
            </w:pPr>
          </w:p>
        </w:tc>
        <w:tc>
          <w:tcPr>
            <w:tcW w:w="2976" w:type="dxa"/>
            <w:noWrap w:val="0"/>
            <w:tcMar>
              <w:left w:w="108" w:type="dxa"/>
              <w:right w:w="108" w:type="dxa"/>
            </w:tcMar>
            <w:vAlign w:val="center"/>
          </w:tcPr>
          <w:p w14:paraId="7B7E47D1">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747" w:type="dxa"/>
            <w:noWrap w:val="0"/>
            <w:tcMar>
              <w:left w:w="108" w:type="dxa"/>
              <w:right w:w="108" w:type="dxa"/>
            </w:tcMar>
            <w:vAlign w:val="center"/>
          </w:tcPr>
          <w:p w14:paraId="17A9AF3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054BFE2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1822D74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1C4B4DC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147B274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01363CF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6FBE06E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1DBC49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868CE4A">
            <w:pPr>
              <w:rPr>
                <w:rFonts w:ascii="黑体" w:hAnsi="黑体" w:eastAsia="黑体"/>
                <w:szCs w:val="21"/>
              </w:rPr>
            </w:pPr>
          </w:p>
        </w:tc>
        <w:tc>
          <w:tcPr>
            <w:tcW w:w="1701" w:type="dxa"/>
            <w:vMerge w:val="continue"/>
            <w:noWrap w:val="0"/>
            <w:tcMar>
              <w:left w:w="108" w:type="dxa"/>
              <w:right w:w="108" w:type="dxa"/>
            </w:tcMar>
            <w:vAlign w:val="center"/>
          </w:tcPr>
          <w:p w14:paraId="5B93A246">
            <w:pPr>
              <w:spacing w:line="200" w:lineRule="exact"/>
              <w:rPr>
                <w:rFonts w:ascii="黑体" w:hAnsi="黑体" w:eastAsia="黑体"/>
                <w:szCs w:val="21"/>
              </w:rPr>
            </w:pPr>
          </w:p>
        </w:tc>
        <w:tc>
          <w:tcPr>
            <w:tcW w:w="2976" w:type="dxa"/>
            <w:noWrap w:val="0"/>
            <w:tcMar>
              <w:left w:w="108" w:type="dxa"/>
              <w:right w:w="108" w:type="dxa"/>
            </w:tcMar>
            <w:vAlign w:val="center"/>
          </w:tcPr>
          <w:p w14:paraId="51585068">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747" w:type="dxa"/>
            <w:noWrap w:val="0"/>
            <w:tcMar>
              <w:left w:w="108" w:type="dxa"/>
              <w:right w:w="108" w:type="dxa"/>
            </w:tcMar>
            <w:vAlign w:val="center"/>
          </w:tcPr>
          <w:p w14:paraId="575BA87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3C248AF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7AD5846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075D7C7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4D90D07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4186DE2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3B0D243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55C642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49886D3">
            <w:pPr>
              <w:rPr>
                <w:rFonts w:ascii="黑体" w:hAnsi="黑体" w:eastAsia="黑体"/>
                <w:szCs w:val="21"/>
              </w:rPr>
            </w:pPr>
          </w:p>
        </w:tc>
        <w:tc>
          <w:tcPr>
            <w:tcW w:w="1701" w:type="dxa"/>
            <w:vMerge w:val="continue"/>
            <w:noWrap w:val="0"/>
            <w:tcMar>
              <w:left w:w="108" w:type="dxa"/>
              <w:right w:w="108" w:type="dxa"/>
            </w:tcMar>
            <w:vAlign w:val="center"/>
          </w:tcPr>
          <w:p w14:paraId="39FBEE30">
            <w:pPr>
              <w:spacing w:line="200" w:lineRule="exact"/>
              <w:rPr>
                <w:rFonts w:ascii="黑体" w:hAnsi="黑体" w:eastAsia="黑体"/>
                <w:szCs w:val="21"/>
              </w:rPr>
            </w:pPr>
          </w:p>
        </w:tc>
        <w:tc>
          <w:tcPr>
            <w:tcW w:w="2976" w:type="dxa"/>
            <w:noWrap w:val="0"/>
            <w:tcMar>
              <w:left w:w="108" w:type="dxa"/>
              <w:right w:w="108" w:type="dxa"/>
            </w:tcMar>
            <w:vAlign w:val="center"/>
          </w:tcPr>
          <w:p w14:paraId="0B79955F">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747" w:type="dxa"/>
            <w:noWrap w:val="0"/>
            <w:tcMar>
              <w:left w:w="108" w:type="dxa"/>
              <w:right w:w="108" w:type="dxa"/>
            </w:tcMar>
            <w:vAlign w:val="center"/>
          </w:tcPr>
          <w:p w14:paraId="12C245C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135E0CD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4FCF19E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65E8632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6973F82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332BAF8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24F813B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4C6A4D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E5A6ED5">
            <w:pPr>
              <w:rPr>
                <w:rFonts w:ascii="黑体" w:hAnsi="黑体" w:eastAsia="黑体"/>
                <w:szCs w:val="21"/>
              </w:rPr>
            </w:pPr>
          </w:p>
        </w:tc>
        <w:tc>
          <w:tcPr>
            <w:tcW w:w="1701" w:type="dxa"/>
            <w:vMerge w:val="continue"/>
            <w:noWrap w:val="0"/>
            <w:tcMar>
              <w:left w:w="108" w:type="dxa"/>
              <w:right w:w="108" w:type="dxa"/>
            </w:tcMar>
            <w:vAlign w:val="center"/>
          </w:tcPr>
          <w:p w14:paraId="37E4722F">
            <w:pPr>
              <w:spacing w:line="200" w:lineRule="exact"/>
              <w:rPr>
                <w:rFonts w:ascii="黑体" w:hAnsi="黑体" w:eastAsia="黑体"/>
                <w:szCs w:val="21"/>
              </w:rPr>
            </w:pPr>
          </w:p>
        </w:tc>
        <w:tc>
          <w:tcPr>
            <w:tcW w:w="2976" w:type="dxa"/>
            <w:noWrap w:val="0"/>
            <w:tcMar>
              <w:left w:w="108" w:type="dxa"/>
              <w:right w:w="108" w:type="dxa"/>
            </w:tcMar>
            <w:vAlign w:val="center"/>
          </w:tcPr>
          <w:p w14:paraId="1A0F9D50">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747" w:type="dxa"/>
            <w:noWrap w:val="0"/>
            <w:tcMar>
              <w:left w:w="108" w:type="dxa"/>
              <w:right w:w="108" w:type="dxa"/>
            </w:tcMar>
            <w:vAlign w:val="center"/>
          </w:tcPr>
          <w:p w14:paraId="77886D6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39FD48F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64DFC85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499B6FF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155774F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1922C9F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4B62260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489EE1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81FFA66">
            <w:pPr>
              <w:rPr>
                <w:rFonts w:ascii="黑体" w:hAnsi="黑体" w:eastAsia="黑体"/>
                <w:szCs w:val="21"/>
              </w:rPr>
            </w:pPr>
          </w:p>
        </w:tc>
        <w:tc>
          <w:tcPr>
            <w:tcW w:w="1701" w:type="dxa"/>
            <w:vMerge w:val="continue"/>
            <w:noWrap w:val="0"/>
            <w:tcMar>
              <w:left w:w="108" w:type="dxa"/>
              <w:right w:w="108" w:type="dxa"/>
            </w:tcMar>
            <w:vAlign w:val="center"/>
          </w:tcPr>
          <w:p w14:paraId="3BFAAEE5">
            <w:pPr>
              <w:spacing w:line="200" w:lineRule="exact"/>
              <w:rPr>
                <w:rFonts w:ascii="黑体" w:hAnsi="黑体" w:eastAsia="黑体"/>
                <w:szCs w:val="21"/>
              </w:rPr>
            </w:pPr>
          </w:p>
        </w:tc>
        <w:tc>
          <w:tcPr>
            <w:tcW w:w="2976" w:type="dxa"/>
            <w:noWrap w:val="0"/>
            <w:tcMar>
              <w:left w:w="108" w:type="dxa"/>
              <w:right w:w="108" w:type="dxa"/>
            </w:tcMar>
            <w:vAlign w:val="center"/>
          </w:tcPr>
          <w:p w14:paraId="486E2BD7">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747" w:type="dxa"/>
            <w:noWrap w:val="0"/>
            <w:tcMar>
              <w:left w:w="108" w:type="dxa"/>
              <w:right w:w="108" w:type="dxa"/>
            </w:tcMar>
            <w:vAlign w:val="center"/>
          </w:tcPr>
          <w:p w14:paraId="36AB910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3F33348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52C2F7B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3C2965A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09C0641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7E80033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2608F17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471403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177144D3">
            <w:pPr>
              <w:rPr>
                <w:rFonts w:ascii="黑体" w:hAnsi="黑体" w:eastAsia="黑体"/>
                <w:szCs w:val="21"/>
              </w:rPr>
            </w:pPr>
          </w:p>
        </w:tc>
        <w:tc>
          <w:tcPr>
            <w:tcW w:w="1701" w:type="dxa"/>
            <w:vMerge w:val="continue"/>
            <w:noWrap w:val="0"/>
            <w:tcMar>
              <w:left w:w="108" w:type="dxa"/>
              <w:right w:w="108" w:type="dxa"/>
            </w:tcMar>
            <w:vAlign w:val="center"/>
          </w:tcPr>
          <w:p w14:paraId="56641CD0">
            <w:pPr>
              <w:spacing w:line="200" w:lineRule="exact"/>
              <w:rPr>
                <w:rFonts w:ascii="黑体" w:hAnsi="黑体" w:eastAsia="黑体"/>
                <w:szCs w:val="21"/>
              </w:rPr>
            </w:pPr>
          </w:p>
        </w:tc>
        <w:tc>
          <w:tcPr>
            <w:tcW w:w="2976" w:type="dxa"/>
            <w:noWrap w:val="0"/>
            <w:tcMar>
              <w:left w:w="108" w:type="dxa"/>
              <w:right w:w="108" w:type="dxa"/>
            </w:tcMar>
            <w:vAlign w:val="center"/>
          </w:tcPr>
          <w:p w14:paraId="4444240F">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747" w:type="dxa"/>
            <w:noWrap w:val="0"/>
            <w:tcMar>
              <w:left w:w="108" w:type="dxa"/>
              <w:right w:w="108" w:type="dxa"/>
            </w:tcMar>
            <w:vAlign w:val="center"/>
          </w:tcPr>
          <w:p w14:paraId="70C7481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44FCBA9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395BD4F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780674A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4BD83AB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790580F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78E9B76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278059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B343107">
            <w:pPr>
              <w:rPr>
                <w:rFonts w:ascii="黑体" w:hAnsi="黑体" w:eastAsia="黑体"/>
                <w:szCs w:val="21"/>
              </w:rPr>
            </w:pPr>
          </w:p>
        </w:tc>
        <w:tc>
          <w:tcPr>
            <w:tcW w:w="1701" w:type="dxa"/>
            <w:vMerge w:val="continue"/>
            <w:noWrap w:val="0"/>
            <w:tcMar>
              <w:left w:w="108" w:type="dxa"/>
              <w:right w:w="108" w:type="dxa"/>
            </w:tcMar>
            <w:vAlign w:val="center"/>
          </w:tcPr>
          <w:p w14:paraId="642A0C01">
            <w:pPr>
              <w:spacing w:line="200" w:lineRule="exact"/>
              <w:rPr>
                <w:rFonts w:ascii="黑体" w:hAnsi="黑体" w:eastAsia="黑体"/>
                <w:szCs w:val="21"/>
              </w:rPr>
            </w:pPr>
          </w:p>
        </w:tc>
        <w:tc>
          <w:tcPr>
            <w:tcW w:w="2976" w:type="dxa"/>
            <w:noWrap w:val="0"/>
            <w:tcMar>
              <w:left w:w="108" w:type="dxa"/>
              <w:right w:w="108" w:type="dxa"/>
            </w:tcMar>
            <w:vAlign w:val="center"/>
          </w:tcPr>
          <w:p w14:paraId="221CA60A">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747" w:type="dxa"/>
            <w:noWrap w:val="0"/>
            <w:tcMar>
              <w:left w:w="108" w:type="dxa"/>
              <w:right w:w="108" w:type="dxa"/>
            </w:tcMar>
            <w:vAlign w:val="center"/>
          </w:tcPr>
          <w:p w14:paraId="6E0EFAB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011D611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0DD55F7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1568F97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05C542B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15729EC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44E60AE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7F5209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1910DBC">
            <w:pPr>
              <w:rPr>
                <w:rFonts w:ascii="黑体" w:hAnsi="黑体" w:eastAsia="黑体"/>
                <w:szCs w:val="21"/>
              </w:rPr>
            </w:pPr>
          </w:p>
        </w:tc>
        <w:tc>
          <w:tcPr>
            <w:tcW w:w="1701" w:type="dxa"/>
            <w:vMerge w:val="restart"/>
            <w:noWrap w:val="0"/>
            <w:tcMar>
              <w:left w:w="108" w:type="dxa"/>
              <w:right w:w="108" w:type="dxa"/>
            </w:tcMar>
            <w:vAlign w:val="center"/>
          </w:tcPr>
          <w:p w14:paraId="4272D764">
            <w:pPr>
              <w:widowControl/>
              <w:spacing w:line="200" w:lineRule="exact"/>
              <w:ind w:left="-107" w:leftChars="-51"/>
              <w:rPr>
                <w:rFonts w:ascii="黑体" w:hAnsi="黑体" w:eastAsia="黑体"/>
                <w:szCs w:val="21"/>
              </w:rPr>
            </w:pPr>
            <w:r>
              <w:rPr>
                <w:rFonts w:hint="eastAsia" w:ascii="黑体" w:hAnsi="黑体" w:eastAsia="黑体"/>
                <w:kern w:val="0"/>
                <w:szCs w:val="21"/>
              </w:rPr>
              <w:t>（四）无法提供</w:t>
            </w:r>
          </w:p>
        </w:tc>
        <w:tc>
          <w:tcPr>
            <w:tcW w:w="2976" w:type="dxa"/>
            <w:noWrap w:val="0"/>
            <w:tcMar>
              <w:left w:w="108" w:type="dxa"/>
              <w:right w:w="108" w:type="dxa"/>
            </w:tcMar>
            <w:vAlign w:val="center"/>
          </w:tcPr>
          <w:p w14:paraId="40297E18">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747" w:type="dxa"/>
            <w:noWrap w:val="0"/>
            <w:tcMar>
              <w:left w:w="108" w:type="dxa"/>
              <w:right w:w="108" w:type="dxa"/>
            </w:tcMar>
            <w:vAlign w:val="center"/>
          </w:tcPr>
          <w:p w14:paraId="30F1255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40E4E1D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46B68C0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0A5A66D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57859F7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651F69D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61CBFAB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078D93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6C08D31">
            <w:pPr>
              <w:rPr>
                <w:rFonts w:ascii="黑体" w:hAnsi="黑体" w:eastAsia="黑体"/>
                <w:szCs w:val="21"/>
              </w:rPr>
            </w:pPr>
          </w:p>
        </w:tc>
        <w:tc>
          <w:tcPr>
            <w:tcW w:w="1701" w:type="dxa"/>
            <w:vMerge w:val="continue"/>
            <w:noWrap w:val="0"/>
            <w:tcMar>
              <w:left w:w="108" w:type="dxa"/>
              <w:right w:w="108" w:type="dxa"/>
            </w:tcMar>
            <w:vAlign w:val="center"/>
          </w:tcPr>
          <w:p w14:paraId="53C165D7">
            <w:pPr>
              <w:spacing w:line="200" w:lineRule="exact"/>
              <w:ind w:left="-107" w:leftChars="-51"/>
              <w:rPr>
                <w:rFonts w:ascii="黑体" w:hAnsi="黑体" w:eastAsia="黑体"/>
                <w:szCs w:val="21"/>
              </w:rPr>
            </w:pPr>
          </w:p>
        </w:tc>
        <w:tc>
          <w:tcPr>
            <w:tcW w:w="2976" w:type="dxa"/>
            <w:noWrap w:val="0"/>
            <w:tcMar>
              <w:left w:w="108" w:type="dxa"/>
              <w:right w:w="108" w:type="dxa"/>
            </w:tcMar>
            <w:vAlign w:val="center"/>
          </w:tcPr>
          <w:p w14:paraId="0EF17858">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747" w:type="dxa"/>
            <w:noWrap w:val="0"/>
            <w:tcMar>
              <w:left w:w="108" w:type="dxa"/>
              <w:right w:w="108" w:type="dxa"/>
            </w:tcMar>
            <w:vAlign w:val="center"/>
          </w:tcPr>
          <w:p w14:paraId="61B3B1F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56A7B55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5859483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417C024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2F917A8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7BD97D7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63A0745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6AE720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7C6AB93">
            <w:pPr>
              <w:rPr>
                <w:rFonts w:ascii="黑体" w:hAnsi="黑体" w:eastAsia="黑体"/>
                <w:szCs w:val="21"/>
              </w:rPr>
            </w:pPr>
          </w:p>
        </w:tc>
        <w:tc>
          <w:tcPr>
            <w:tcW w:w="1701" w:type="dxa"/>
            <w:vMerge w:val="continue"/>
            <w:noWrap w:val="0"/>
            <w:tcMar>
              <w:left w:w="108" w:type="dxa"/>
              <w:right w:w="108" w:type="dxa"/>
            </w:tcMar>
            <w:vAlign w:val="center"/>
          </w:tcPr>
          <w:p w14:paraId="4AC08DEF">
            <w:pPr>
              <w:spacing w:line="200" w:lineRule="exact"/>
              <w:ind w:left="-107" w:leftChars="-51"/>
              <w:rPr>
                <w:rFonts w:ascii="黑体" w:hAnsi="黑体" w:eastAsia="黑体"/>
                <w:szCs w:val="21"/>
              </w:rPr>
            </w:pPr>
          </w:p>
        </w:tc>
        <w:tc>
          <w:tcPr>
            <w:tcW w:w="2976" w:type="dxa"/>
            <w:noWrap w:val="0"/>
            <w:tcMar>
              <w:left w:w="108" w:type="dxa"/>
              <w:right w:w="108" w:type="dxa"/>
            </w:tcMar>
            <w:vAlign w:val="center"/>
          </w:tcPr>
          <w:p w14:paraId="4C1A5EEB">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747" w:type="dxa"/>
            <w:noWrap w:val="0"/>
            <w:tcMar>
              <w:left w:w="108" w:type="dxa"/>
              <w:right w:w="108" w:type="dxa"/>
            </w:tcMar>
            <w:vAlign w:val="center"/>
          </w:tcPr>
          <w:p w14:paraId="41418CC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08FCD05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0F4078D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37F53D5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158E0BE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6EC5B7E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02D38F6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3EDB18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F14CCE0">
            <w:pPr>
              <w:rPr>
                <w:rFonts w:ascii="黑体" w:hAnsi="黑体" w:eastAsia="黑体"/>
                <w:szCs w:val="21"/>
              </w:rPr>
            </w:pPr>
          </w:p>
        </w:tc>
        <w:tc>
          <w:tcPr>
            <w:tcW w:w="1701" w:type="dxa"/>
            <w:vMerge w:val="restart"/>
            <w:noWrap w:val="0"/>
            <w:tcMar>
              <w:left w:w="108" w:type="dxa"/>
              <w:right w:w="108" w:type="dxa"/>
            </w:tcMar>
            <w:vAlign w:val="center"/>
          </w:tcPr>
          <w:p w14:paraId="4F1A7995">
            <w:pPr>
              <w:widowControl/>
              <w:spacing w:line="200" w:lineRule="exact"/>
              <w:ind w:left="-107" w:leftChars="-51"/>
              <w:rPr>
                <w:rFonts w:ascii="黑体" w:hAnsi="黑体" w:eastAsia="黑体"/>
                <w:szCs w:val="21"/>
              </w:rPr>
            </w:pPr>
            <w:r>
              <w:rPr>
                <w:rFonts w:hint="eastAsia" w:ascii="黑体" w:hAnsi="黑体" w:eastAsia="黑体"/>
                <w:kern w:val="0"/>
                <w:szCs w:val="21"/>
              </w:rPr>
              <w:t>（五）不予处理</w:t>
            </w:r>
          </w:p>
        </w:tc>
        <w:tc>
          <w:tcPr>
            <w:tcW w:w="2976" w:type="dxa"/>
            <w:noWrap w:val="0"/>
            <w:tcMar>
              <w:left w:w="108" w:type="dxa"/>
              <w:right w:w="108" w:type="dxa"/>
            </w:tcMar>
            <w:vAlign w:val="center"/>
          </w:tcPr>
          <w:p w14:paraId="4EF029A5">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747" w:type="dxa"/>
            <w:noWrap w:val="0"/>
            <w:tcMar>
              <w:left w:w="108" w:type="dxa"/>
              <w:right w:w="108" w:type="dxa"/>
            </w:tcMar>
            <w:vAlign w:val="center"/>
          </w:tcPr>
          <w:p w14:paraId="59DE468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084C0D7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3E55CB3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6450E4B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091ECB6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5874D42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2889921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0BD4C0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73E13B7">
            <w:pPr>
              <w:rPr>
                <w:rFonts w:ascii="黑体" w:hAnsi="黑体" w:eastAsia="黑体"/>
                <w:szCs w:val="21"/>
              </w:rPr>
            </w:pPr>
          </w:p>
        </w:tc>
        <w:tc>
          <w:tcPr>
            <w:tcW w:w="1701" w:type="dxa"/>
            <w:vMerge w:val="continue"/>
            <w:noWrap w:val="0"/>
            <w:tcMar>
              <w:left w:w="108" w:type="dxa"/>
              <w:right w:w="108" w:type="dxa"/>
            </w:tcMar>
            <w:vAlign w:val="center"/>
          </w:tcPr>
          <w:p w14:paraId="3961B942">
            <w:pPr>
              <w:spacing w:line="200" w:lineRule="exact"/>
              <w:rPr>
                <w:rFonts w:ascii="黑体" w:hAnsi="黑体" w:eastAsia="黑体"/>
                <w:szCs w:val="21"/>
              </w:rPr>
            </w:pPr>
          </w:p>
        </w:tc>
        <w:tc>
          <w:tcPr>
            <w:tcW w:w="2976" w:type="dxa"/>
            <w:noWrap w:val="0"/>
            <w:tcMar>
              <w:left w:w="108" w:type="dxa"/>
              <w:right w:w="108" w:type="dxa"/>
            </w:tcMar>
            <w:vAlign w:val="center"/>
          </w:tcPr>
          <w:p w14:paraId="1C7BB1D1">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747" w:type="dxa"/>
            <w:noWrap w:val="0"/>
            <w:tcMar>
              <w:left w:w="108" w:type="dxa"/>
              <w:right w:w="108" w:type="dxa"/>
            </w:tcMar>
            <w:vAlign w:val="center"/>
          </w:tcPr>
          <w:p w14:paraId="0B0A290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3D67E1D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5C6FD98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61E542F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2C4E9CF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12977AF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75015C2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2D908C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6D7987C">
            <w:pPr>
              <w:rPr>
                <w:rFonts w:ascii="黑体" w:hAnsi="黑体" w:eastAsia="黑体"/>
                <w:szCs w:val="21"/>
              </w:rPr>
            </w:pPr>
          </w:p>
        </w:tc>
        <w:tc>
          <w:tcPr>
            <w:tcW w:w="1701" w:type="dxa"/>
            <w:vMerge w:val="continue"/>
            <w:noWrap w:val="0"/>
            <w:tcMar>
              <w:left w:w="108" w:type="dxa"/>
              <w:right w:w="108" w:type="dxa"/>
            </w:tcMar>
            <w:vAlign w:val="center"/>
          </w:tcPr>
          <w:p w14:paraId="533C9F19">
            <w:pPr>
              <w:spacing w:line="200" w:lineRule="exact"/>
              <w:rPr>
                <w:rFonts w:ascii="黑体" w:hAnsi="黑体" w:eastAsia="黑体"/>
                <w:szCs w:val="21"/>
              </w:rPr>
            </w:pPr>
          </w:p>
        </w:tc>
        <w:tc>
          <w:tcPr>
            <w:tcW w:w="2976" w:type="dxa"/>
            <w:noWrap w:val="0"/>
            <w:tcMar>
              <w:left w:w="108" w:type="dxa"/>
              <w:right w:w="108" w:type="dxa"/>
            </w:tcMar>
            <w:vAlign w:val="center"/>
          </w:tcPr>
          <w:p w14:paraId="2F9DD636">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747" w:type="dxa"/>
            <w:noWrap w:val="0"/>
            <w:tcMar>
              <w:left w:w="108" w:type="dxa"/>
              <w:right w:w="108" w:type="dxa"/>
            </w:tcMar>
            <w:vAlign w:val="center"/>
          </w:tcPr>
          <w:p w14:paraId="1B89D0B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10357F3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0025679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487EA59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61CE43C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0598ACB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57DC9F8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21DFC4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14:paraId="41E5EE6A">
            <w:pPr>
              <w:rPr>
                <w:rFonts w:ascii="黑体" w:hAnsi="黑体" w:eastAsia="黑体"/>
                <w:szCs w:val="21"/>
              </w:rPr>
            </w:pPr>
          </w:p>
        </w:tc>
        <w:tc>
          <w:tcPr>
            <w:tcW w:w="1701" w:type="dxa"/>
            <w:vMerge w:val="continue"/>
            <w:noWrap w:val="0"/>
            <w:tcMar>
              <w:left w:w="108" w:type="dxa"/>
              <w:right w:w="108" w:type="dxa"/>
            </w:tcMar>
            <w:vAlign w:val="center"/>
          </w:tcPr>
          <w:p w14:paraId="2AEFAF99">
            <w:pPr>
              <w:spacing w:line="200" w:lineRule="exact"/>
              <w:rPr>
                <w:rFonts w:ascii="黑体" w:hAnsi="黑体" w:eastAsia="黑体"/>
                <w:szCs w:val="21"/>
              </w:rPr>
            </w:pPr>
          </w:p>
        </w:tc>
        <w:tc>
          <w:tcPr>
            <w:tcW w:w="2976" w:type="dxa"/>
            <w:noWrap w:val="0"/>
            <w:tcMar>
              <w:left w:w="108" w:type="dxa"/>
              <w:right w:w="108" w:type="dxa"/>
            </w:tcMar>
            <w:vAlign w:val="center"/>
          </w:tcPr>
          <w:p w14:paraId="25BB5D95">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747" w:type="dxa"/>
            <w:noWrap w:val="0"/>
            <w:tcMar>
              <w:left w:w="108" w:type="dxa"/>
              <w:right w:w="108" w:type="dxa"/>
            </w:tcMar>
            <w:vAlign w:val="center"/>
          </w:tcPr>
          <w:p w14:paraId="455C48B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2F8DFA8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515F1AA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5C1BE37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62F06BE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4A32E5A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188ADE0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2AFF46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64778077">
            <w:pPr>
              <w:rPr>
                <w:rFonts w:ascii="黑体" w:hAnsi="黑体" w:eastAsia="黑体"/>
                <w:szCs w:val="21"/>
              </w:rPr>
            </w:pPr>
          </w:p>
        </w:tc>
        <w:tc>
          <w:tcPr>
            <w:tcW w:w="1701" w:type="dxa"/>
            <w:vMerge w:val="continue"/>
            <w:noWrap w:val="0"/>
            <w:tcMar>
              <w:left w:w="108" w:type="dxa"/>
              <w:right w:w="108" w:type="dxa"/>
            </w:tcMar>
            <w:vAlign w:val="center"/>
          </w:tcPr>
          <w:p w14:paraId="1F8C264B">
            <w:pPr>
              <w:spacing w:line="200" w:lineRule="exact"/>
              <w:rPr>
                <w:rFonts w:ascii="黑体" w:hAnsi="黑体" w:eastAsia="黑体"/>
                <w:szCs w:val="21"/>
              </w:rPr>
            </w:pPr>
          </w:p>
        </w:tc>
        <w:tc>
          <w:tcPr>
            <w:tcW w:w="2976" w:type="dxa"/>
            <w:noWrap w:val="0"/>
            <w:tcMar>
              <w:left w:w="108" w:type="dxa"/>
              <w:right w:w="108" w:type="dxa"/>
            </w:tcMar>
            <w:vAlign w:val="center"/>
          </w:tcPr>
          <w:p w14:paraId="4B0D36D9">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14:paraId="496FC4F6">
            <w:pPr>
              <w:widowControl/>
              <w:spacing w:line="300" w:lineRule="exact"/>
              <w:ind w:firstLine="21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747" w:type="dxa"/>
            <w:noWrap w:val="0"/>
            <w:tcMar>
              <w:left w:w="108" w:type="dxa"/>
              <w:right w:w="108" w:type="dxa"/>
            </w:tcMar>
            <w:vAlign w:val="center"/>
          </w:tcPr>
          <w:p w14:paraId="394BF22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274A22E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4750F07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0E5F7EF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036C1C9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1DAE97D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3BD8429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77E07E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09286496">
            <w:pPr>
              <w:rPr>
                <w:rFonts w:ascii="黑体" w:hAnsi="黑体" w:eastAsia="黑体"/>
                <w:szCs w:val="21"/>
              </w:rPr>
            </w:pPr>
          </w:p>
        </w:tc>
        <w:tc>
          <w:tcPr>
            <w:tcW w:w="1701" w:type="dxa"/>
            <w:vMerge w:val="restart"/>
            <w:noWrap w:val="0"/>
            <w:tcMar>
              <w:left w:w="108" w:type="dxa"/>
              <w:right w:w="108" w:type="dxa"/>
            </w:tcMar>
            <w:vAlign w:val="center"/>
          </w:tcPr>
          <w:p w14:paraId="6698E93B">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noWrap w:val="0"/>
            <w:vAlign w:val="center"/>
          </w:tcPr>
          <w:p w14:paraId="7524EBB7">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747" w:type="dxa"/>
            <w:noWrap w:val="0"/>
            <w:tcMar>
              <w:left w:w="108" w:type="dxa"/>
              <w:right w:w="108" w:type="dxa"/>
            </w:tcMar>
            <w:vAlign w:val="center"/>
          </w:tcPr>
          <w:p w14:paraId="6B95BF7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7F6E37A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41BF297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2B2914A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3B695AE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19E57A2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7D2CFA0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3F0429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63DA3863">
            <w:pPr>
              <w:rPr>
                <w:rFonts w:ascii="黑体" w:hAnsi="黑体" w:eastAsia="黑体"/>
                <w:szCs w:val="21"/>
              </w:rPr>
            </w:pPr>
          </w:p>
        </w:tc>
        <w:tc>
          <w:tcPr>
            <w:tcW w:w="1701" w:type="dxa"/>
            <w:vMerge w:val="continue"/>
            <w:noWrap w:val="0"/>
            <w:tcMar>
              <w:left w:w="108" w:type="dxa"/>
              <w:right w:w="108" w:type="dxa"/>
            </w:tcMar>
            <w:vAlign w:val="center"/>
          </w:tcPr>
          <w:p w14:paraId="7AE085C4">
            <w:pPr>
              <w:widowControl/>
              <w:spacing w:line="300" w:lineRule="exact"/>
              <w:rPr>
                <w:rFonts w:ascii="黑体" w:hAnsi="黑体" w:eastAsia="黑体"/>
                <w:kern w:val="0"/>
                <w:szCs w:val="21"/>
              </w:rPr>
            </w:pPr>
          </w:p>
        </w:tc>
        <w:tc>
          <w:tcPr>
            <w:tcW w:w="2976" w:type="dxa"/>
            <w:noWrap w:val="0"/>
            <w:vAlign w:val="center"/>
          </w:tcPr>
          <w:p w14:paraId="2E8BF3C1">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747" w:type="dxa"/>
            <w:noWrap w:val="0"/>
            <w:tcMar>
              <w:left w:w="108" w:type="dxa"/>
              <w:right w:w="108" w:type="dxa"/>
            </w:tcMar>
            <w:vAlign w:val="center"/>
          </w:tcPr>
          <w:p w14:paraId="6064543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FF0000"/>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4D7C242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FF0000"/>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2A635C5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6E36F6E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23A5DBA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1869410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530FD7F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FF0000"/>
                <w:szCs w:val="21"/>
              </w:rPr>
            </w:pPr>
            <w:r>
              <w:rPr>
                <w:rFonts w:hint="eastAsia" w:ascii="仿宋_GB2312" w:hAnsi="Times New Roman" w:eastAsia="仿宋_GB2312"/>
                <w:szCs w:val="21"/>
                <w:lang w:val="en-US" w:eastAsia="zh-CN"/>
              </w:rPr>
              <w:t>0</w:t>
            </w:r>
          </w:p>
        </w:tc>
      </w:tr>
      <w:tr w14:paraId="09D3EA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500ECFA5">
            <w:pPr>
              <w:rPr>
                <w:rFonts w:ascii="黑体" w:hAnsi="黑体" w:eastAsia="黑体"/>
                <w:szCs w:val="21"/>
              </w:rPr>
            </w:pPr>
          </w:p>
        </w:tc>
        <w:tc>
          <w:tcPr>
            <w:tcW w:w="1701" w:type="dxa"/>
            <w:vMerge w:val="continue"/>
            <w:noWrap w:val="0"/>
            <w:tcMar>
              <w:left w:w="108" w:type="dxa"/>
              <w:right w:w="108" w:type="dxa"/>
            </w:tcMar>
            <w:vAlign w:val="center"/>
          </w:tcPr>
          <w:p w14:paraId="51A48D1B">
            <w:pPr>
              <w:widowControl/>
              <w:spacing w:line="300" w:lineRule="exact"/>
              <w:rPr>
                <w:rFonts w:ascii="黑体" w:hAnsi="黑体" w:eastAsia="黑体"/>
                <w:kern w:val="0"/>
                <w:szCs w:val="21"/>
              </w:rPr>
            </w:pPr>
          </w:p>
        </w:tc>
        <w:tc>
          <w:tcPr>
            <w:tcW w:w="2976" w:type="dxa"/>
            <w:noWrap w:val="0"/>
            <w:vAlign w:val="center"/>
          </w:tcPr>
          <w:p w14:paraId="51808F03">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747" w:type="dxa"/>
            <w:noWrap w:val="0"/>
            <w:tcMar>
              <w:left w:w="108" w:type="dxa"/>
              <w:right w:w="108" w:type="dxa"/>
            </w:tcMar>
            <w:vAlign w:val="center"/>
          </w:tcPr>
          <w:p w14:paraId="6D43F9C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121460A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656FCA9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106F70F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0BDD07F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235B297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3B0A663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FF0000"/>
                <w:szCs w:val="21"/>
                <w:lang w:val="en-US"/>
              </w:rPr>
            </w:pPr>
            <w:r>
              <w:rPr>
                <w:rFonts w:hint="eastAsia" w:ascii="仿宋_GB2312" w:hAnsi="Times New Roman" w:eastAsia="仿宋_GB2312"/>
                <w:szCs w:val="21"/>
                <w:lang w:val="en-US" w:eastAsia="zh-CN"/>
              </w:rPr>
              <w:t>0</w:t>
            </w:r>
          </w:p>
        </w:tc>
      </w:tr>
      <w:tr w14:paraId="107AB7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3F26FE27">
            <w:pPr>
              <w:rPr>
                <w:rFonts w:ascii="黑体" w:hAnsi="黑体" w:eastAsia="黑体"/>
                <w:szCs w:val="21"/>
              </w:rPr>
            </w:pPr>
          </w:p>
        </w:tc>
        <w:tc>
          <w:tcPr>
            <w:tcW w:w="4677" w:type="dxa"/>
            <w:gridSpan w:val="2"/>
            <w:noWrap w:val="0"/>
            <w:tcMar>
              <w:left w:w="108" w:type="dxa"/>
              <w:right w:w="108" w:type="dxa"/>
            </w:tcMar>
            <w:vAlign w:val="center"/>
          </w:tcPr>
          <w:p w14:paraId="60741BC5">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747" w:type="dxa"/>
            <w:noWrap w:val="0"/>
            <w:tcMar>
              <w:left w:w="108" w:type="dxa"/>
              <w:right w:w="108" w:type="dxa"/>
            </w:tcMar>
            <w:vAlign w:val="center"/>
          </w:tcPr>
          <w:p w14:paraId="5AD4198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FF0000"/>
                <w:szCs w:val="21"/>
              </w:rPr>
            </w:pPr>
            <w:r>
              <w:rPr>
                <w:rFonts w:hint="eastAsia" w:ascii="仿宋_GB2312" w:hAnsi="Times New Roman" w:eastAsia="仿宋_GB2312"/>
                <w:szCs w:val="21"/>
                <w:lang w:val="en-US" w:eastAsia="zh-CN"/>
              </w:rPr>
              <w:t>1</w:t>
            </w:r>
          </w:p>
        </w:tc>
        <w:tc>
          <w:tcPr>
            <w:tcW w:w="540" w:type="dxa"/>
            <w:gridSpan w:val="2"/>
            <w:noWrap w:val="0"/>
            <w:tcMar>
              <w:left w:w="108" w:type="dxa"/>
              <w:right w:w="108" w:type="dxa"/>
            </w:tcMar>
            <w:vAlign w:val="center"/>
          </w:tcPr>
          <w:p w14:paraId="00B07DB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FF0000"/>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2F6215C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3B1BAFD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0C965BA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04FD615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38902D9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FF0000"/>
                <w:szCs w:val="21"/>
                <w:lang w:val="en-US"/>
              </w:rPr>
            </w:pPr>
            <w:r>
              <w:rPr>
                <w:rFonts w:hint="eastAsia" w:ascii="仿宋_GB2312" w:hAnsi="Times New Roman" w:eastAsia="仿宋_GB2312"/>
                <w:szCs w:val="21"/>
                <w:lang w:val="en-US" w:eastAsia="zh-CN"/>
              </w:rPr>
              <w:t>1</w:t>
            </w:r>
          </w:p>
        </w:tc>
      </w:tr>
      <w:tr w14:paraId="24B62E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14:paraId="4CCA2F22">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747" w:type="dxa"/>
            <w:noWrap w:val="0"/>
            <w:tcMar>
              <w:left w:w="108" w:type="dxa"/>
              <w:right w:w="108" w:type="dxa"/>
            </w:tcMar>
            <w:vAlign w:val="center"/>
          </w:tcPr>
          <w:p w14:paraId="6209DB6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FF0000"/>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370A233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FF0000"/>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7854EB9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5BF1072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125603A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3C37EB1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3C95A12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FF0000"/>
                <w:szCs w:val="21"/>
                <w:lang w:val="en-US"/>
              </w:rPr>
            </w:pPr>
            <w:r>
              <w:rPr>
                <w:rFonts w:hint="eastAsia" w:ascii="仿宋_GB2312" w:hAnsi="Times New Roman" w:eastAsia="仿宋_GB2312"/>
                <w:szCs w:val="21"/>
                <w:lang w:val="en-US" w:eastAsia="zh-CN"/>
              </w:rPr>
              <w:t>0</w:t>
            </w:r>
          </w:p>
        </w:tc>
      </w:tr>
    </w:tbl>
    <w:p w14:paraId="54F11915">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lang w:eastAsia="zh-CN"/>
        </w:rPr>
        <w:t>四、政府信息公开行政复议、行政诉讼情况</w:t>
      </w:r>
    </w:p>
    <w:tbl>
      <w:tblPr>
        <w:tblStyle w:val="10"/>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37"/>
        <w:gridCol w:w="637"/>
        <w:gridCol w:w="637"/>
        <w:gridCol w:w="638"/>
        <w:gridCol w:w="696"/>
        <w:gridCol w:w="596"/>
        <w:gridCol w:w="656"/>
        <w:gridCol w:w="656"/>
        <w:gridCol w:w="656"/>
        <w:gridCol w:w="656"/>
        <w:gridCol w:w="656"/>
        <w:gridCol w:w="656"/>
        <w:gridCol w:w="656"/>
        <w:gridCol w:w="657"/>
        <w:gridCol w:w="658"/>
      </w:tblGrid>
      <w:tr w14:paraId="77AB31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97D07A0">
            <w:pPr>
              <w:widowControl/>
              <w:jc w:val="center"/>
              <w:rPr>
                <w:rFonts w:hint="default" w:ascii="Times New Roman" w:hAnsi="Times New Roman" w:cs="Times New Roman"/>
              </w:rPr>
            </w:pPr>
            <w:r>
              <w:rPr>
                <w:rFonts w:ascii="黑体" w:hAnsi="黑体" w:eastAsia="黑体"/>
                <w:kern w:val="0"/>
                <w:sz w:val="20"/>
                <w:szCs w:val="20"/>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C64A821">
            <w:pPr>
              <w:widowControl/>
              <w:jc w:val="center"/>
              <w:rPr>
                <w:rFonts w:hint="default" w:ascii="Times New Roman" w:hAnsi="Times New Roman" w:cs="Times New Roman"/>
              </w:rPr>
            </w:pPr>
            <w:r>
              <w:rPr>
                <w:rFonts w:ascii="黑体" w:hAnsi="黑体" w:eastAsia="黑体"/>
                <w:kern w:val="0"/>
                <w:sz w:val="20"/>
                <w:szCs w:val="20"/>
              </w:rPr>
              <w:t>行政诉讼</w:t>
            </w:r>
          </w:p>
        </w:tc>
      </w:tr>
      <w:tr w14:paraId="02D0B4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37"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11E3B38">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14:paraId="714C6F4D">
            <w:pPr>
              <w:widowControl/>
              <w:ind w:left="-149" w:leftChars="-71" w:right="-170" w:rightChars="-81"/>
              <w:jc w:val="center"/>
              <w:rPr>
                <w:rFonts w:hint="default" w:ascii="Times New Roman" w:hAnsi="Times New Roman" w:cs="Times New Roman"/>
              </w:rPr>
            </w:pPr>
            <w:r>
              <w:rPr>
                <w:rFonts w:ascii="黑体" w:hAnsi="黑体" w:eastAsia="黑体"/>
                <w:kern w:val="0"/>
                <w:sz w:val="20"/>
                <w:szCs w:val="20"/>
              </w:rPr>
              <w:t>维持</w:t>
            </w:r>
          </w:p>
        </w:tc>
        <w:tc>
          <w:tcPr>
            <w:tcW w:w="637"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B87E9F8">
            <w:pPr>
              <w:widowControl/>
              <w:ind w:left="-43" w:leftChars="-21" w:right="-132" w:rightChars="-63" w:hanging="1" w:firstLineChars="0"/>
              <w:jc w:val="center"/>
              <w:rPr>
                <w:rFonts w:hint="default" w:ascii="Times New Roman" w:hAnsi="Times New Roman" w:cs="Times New Roman"/>
              </w:rPr>
            </w:pPr>
            <w:r>
              <w:rPr>
                <w:rFonts w:ascii="黑体" w:hAnsi="黑体" w:eastAsia="黑体"/>
                <w:kern w:val="0"/>
                <w:sz w:val="20"/>
                <w:szCs w:val="20"/>
              </w:rPr>
              <w:t>结果纠正</w:t>
            </w:r>
          </w:p>
        </w:tc>
        <w:tc>
          <w:tcPr>
            <w:tcW w:w="637"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A024F4F">
            <w:pPr>
              <w:widowControl/>
              <w:ind w:left="-82" w:leftChars="-39" w:right="-97" w:rightChars="-46"/>
              <w:jc w:val="center"/>
              <w:rPr>
                <w:rFonts w:hint="default" w:ascii="Times New Roman" w:hAnsi="Times New Roman" w:cs="Times New Roman"/>
              </w:rPr>
            </w:pPr>
            <w:r>
              <w:rPr>
                <w:rFonts w:ascii="黑体" w:hAnsi="黑体" w:eastAsia="黑体"/>
                <w:kern w:val="0"/>
                <w:sz w:val="20"/>
                <w:szCs w:val="20"/>
              </w:rPr>
              <w:t>其他结果</w:t>
            </w:r>
          </w:p>
        </w:tc>
        <w:tc>
          <w:tcPr>
            <w:tcW w:w="638"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4978C80">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14:paraId="04D26160">
            <w:pPr>
              <w:widowControl/>
              <w:ind w:left="-118" w:leftChars="-56" w:right="-118" w:rightChars="-56"/>
              <w:jc w:val="center"/>
              <w:rPr>
                <w:rFonts w:hint="default" w:ascii="Times New Roman" w:hAnsi="Times New Roman" w:cs="Times New Roman"/>
              </w:rPr>
            </w:pPr>
            <w:r>
              <w:rPr>
                <w:rFonts w:ascii="黑体" w:hAnsi="黑体" w:eastAsia="黑体"/>
                <w:kern w:val="0"/>
                <w:sz w:val="20"/>
                <w:szCs w:val="20"/>
              </w:rPr>
              <w:t>审结</w:t>
            </w:r>
          </w:p>
        </w:tc>
        <w:tc>
          <w:tcPr>
            <w:tcW w:w="696"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7963088">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14:paraId="2445BC82">
            <w:pPr>
              <w:widowControl/>
              <w:spacing w:line="320" w:lineRule="exact"/>
              <w:jc w:val="center"/>
              <w:rPr>
                <w:rFonts w:hint="default" w:ascii="Times New Roman" w:hAnsi="Times New Roman" w:cs="Times New Roman"/>
              </w:rPr>
            </w:pPr>
            <w:r>
              <w:rPr>
                <w:rFonts w:ascii="黑体" w:hAnsi="黑体" w:eastAsia="黑体"/>
                <w:kern w:val="0"/>
                <w:sz w:val="20"/>
                <w:szCs w:val="20"/>
              </w:rPr>
              <w:t>计</w:t>
            </w:r>
          </w:p>
        </w:tc>
        <w:tc>
          <w:tcPr>
            <w:tcW w:w="322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DB25FF5">
            <w:pPr>
              <w:widowControl/>
              <w:jc w:val="center"/>
              <w:rPr>
                <w:rFonts w:hint="default" w:ascii="Times New Roman" w:hAnsi="Times New Roman" w:cs="Times New Roman"/>
              </w:rPr>
            </w:pPr>
            <w:r>
              <w:rPr>
                <w:rFonts w:ascii="黑体" w:hAnsi="黑体" w:eastAsia="黑体"/>
                <w:kern w:val="0"/>
                <w:sz w:val="20"/>
                <w:szCs w:val="20"/>
              </w:rPr>
              <w:t>未经复议直接起诉</w:t>
            </w:r>
          </w:p>
        </w:tc>
        <w:tc>
          <w:tcPr>
            <w:tcW w:w="3283"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DF17F4C">
            <w:pPr>
              <w:widowControl/>
              <w:jc w:val="center"/>
              <w:rPr>
                <w:rFonts w:hint="default" w:ascii="Times New Roman" w:hAnsi="Times New Roman" w:cs="Times New Roman"/>
              </w:rPr>
            </w:pPr>
            <w:r>
              <w:rPr>
                <w:rFonts w:ascii="黑体" w:hAnsi="黑体" w:eastAsia="黑体"/>
                <w:kern w:val="0"/>
                <w:sz w:val="20"/>
                <w:szCs w:val="20"/>
              </w:rPr>
              <w:t>复议后起诉</w:t>
            </w:r>
          </w:p>
        </w:tc>
      </w:tr>
      <w:tr w14:paraId="1815216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3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8DEC94F">
            <w:pPr>
              <w:rPr>
                <w:rFonts w:hint="default" w:ascii="Times New Roman" w:hAnsi="Times New Roman" w:cs="Times New Roman"/>
                <w:sz w:val="24"/>
              </w:rPr>
            </w:pPr>
          </w:p>
        </w:tc>
        <w:tc>
          <w:tcPr>
            <w:tcW w:w="63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B40844A">
            <w:pPr>
              <w:rPr>
                <w:rFonts w:hint="default" w:ascii="Times New Roman" w:hAnsi="Times New Roman" w:cs="Times New Roman"/>
                <w:sz w:val="24"/>
              </w:rPr>
            </w:pPr>
          </w:p>
        </w:tc>
        <w:tc>
          <w:tcPr>
            <w:tcW w:w="637"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4A5E5A8">
            <w:pPr>
              <w:rPr>
                <w:rFonts w:hint="default" w:ascii="Times New Roman" w:hAnsi="Times New Roman" w:cs="Times New Roman"/>
                <w:sz w:val="24"/>
              </w:rPr>
            </w:pPr>
          </w:p>
        </w:tc>
        <w:tc>
          <w:tcPr>
            <w:tcW w:w="63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4FFFC18">
            <w:pPr>
              <w:rPr>
                <w:rFonts w:hint="default" w:ascii="Times New Roman" w:hAnsi="Times New Roman" w:cs="Times New Roman"/>
                <w:sz w:val="24"/>
              </w:rPr>
            </w:pPr>
          </w:p>
        </w:tc>
        <w:tc>
          <w:tcPr>
            <w:tcW w:w="696"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2960FD4">
            <w:pPr>
              <w:rPr>
                <w:rFonts w:hint="default" w:ascii="Times New Roman" w:hAnsi="Times New Roman" w:cs="Times New Roman"/>
                <w:sz w:val="24"/>
              </w:rPr>
            </w:pPr>
          </w:p>
        </w:tc>
        <w:tc>
          <w:tcPr>
            <w:tcW w:w="59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6925D49">
            <w:pPr>
              <w:widowControl/>
              <w:ind w:left="-105" w:leftChars="-50" w:right="-126" w:rightChars="-60"/>
              <w:jc w:val="center"/>
              <w:rPr>
                <w:rFonts w:hint="default" w:ascii="Times New Roman" w:hAnsi="Times New Roman" w:cs="Times New Roman"/>
              </w:rPr>
            </w:pPr>
            <w:r>
              <w:rPr>
                <w:rFonts w:ascii="黑体" w:hAnsi="黑体" w:eastAsia="黑体"/>
                <w:kern w:val="0"/>
                <w:sz w:val="20"/>
                <w:szCs w:val="20"/>
              </w:rPr>
              <w:t>结果维持</w:t>
            </w:r>
          </w:p>
        </w:tc>
        <w:tc>
          <w:tcPr>
            <w:tcW w:w="65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571F464">
            <w:pPr>
              <w:widowControl/>
              <w:ind w:left="-86" w:leftChars="-41" w:right="-88" w:rightChars="-42"/>
              <w:jc w:val="center"/>
              <w:rPr>
                <w:rFonts w:hint="default" w:ascii="Times New Roman" w:hAnsi="Times New Roman" w:cs="Times New Roman"/>
              </w:rPr>
            </w:pPr>
            <w:r>
              <w:rPr>
                <w:rFonts w:ascii="黑体" w:hAnsi="黑体" w:eastAsia="黑体"/>
                <w:kern w:val="0"/>
                <w:sz w:val="20"/>
                <w:szCs w:val="20"/>
              </w:rPr>
              <w:t>结果纠正</w:t>
            </w:r>
          </w:p>
        </w:tc>
        <w:tc>
          <w:tcPr>
            <w:tcW w:w="65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B7075E0">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14:paraId="33C36143">
            <w:pPr>
              <w:widowControl/>
              <w:ind w:left="-126" w:leftChars="-60" w:right="-136" w:rightChars="-65"/>
              <w:jc w:val="center"/>
              <w:rPr>
                <w:rFonts w:hint="default" w:ascii="Times New Roman" w:hAnsi="Times New Roman" w:cs="Times New Roman"/>
              </w:rPr>
            </w:pPr>
            <w:r>
              <w:rPr>
                <w:rFonts w:ascii="黑体" w:hAnsi="黑体" w:eastAsia="黑体"/>
                <w:kern w:val="0"/>
                <w:sz w:val="20"/>
                <w:szCs w:val="20"/>
              </w:rPr>
              <w:t>结果</w:t>
            </w:r>
          </w:p>
        </w:tc>
        <w:tc>
          <w:tcPr>
            <w:tcW w:w="65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CF84D9C">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14:paraId="6958D08F">
            <w:pPr>
              <w:widowControl/>
              <w:ind w:left="-164" w:leftChars="-78" w:right="-153" w:rightChars="-73"/>
              <w:jc w:val="center"/>
              <w:rPr>
                <w:rFonts w:hint="default" w:ascii="Times New Roman" w:hAnsi="Times New Roman" w:cs="Times New Roman"/>
              </w:rPr>
            </w:pPr>
            <w:r>
              <w:rPr>
                <w:rFonts w:ascii="黑体" w:hAnsi="黑体" w:eastAsia="黑体"/>
                <w:kern w:val="0"/>
                <w:sz w:val="20"/>
                <w:szCs w:val="20"/>
              </w:rPr>
              <w:t>审结</w:t>
            </w:r>
          </w:p>
        </w:tc>
        <w:tc>
          <w:tcPr>
            <w:tcW w:w="65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B413905">
            <w:pPr>
              <w:widowControl/>
              <w:jc w:val="center"/>
              <w:rPr>
                <w:rFonts w:hint="default" w:ascii="Times New Roman" w:hAnsi="Times New Roman" w:cs="Times New Roman"/>
              </w:rPr>
            </w:pPr>
            <w:r>
              <w:rPr>
                <w:rFonts w:ascii="黑体" w:hAnsi="黑体" w:eastAsia="黑体"/>
                <w:kern w:val="0"/>
                <w:sz w:val="20"/>
                <w:szCs w:val="20"/>
              </w:rPr>
              <w:t>总计</w:t>
            </w:r>
          </w:p>
        </w:tc>
        <w:tc>
          <w:tcPr>
            <w:tcW w:w="65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2C746FA">
            <w:pPr>
              <w:widowControl/>
              <w:ind w:left="-99" w:leftChars="-47" w:right="-78" w:rightChars="-37"/>
              <w:jc w:val="center"/>
              <w:rPr>
                <w:rFonts w:hint="default" w:ascii="Times New Roman" w:hAnsi="Times New Roman" w:cs="Times New Roman"/>
              </w:rPr>
            </w:pPr>
            <w:r>
              <w:rPr>
                <w:rFonts w:ascii="黑体" w:hAnsi="黑体" w:eastAsia="黑体"/>
                <w:kern w:val="0"/>
                <w:sz w:val="20"/>
                <w:szCs w:val="20"/>
              </w:rPr>
              <w:t>结果维持</w:t>
            </w:r>
          </w:p>
        </w:tc>
        <w:tc>
          <w:tcPr>
            <w:tcW w:w="65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ED863C4">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14:paraId="22023378">
            <w:pPr>
              <w:widowControl/>
              <w:ind w:left="-136" w:leftChars="-65" w:right="-124" w:rightChars="-59"/>
              <w:jc w:val="center"/>
              <w:rPr>
                <w:rFonts w:hint="default" w:ascii="Times New Roman" w:hAnsi="Times New Roman" w:cs="Times New Roman"/>
              </w:rPr>
            </w:pPr>
            <w:r>
              <w:rPr>
                <w:rFonts w:ascii="黑体" w:hAnsi="黑体" w:eastAsia="黑体"/>
                <w:kern w:val="0"/>
                <w:sz w:val="20"/>
                <w:szCs w:val="20"/>
              </w:rPr>
              <w:t>纠正</w:t>
            </w:r>
          </w:p>
        </w:tc>
        <w:tc>
          <w:tcPr>
            <w:tcW w:w="65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30E6765">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14:paraId="45D16367">
            <w:pPr>
              <w:widowControl/>
              <w:ind w:left="-173" w:leftChars="-83" w:right="-134" w:rightChars="-64" w:hanging="1" w:firstLineChars="0"/>
              <w:jc w:val="center"/>
              <w:rPr>
                <w:rFonts w:hint="default" w:ascii="Times New Roman" w:hAnsi="Times New Roman" w:cs="Times New Roman"/>
              </w:rPr>
            </w:pPr>
            <w:r>
              <w:rPr>
                <w:rFonts w:ascii="黑体" w:hAnsi="黑体" w:eastAsia="黑体"/>
                <w:kern w:val="0"/>
                <w:sz w:val="20"/>
                <w:szCs w:val="20"/>
              </w:rPr>
              <w:t>结果</w:t>
            </w:r>
          </w:p>
        </w:tc>
        <w:tc>
          <w:tcPr>
            <w:tcW w:w="65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3807423">
            <w:pPr>
              <w:widowControl/>
              <w:ind w:left="-67" w:leftChars="-33" w:right="-105" w:rightChars="-50" w:hanging="2" w:hangingChars="1"/>
              <w:jc w:val="center"/>
              <w:rPr>
                <w:rFonts w:hint="default" w:ascii="Times New Roman" w:hAnsi="Times New Roman" w:cs="Times New Roman"/>
              </w:rPr>
            </w:pPr>
            <w:r>
              <w:rPr>
                <w:rFonts w:ascii="黑体" w:hAnsi="黑体" w:eastAsia="黑体"/>
                <w:kern w:val="0"/>
                <w:sz w:val="20"/>
                <w:szCs w:val="20"/>
              </w:rPr>
              <w:t>尚未审结</w:t>
            </w:r>
          </w:p>
        </w:tc>
        <w:tc>
          <w:tcPr>
            <w:tcW w:w="658"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D78AEFC">
            <w:pPr>
              <w:widowControl/>
              <w:jc w:val="center"/>
              <w:rPr>
                <w:rFonts w:hint="default" w:ascii="Times New Roman" w:hAnsi="Times New Roman" w:cs="Times New Roman"/>
              </w:rPr>
            </w:pPr>
            <w:r>
              <w:rPr>
                <w:rFonts w:ascii="黑体" w:hAnsi="黑体" w:eastAsia="黑体"/>
                <w:kern w:val="0"/>
                <w:sz w:val="20"/>
                <w:szCs w:val="20"/>
              </w:rPr>
              <w:t>总计</w:t>
            </w:r>
          </w:p>
        </w:tc>
      </w:tr>
      <w:tr w14:paraId="2B0246D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598C5A6">
            <w:pPr>
              <w:widowControl/>
              <w:spacing w:after="180"/>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0</w:t>
            </w:r>
          </w:p>
        </w:tc>
        <w:tc>
          <w:tcPr>
            <w:tcW w:w="6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5C90A88">
            <w:pPr>
              <w:widowControl/>
              <w:spacing w:after="180"/>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0</w:t>
            </w:r>
          </w:p>
        </w:tc>
        <w:tc>
          <w:tcPr>
            <w:tcW w:w="6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5D61CDF">
            <w:pPr>
              <w:widowControl/>
              <w:spacing w:after="180"/>
              <w:jc w:val="center"/>
              <w:rPr>
                <w:rFonts w:hint="default" w:ascii="Times New Roman" w:hAnsi="Times New Roman" w:cs="Times New Roman"/>
              </w:rPr>
            </w:pPr>
            <w:r>
              <w:rPr>
                <w:rFonts w:hint="eastAsia" w:ascii="Times New Roman" w:hAnsi="Times New Roman" w:cs="Times New Roman"/>
                <w:lang w:val="en-US" w:eastAsia="zh-CN"/>
              </w:rPr>
              <w:t>0</w:t>
            </w:r>
          </w:p>
        </w:tc>
        <w:tc>
          <w:tcPr>
            <w:tcW w:w="63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2AFD32A">
            <w:pPr>
              <w:widowControl/>
              <w:spacing w:after="180"/>
              <w:jc w:val="center"/>
              <w:rPr>
                <w:rFonts w:hint="default" w:ascii="Times New Roman" w:hAnsi="Times New Roman" w:cs="Times New Roman"/>
              </w:rPr>
            </w:pPr>
            <w:r>
              <w:rPr>
                <w:rFonts w:hint="eastAsia" w:ascii="Times New Roman" w:hAnsi="Times New Roman" w:cs="Times New Roman"/>
                <w:lang w:val="en-US" w:eastAsia="zh-CN"/>
              </w:rPr>
              <w:t>0</w:t>
            </w:r>
          </w:p>
        </w:tc>
        <w:tc>
          <w:tcPr>
            <w:tcW w:w="69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5F957E0">
            <w:pPr>
              <w:widowControl/>
              <w:spacing w:after="180"/>
              <w:jc w:val="center"/>
              <w:rPr>
                <w:rFonts w:hint="default" w:ascii="Times New Roman" w:hAnsi="Times New Roman" w:cs="Times New Roman"/>
              </w:rPr>
            </w:pPr>
            <w:r>
              <w:rPr>
                <w:rFonts w:hint="eastAsia" w:ascii="Times New Roman" w:hAnsi="Times New Roman" w:cs="Times New Roman"/>
                <w:lang w:val="en-US" w:eastAsia="zh-CN"/>
              </w:rPr>
              <w:t>0</w:t>
            </w:r>
          </w:p>
        </w:tc>
        <w:tc>
          <w:tcPr>
            <w:tcW w:w="59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80BDB65">
            <w:pPr>
              <w:widowControl/>
              <w:spacing w:after="180"/>
              <w:jc w:val="center"/>
              <w:rPr>
                <w:rFonts w:hint="default" w:ascii="Times New Roman" w:hAnsi="Times New Roman" w:cs="Times New Roman"/>
              </w:rPr>
            </w:pPr>
            <w:r>
              <w:rPr>
                <w:rFonts w:hint="eastAsia" w:ascii="Times New Roman" w:hAnsi="Times New Roman" w:cs="Times New Roman"/>
                <w:lang w:val="en-US" w:eastAsia="zh-CN"/>
              </w:rPr>
              <w:t>0</w:t>
            </w:r>
          </w:p>
        </w:tc>
        <w:tc>
          <w:tcPr>
            <w:tcW w:w="65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36D01F2">
            <w:pPr>
              <w:widowControl/>
              <w:spacing w:after="180"/>
              <w:jc w:val="center"/>
              <w:rPr>
                <w:rFonts w:hint="default" w:ascii="Times New Roman" w:hAnsi="Times New Roman" w:cs="Times New Roman"/>
              </w:rPr>
            </w:pPr>
            <w:r>
              <w:rPr>
                <w:rFonts w:hint="eastAsia" w:ascii="Times New Roman" w:hAnsi="Times New Roman" w:cs="Times New Roman"/>
                <w:lang w:val="en-US" w:eastAsia="zh-CN"/>
              </w:rPr>
              <w:t>0</w:t>
            </w:r>
          </w:p>
        </w:tc>
        <w:tc>
          <w:tcPr>
            <w:tcW w:w="65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9F774AC">
            <w:pPr>
              <w:widowControl/>
              <w:spacing w:after="180"/>
              <w:jc w:val="center"/>
              <w:rPr>
                <w:rFonts w:hint="default" w:ascii="Times New Roman" w:hAnsi="Times New Roman" w:cs="Times New Roman"/>
              </w:rPr>
            </w:pPr>
            <w:r>
              <w:rPr>
                <w:rFonts w:hint="eastAsia" w:ascii="Times New Roman" w:hAnsi="Times New Roman" w:cs="Times New Roman"/>
                <w:lang w:val="en-US" w:eastAsia="zh-CN"/>
              </w:rPr>
              <w:t>0</w:t>
            </w:r>
          </w:p>
        </w:tc>
        <w:tc>
          <w:tcPr>
            <w:tcW w:w="65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27D841E">
            <w:pPr>
              <w:widowControl/>
              <w:spacing w:after="180"/>
              <w:jc w:val="center"/>
              <w:rPr>
                <w:rFonts w:hint="default" w:ascii="Times New Roman" w:hAnsi="Times New Roman" w:cs="Times New Roman"/>
              </w:rPr>
            </w:pPr>
            <w:r>
              <w:rPr>
                <w:rFonts w:hint="eastAsia" w:ascii="Times New Roman" w:hAnsi="Times New Roman" w:cs="Times New Roman"/>
                <w:lang w:val="en-US" w:eastAsia="zh-CN"/>
              </w:rPr>
              <w:t>0</w:t>
            </w:r>
          </w:p>
        </w:tc>
        <w:tc>
          <w:tcPr>
            <w:tcW w:w="65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F726E38">
            <w:pPr>
              <w:widowControl/>
              <w:spacing w:after="180"/>
              <w:jc w:val="center"/>
              <w:rPr>
                <w:rFonts w:hint="default" w:ascii="Times New Roman" w:hAnsi="Times New Roman" w:cs="Times New Roman"/>
              </w:rPr>
            </w:pPr>
            <w:r>
              <w:rPr>
                <w:rFonts w:hint="eastAsia" w:ascii="Times New Roman" w:hAnsi="Times New Roman" w:cs="Times New Roman"/>
                <w:lang w:val="en-US" w:eastAsia="zh-CN"/>
              </w:rPr>
              <w:t>0</w:t>
            </w:r>
          </w:p>
        </w:tc>
        <w:tc>
          <w:tcPr>
            <w:tcW w:w="65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6E8ADF3">
            <w:pPr>
              <w:widowControl/>
              <w:spacing w:after="180"/>
              <w:jc w:val="center"/>
              <w:rPr>
                <w:rFonts w:hint="default" w:ascii="Times New Roman" w:hAnsi="Times New Roman" w:cs="Times New Roman"/>
              </w:rPr>
            </w:pPr>
            <w:r>
              <w:rPr>
                <w:rFonts w:hint="eastAsia" w:ascii="Times New Roman" w:hAnsi="Times New Roman" w:cs="Times New Roman"/>
                <w:lang w:val="en-US" w:eastAsia="zh-CN"/>
              </w:rPr>
              <w:t>0</w:t>
            </w:r>
          </w:p>
        </w:tc>
        <w:tc>
          <w:tcPr>
            <w:tcW w:w="65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E2E6F0A">
            <w:pPr>
              <w:widowControl/>
              <w:spacing w:after="180"/>
              <w:jc w:val="center"/>
              <w:rPr>
                <w:rFonts w:hint="default" w:ascii="Times New Roman" w:hAnsi="Times New Roman" w:cs="Times New Roman"/>
              </w:rPr>
            </w:pPr>
            <w:r>
              <w:rPr>
                <w:rFonts w:hint="eastAsia" w:ascii="Times New Roman" w:hAnsi="Times New Roman" w:cs="Times New Roman"/>
                <w:lang w:val="en-US" w:eastAsia="zh-CN"/>
              </w:rPr>
              <w:t>0</w:t>
            </w:r>
          </w:p>
        </w:tc>
        <w:tc>
          <w:tcPr>
            <w:tcW w:w="65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89FD571">
            <w:pPr>
              <w:widowControl/>
              <w:spacing w:after="180"/>
              <w:jc w:val="center"/>
              <w:rPr>
                <w:rFonts w:hint="default" w:ascii="Times New Roman" w:hAnsi="Times New Roman" w:cs="Times New Roman"/>
              </w:rPr>
            </w:pPr>
            <w:r>
              <w:rPr>
                <w:rFonts w:hint="eastAsia" w:ascii="Times New Roman" w:hAnsi="Times New Roman" w:cs="Times New Roman"/>
                <w:lang w:val="en-US" w:eastAsia="zh-CN"/>
              </w:rPr>
              <w:t>0</w:t>
            </w:r>
          </w:p>
        </w:tc>
        <w:tc>
          <w:tcPr>
            <w:tcW w:w="65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9ED4E2B">
            <w:pPr>
              <w:widowControl/>
              <w:spacing w:after="180"/>
              <w:jc w:val="center"/>
              <w:rPr>
                <w:rFonts w:hint="default" w:ascii="Times New Roman" w:hAnsi="Times New Roman" w:cs="Times New Roman"/>
              </w:rPr>
            </w:pPr>
            <w:r>
              <w:rPr>
                <w:rFonts w:hint="eastAsia" w:ascii="Times New Roman" w:hAnsi="Times New Roman" w:cs="Times New Roman"/>
                <w:lang w:val="en-US" w:eastAsia="zh-CN"/>
              </w:rPr>
              <w:t>0</w:t>
            </w:r>
          </w:p>
        </w:tc>
        <w:tc>
          <w:tcPr>
            <w:tcW w:w="65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5ACA5BC">
            <w:pPr>
              <w:widowControl/>
              <w:spacing w:after="180"/>
              <w:jc w:val="center"/>
              <w:rPr>
                <w:rFonts w:hint="default" w:ascii="Times New Roman" w:hAnsi="Times New Roman" w:cs="Times New Roman"/>
              </w:rPr>
            </w:pPr>
            <w:r>
              <w:rPr>
                <w:rFonts w:hint="eastAsia" w:ascii="Times New Roman" w:hAnsi="Times New Roman" w:cs="Times New Roman"/>
                <w:lang w:val="en-US" w:eastAsia="zh-CN"/>
              </w:rPr>
              <w:t>0</w:t>
            </w:r>
          </w:p>
        </w:tc>
      </w:tr>
    </w:tbl>
    <w:p w14:paraId="71E1CE2F">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lang w:eastAsia="zh-CN"/>
        </w:rPr>
        <w:t>五、存在的主要问题及改进情况</w:t>
      </w:r>
    </w:p>
    <w:p w14:paraId="6AD8CA42">
      <w:pPr>
        <w:pStyle w:val="9"/>
        <w:keepNext w:val="0"/>
        <w:keepLines w:val="0"/>
        <w:pageBreakBefore w:val="0"/>
        <w:kinsoku/>
        <w:wordWrap/>
        <w:overflowPunct/>
        <w:topLinePunct w:val="0"/>
        <w:autoSpaceDE/>
        <w:autoSpaceDN/>
        <w:bidi w:val="0"/>
        <w:adjustRightInd/>
        <w:snapToGrid/>
        <w:spacing w:beforeAutospacing="0" w:after="0" w:afterAutospacing="0" w:line="560" w:lineRule="exact"/>
        <w:ind w:left="0" w:leftChars="0" w:firstLine="640" w:firstLineChars="200"/>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eastAsia" w:ascii="Times New Roman" w:hAnsi="Times New Roman" w:eastAsia="仿宋_GB2312" w:cs="Times New Roman"/>
          <w:i w:val="0"/>
          <w:iCs w:val="0"/>
          <w:caps w:val="0"/>
          <w:color w:val="000000"/>
          <w:spacing w:val="0"/>
          <w:sz w:val="32"/>
          <w:szCs w:val="32"/>
          <w:shd w:val="clear" w:fill="FFFFFF"/>
          <w:lang w:val="en-US" w:eastAsia="zh-CN"/>
        </w:rPr>
        <w:t>一是</w:t>
      </w:r>
      <w:r>
        <w:rPr>
          <w:rFonts w:hint="default" w:ascii="Times New Roman" w:hAnsi="Times New Roman" w:eastAsia="仿宋_GB2312" w:cs="Times New Roman"/>
          <w:i w:val="0"/>
          <w:iCs w:val="0"/>
          <w:caps w:val="0"/>
          <w:color w:val="000000"/>
          <w:spacing w:val="0"/>
          <w:sz w:val="32"/>
          <w:szCs w:val="32"/>
          <w:shd w:val="clear" w:fill="FFFFFF"/>
          <w:lang w:val="en-US" w:eastAsia="zh-CN"/>
        </w:rPr>
        <w:t>政策解读工作的主动性与创新性亟待提升。对出台的政策文件进行多元化、通俗化解读的意识和能力仍需加强。</w:t>
      </w:r>
    </w:p>
    <w:p w14:paraId="6607B042">
      <w:pPr>
        <w:pStyle w:val="9"/>
        <w:keepNext w:val="0"/>
        <w:keepLines w:val="0"/>
        <w:pageBreakBefore w:val="0"/>
        <w:kinsoku/>
        <w:wordWrap/>
        <w:overflowPunct/>
        <w:topLinePunct w:val="0"/>
        <w:autoSpaceDE/>
        <w:autoSpaceDN/>
        <w:bidi w:val="0"/>
        <w:adjustRightInd/>
        <w:snapToGrid/>
        <w:spacing w:beforeAutospacing="0" w:after="0" w:afterAutospacing="0" w:line="560" w:lineRule="exact"/>
        <w:ind w:left="0" w:leftChars="0" w:firstLine="640" w:firstLineChars="200"/>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eastAsia" w:ascii="Times New Roman" w:hAnsi="Times New Roman" w:eastAsia="仿宋_GB2312" w:cs="Times New Roman"/>
          <w:i w:val="0"/>
          <w:iCs w:val="0"/>
          <w:caps w:val="0"/>
          <w:color w:val="000000"/>
          <w:spacing w:val="0"/>
          <w:sz w:val="32"/>
          <w:szCs w:val="32"/>
          <w:shd w:val="clear" w:fill="FFFFFF"/>
          <w:lang w:val="en-US" w:eastAsia="zh-CN"/>
        </w:rPr>
        <w:t>二是</w:t>
      </w:r>
      <w:r>
        <w:rPr>
          <w:rFonts w:hint="eastAsia" w:ascii="仿宋_GB2312" w:hAnsi="仿宋_GB2312" w:eastAsia="仿宋_GB2312" w:cs="仿宋_GB2312"/>
          <w:color w:val="auto"/>
          <w:kern w:val="2"/>
          <w:sz w:val="32"/>
          <w:szCs w:val="32"/>
          <w:lang w:val="en-US" w:eastAsia="zh-CN" w:bidi="ar-SA"/>
        </w:rPr>
        <w:t>公开要素把握上不够精细，对发生变化的政府信息没有做到及时性、准确性地公开，细节把握上存在漏洞。同时，</w:t>
      </w:r>
      <w:r>
        <w:rPr>
          <w:rFonts w:hint="default" w:ascii="Times New Roman" w:hAnsi="Times New Roman" w:eastAsia="仿宋_GB2312" w:cs="Times New Roman"/>
          <w:i w:val="0"/>
          <w:iCs w:val="0"/>
          <w:caps w:val="0"/>
          <w:color w:val="000000"/>
          <w:spacing w:val="0"/>
          <w:sz w:val="32"/>
          <w:szCs w:val="32"/>
          <w:shd w:val="clear" w:fill="FFFFFF"/>
          <w:lang w:val="en-US" w:eastAsia="zh-CN"/>
        </w:rPr>
        <w:t>公开内容多集中于基础性、程序性信息，对于决策过程、执行情况、管理数据、重点领域动态等深层次、关键性信息的公开尚不充分。</w:t>
      </w:r>
    </w:p>
    <w:p w14:paraId="4E1AD4DE">
      <w:pPr>
        <w:pStyle w:val="9"/>
        <w:keepNext w:val="0"/>
        <w:keepLines w:val="0"/>
        <w:pageBreakBefore w:val="0"/>
        <w:kinsoku/>
        <w:wordWrap/>
        <w:overflowPunct/>
        <w:topLinePunct w:val="0"/>
        <w:autoSpaceDE/>
        <w:autoSpaceDN/>
        <w:bidi w:val="0"/>
        <w:adjustRightInd/>
        <w:snapToGrid/>
        <w:spacing w:beforeAutospacing="0" w:after="0" w:afterAutospacing="0" w:line="560" w:lineRule="exact"/>
        <w:ind w:left="0" w:leftChars="0" w:firstLine="640" w:firstLineChars="200"/>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eastAsia" w:ascii="Times New Roman" w:hAnsi="Times New Roman" w:eastAsia="仿宋_GB2312" w:cs="Times New Roman"/>
          <w:i w:val="0"/>
          <w:iCs w:val="0"/>
          <w:caps w:val="0"/>
          <w:color w:val="000000"/>
          <w:spacing w:val="0"/>
          <w:sz w:val="32"/>
          <w:szCs w:val="32"/>
          <w:shd w:val="clear" w:fill="FFFFFF"/>
          <w:lang w:val="en-US" w:eastAsia="zh-CN"/>
        </w:rPr>
        <w:t>2025年，</w:t>
      </w:r>
      <w:r>
        <w:rPr>
          <w:rFonts w:hint="default" w:ascii="Times New Roman" w:hAnsi="Times New Roman" w:eastAsia="仿宋_GB2312" w:cs="Times New Roman"/>
          <w:i w:val="0"/>
          <w:iCs w:val="0"/>
          <w:caps w:val="0"/>
          <w:color w:val="000000"/>
          <w:spacing w:val="0"/>
          <w:sz w:val="32"/>
          <w:szCs w:val="32"/>
          <w:shd w:val="clear" w:fill="FFFFFF"/>
          <w:lang w:val="en-US" w:eastAsia="zh-CN"/>
        </w:rPr>
        <w:t>我们聚焦以上薄弱环节，健全长效机制，强化队伍建设，创新工作方法，持续推动信息公开工作提质增效，更好地保障公众的知情权、参与权和监督权</w:t>
      </w:r>
      <w:r>
        <w:rPr>
          <w:rFonts w:hint="eastAsia" w:ascii="Times New Roman" w:hAnsi="Times New Roman" w:eastAsia="仿宋_GB2312" w:cs="Times New Roman"/>
          <w:i w:val="0"/>
          <w:iCs w:val="0"/>
          <w:caps w:val="0"/>
          <w:color w:val="000000"/>
          <w:spacing w:val="0"/>
          <w:sz w:val="32"/>
          <w:szCs w:val="32"/>
          <w:shd w:val="clear" w:fill="FFFFFF"/>
          <w:lang w:val="en-US" w:eastAsia="zh-CN"/>
        </w:rPr>
        <w:t>。</w:t>
      </w:r>
    </w:p>
    <w:p w14:paraId="2B573B0F">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黑体" w:cs="Times New Roman"/>
          <w:color w:val="000000"/>
          <w:sz w:val="32"/>
          <w:szCs w:val="32"/>
          <w:lang w:eastAsia="zh-CN"/>
        </w:rPr>
      </w:pPr>
    </w:p>
    <w:p w14:paraId="3A660E5E">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lang w:eastAsia="zh-CN"/>
        </w:rPr>
        <w:t>六、其他需要报告的事项</w:t>
      </w:r>
    </w:p>
    <w:p w14:paraId="7F548038">
      <w:pPr>
        <w:pStyle w:val="9"/>
        <w:keepNext w:val="0"/>
        <w:keepLines w:val="0"/>
        <w:pageBreakBefore w:val="0"/>
        <w:kinsoku/>
        <w:wordWrap/>
        <w:overflowPunct/>
        <w:topLinePunct w:val="0"/>
        <w:autoSpaceDE/>
        <w:autoSpaceDN/>
        <w:bidi w:val="0"/>
        <w:adjustRightInd/>
        <w:snapToGrid/>
        <w:spacing w:beforeAutospacing="0" w:after="0" w:afterAutospacing="0" w:line="560" w:lineRule="exact"/>
        <w:ind w:left="0" w:leftChars="0" w:firstLine="640" w:firstLineChars="200"/>
        <w:textAlignment w:val="auto"/>
        <w:rPr>
          <w:rFonts w:hint="default" w:ascii="Times New Roman" w:hAnsi="Times New Roman" w:eastAsia="楷体_GB2312" w:cs="Times New Roman"/>
          <w:i w:val="0"/>
          <w:iCs w:val="0"/>
          <w:caps w:val="0"/>
          <w:color w:val="000000"/>
          <w:spacing w:val="0"/>
          <w:kern w:val="0"/>
          <w:sz w:val="32"/>
          <w:szCs w:val="32"/>
          <w:lang w:val="en-US" w:eastAsia="zh-CN" w:bidi="ar-SA"/>
        </w:rPr>
      </w:pPr>
      <w:r>
        <w:rPr>
          <w:rFonts w:hint="default" w:ascii="Times New Roman" w:hAnsi="Times New Roman" w:eastAsia="楷体_GB2312" w:cs="Times New Roman"/>
          <w:i w:val="0"/>
          <w:iCs w:val="0"/>
          <w:caps w:val="0"/>
          <w:color w:val="000000"/>
          <w:spacing w:val="0"/>
          <w:kern w:val="0"/>
          <w:sz w:val="32"/>
          <w:szCs w:val="32"/>
          <w:lang w:val="en-US" w:eastAsia="zh-CN" w:bidi="ar-SA"/>
        </w:rPr>
        <w:t>1.收费情况</w:t>
      </w:r>
    </w:p>
    <w:p w14:paraId="781213E5">
      <w:pPr>
        <w:pStyle w:val="9"/>
        <w:keepNext w:val="0"/>
        <w:keepLines w:val="0"/>
        <w:pageBreakBefore w:val="0"/>
        <w:kinsoku/>
        <w:wordWrap/>
        <w:overflowPunct/>
        <w:topLinePunct w:val="0"/>
        <w:autoSpaceDE/>
        <w:autoSpaceDN/>
        <w:bidi w:val="0"/>
        <w:adjustRightInd/>
        <w:snapToGrid/>
        <w:spacing w:beforeAutospacing="0" w:after="0" w:afterAutospacing="0" w:line="56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本年度未收取任何政府信息公开信息处理费。</w:t>
      </w:r>
    </w:p>
    <w:p w14:paraId="492F454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640" w:leftChars="0" w:right="0" w:rightChars="0"/>
        <w:textAlignment w:val="auto"/>
        <w:rPr>
          <w:rFonts w:hint="default" w:ascii="Times New Roman" w:hAnsi="Times New Roman" w:eastAsia="楷体_GB2312" w:cs="Times New Roman"/>
          <w:i w:val="0"/>
          <w:iCs w:val="0"/>
          <w:caps w:val="0"/>
          <w:color w:val="000000"/>
          <w:spacing w:val="0"/>
          <w:sz w:val="32"/>
          <w:szCs w:val="32"/>
        </w:rPr>
      </w:pPr>
      <w:r>
        <w:rPr>
          <w:rFonts w:hint="eastAsia" w:ascii="Times New Roman" w:hAnsi="Times New Roman" w:eastAsia="楷体_GB2312" w:cs="Times New Roman"/>
          <w:i w:val="0"/>
          <w:iCs w:val="0"/>
          <w:caps w:val="0"/>
          <w:color w:val="000000"/>
          <w:spacing w:val="0"/>
          <w:sz w:val="32"/>
          <w:szCs w:val="32"/>
          <w:lang w:val="en-US" w:eastAsia="zh-CN"/>
        </w:rPr>
        <w:t>2.</w:t>
      </w:r>
      <w:r>
        <w:rPr>
          <w:rFonts w:hint="default" w:ascii="Times New Roman" w:hAnsi="Times New Roman" w:eastAsia="楷体_GB2312" w:cs="Times New Roman"/>
          <w:i w:val="0"/>
          <w:iCs w:val="0"/>
          <w:caps w:val="0"/>
          <w:color w:val="000000"/>
          <w:spacing w:val="0"/>
          <w:sz w:val="32"/>
          <w:szCs w:val="32"/>
        </w:rPr>
        <w:t>提案建议办理情况</w:t>
      </w:r>
    </w:p>
    <w:p w14:paraId="65A6856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right="0" w:rightChars="0" w:firstLine="640" w:firstLineChars="200"/>
        <w:textAlignment w:val="auto"/>
        <w:rPr>
          <w:rFonts w:hint="default" w:ascii="Times New Roman" w:hAnsi="Times New Roman" w:eastAsia="仿宋_GB2312" w:cs="Times New Roman"/>
          <w:i w:val="0"/>
          <w:iCs w:val="0"/>
          <w:caps w:val="0"/>
          <w:color w:val="000000"/>
          <w:spacing w:val="0"/>
          <w:sz w:val="32"/>
          <w:szCs w:val="32"/>
          <w:lang w:eastAsia="zh-CN"/>
        </w:rPr>
      </w:pPr>
      <w:r>
        <w:rPr>
          <w:rFonts w:hint="default" w:ascii="Times New Roman" w:hAnsi="Times New Roman" w:eastAsia="仿宋_GB2312" w:cs="Times New Roman"/>
          <w:i w:val="0"/>
          <w:iCs w:val="0"/>
          <w:caps w:val="0"/>
          <w:color w:val="000000"/>
          <w:spacing w:val="0"/>
          <w:sz w:val="32"/>
          <w:szCs w:val="32"/>
          <w:lang w:eastAsia="zh-CN"/>
        </w:rPr>
        <w:t>202</w:t>
      </w:r>
      <w:r>
        <w:rPr>
          <w:rFonts w:hint="eastAsia" w:ascii="Times New Roman" w:hAnsi="Times New Roman" w:eastAsia="仿宋_GB2312" w:cs="Times New Roman"/>
          <w:i w:val="0"/>
          <w:iCs w:val="0"/>
          <w:caps w:val="0"/>
          <w:color w:val="000000"/>
          <w:spacing w:val="0"/>
          <w:sz w:val="32"/>
          <w:szCs w:val="32"/>
          <w:lang w:val="en-US" w:eastAsia="zh-CN"/>
        </w:rPr>
        <w:t>5</w:t>
      </w:r>
      <w:r>
        <w:rPr>
          <w:rFonts w:hint="default" w:ascii="Times New Roman" w:hAnsi="Times New Roman" w:eastAsia="仿宋_GB2312" w:cs="Times New Roman"/>
          <w:i w:val="0"/>
          <w:iCs w:val="0"/>
          <w:caps w:val="0"/>
          <w:color w:val="000000"/>
          <w:spacing w:val="0"/>
          <w:sz w:val="32"/>
          <w:szCs w:val="32"/>
          <w:lang w:eastAsia="zh-CN"/>
        </w:rPr>
        <w:t>年度，县交通运输局共承办县十九届人大</w:t>
      </w:r>
      <w:r>
        <w:rPr>
          <w:rFonts w:hint="eastAsia" w:ascii="Times New Roman" w:hAnsi="Times New Roman" w:eastAsia="仿宋_GB2312" w:cs="Times New Roman"/>
          <w:i w:val="0"/>
          <w:iCs w:val="0"/>
          <w:caps w:val="0"/>
          <w:color w:val="000000"/>
          <w:spacing w:val="0"/>
          <w:sz w:val="32"/>
          <w:szCs w:val="32"/>
          <w:lang w:eastAsia="zh-CN"/>
        </w:rPr>
        <w:t>四</w:t>
      </w:r>
      <w:r>
        <w:rPr>
          <w:rFonts w:hint="default" w:ascii="Times New Roman" w:hAnsi="Times New Roman" w:eastAsia="仿宋_GB2312" w:cs="Times New Roman"/>
          <w:i w:val="0"/>
          <w:iCs w:val="0"/>
          <w:caps w:val="0"/>
          <w:color w:val="000000"/>
          <w:spacing w:val="0"/>
          <w:sz w:val="32"/>
          <w:szCs w:val="32"/>
          <w:lang w:eastAsia="zh-CN"/>
        </w:rPr>
        <w:t>次会议建议</w:t>
      </w:r>
      <w:r>
        <w:rPr>
          <w:rFonts w:hint="eastAsia" w:ascii="Times New Roman" w:hAnsi="Times New Roman" w:eastAsia="仿宋_GB2312" w:cs="Times New Roman"/>
          <w:i w:val="0"/>
          <w:iCs w:val="0"/>
          <w:caps w:val="0"/>
          <w:color w:val="000000"/>
          <w:spacing w:val="0"/>
          <w:sz w:val="32"/>
          <w:szCs w:val="32"/>
          <w:lang w:val="en-US" w:eastAsia="zh-CN"/>
        </w:rPr>
        <w:t>9</w:t>
      </w:r>
      <w:r>
        <w:rPr>
          <w:rFonts w:hint="default" w:ascii="Times New Roman" w:hAnsi="Times New Roman" w:eastAsia="仿宋_GB2312" w:cs="Times New Roman"/>
          <w:i w:val="0"/>
          <w:iCs w:val="0"/>
          <w:caps w:val="0"/>
          <w:color w:val="000000"/>
          <w:spacing w:val="0"/>
          <w:sz w:val="32"/>
          <w:szCs w:val="32"/>
          <w:lang w:eastAsia="zh-CN"/>
        </w:rPr>
        <w:t>件，县第十一届政协</w:t>
      </w:r>
      <w:r>
        <w:rPr>
          <w:rFonts w:hint="eastAsia" w:ascii="Times New Roman" w:hAnsi="Times New Roman" w:eastAsia="仿宋_GB2312" w:cs="Times New Roman"/>
          <w:i w:val="0"/>
          <w:iCs w:val="0"/>
          <w:caps w:val="0"/>
          <w:color w:val="000000"/>
          <w:spacing w:val="0"/>
          <w:sz w:val="32"/>
          <w:szCs w:val="32"/>
          <w:lang w:eastAsia="zh-CN"/>
        </w:rPr>
        <w:t>四</w:t>
      </w:r>
      <w:r>
        <w:rPr>
          <w:rFonts w:hint="default" w:ascii="Times New Roman" w:hAnsi="Times New Roman" w:eastAsia="仿宋_GB2312" w:cs="Times New Roman"/>
          <w:i w:val="0"/>
          <w:iCs w:val="0"/>
          <w:caps w:val="0"/>
          <w:color w:val="000000"/>
          <w:spacing w:val="0"/>
          <w:sz w:val="32"/>
          <w:szCs w:val="32"/>
          <w:lang w:eastAsia="zh-CN"/>
        </w:rPr>
        <w:t>次会议提案建议</w:t>
      </w:r>
      <w:r>
        <w:rPr>
          <w:rFonts w:hint="eastAsia" w:ascii="Times New Roman" w:hAnsi="Times New Roman" w:eastAsia="仿宋_GB2312" w:cs="Times New Roman"/>
          <w:i w:val="0"/>
          <w:iCs w:val="0"/>
          <w:caps w:val="0"/>
          <w:color w:val="000000"/>
          <w:spacing w:val="0"/>
          <w:sz w:val="32"/>
          <w:szCs w:val="32"/>
          <w:lang w:val="en-US" w:eastAsia="zh-CN"/>
        </w:rPr>
        <w:t>3</w:t>
      </w:r>
      <w:r>
        <w:rPr>
          <w:rFonts w:hint="default" w:ascii="Times New Roman" w:hAnsi="Times New Roman" w:eastAsia="仿宋_GB2312" w:cs="Times New Roman"/>
          <w:i w:val="0"/>
          <w:iCs w:val="0"/>
          <w:caps w:val="0"/>
          <w:color w:val="000000"/>
          <w:spacing w:val="0"/>
          <w:sz w:val="32"/>
          <w:szCs w:val="32"/>
          <w:lang w:eastAsia="zh-CN"/>
        </w:rPr>
        <w:t>件，现已全部承办完成。</w:t>
      </w:r>
    </w:p>
    <w:p w14:paraId="7E86C87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640" w:leftChars="0" w:right="0" w:rightChars="0"/>
        <w:textAlignment w:val="auto"/>
        <w:rPr>
          <w:rFonts w:hint="default" w:ascii="Times New Roman" w:hAnsi="Times New Roman" w:eastAsia="楷体_GB2312" w:cs="Times New Roman"/>
          <w:i w:val="0"/>
          <w:iCs w:val="0"/>
          <w:caps w:val="0"/>
          <w:color w:val="000000"/>
          <w:spacing w:val="0"/>
          <w:sz w:val="32"/>
          <w:szCs w:val="32"/>
          <w:lang w:eastAsia="zh-CN"/>
        </w:rPr>
      </w:pPr>
      <w:r>
        <w:rPr>
          <w:rFonts w:hint="eastAsia" w:ascii="Times New Roman" w:hAnsi="Times New Roman" w:eastAsia="楷体_GB2312" w:cs="Times New Roman"/>
          <w:i w:val="0"/>
          <w:iCs w:val="0"/>
          <w:caps w:val="0"/>
          <w:color w:val="000000"/>
          <w:spacing w:val="0"/>
          <w:sz w:val="32"/>
          <w:szCs w:val="32"/>
          <w:lang w:val="en-US" w:eastAsia="zh-CN"/>
        </w:rPr>
        <w:t>3.</w:t>
      </w:r>
      <w:r>
        <w:rPr>
          <w:rFonts w:hint="default" w:ascii="Times New Roman" w:hAnsi="Times New Roman" w:eastAsia="楷体_GB2312" w:cs="Times New Roman"/>
          <w:i w:val="0"/>
          <w:iCs w:val="0"/>
          <w:caps w:val="0"/>
          <w:color w:val="000000"/>
          <w:spacing w:val="0"/>
          <w:sz w:val="32"/>
          <w:szCs w:val="32"/>
          <w:lang w:eastAsia="zh-CN"/>
        </w:rPr>
        <w:t>政务公开方面的创新实践情况</w:t>
      </w:r>
    </w:p>
    <w:p w14:paraId="50AF8816">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right="0" w:rightChars="0" w:firstLine="640" w:firstLineChars="200"/>
        <w:textAlignment w:val="auto"/>
        <w:rPr>
          <w:rFonts w:hint="default" w:ascii="Times New Roman" w:hAnsi="Times New Roman" w:eastAsia="仿宋_GB2312" w:cs="Times New Roman"/>
          <w:i w:val="0"/>
          <w:iCs w:val="0"/>
          <w:caps w:val="0"/>
          <w:color w:val="000000"/>
          <w:spacing w:val="0"/>
          <w:sz w:val="32"/>
          <w:szCs w:val="32"/>
          <w:lang w:eastAsia="zh-CN"/>
        </w:rPr>
      </w:pPr>
      <w:r>
        <w:rPr>
          <w:rFonts w:hint="eastAsia" w:ascii="Times New Roman" w:hAnsi="Times New Roman" w:eastAsia="仿宋_GB2312" w:cs="Times New Roman"/>
          <w:i w:val="0"/>
          <w:iCs w:val="0"/>
          <w:caps w:val="0"/>
          <w:color w:val="000000"/>
          <w:spacing w:val="0"/>
          <w:sz w:val="32"/>
          <w:szCs w:val="32"/>
          <w:lang w:val="en-US" w:eastAsia="zh-CN"/>
        </w:rPr>
        <w:t>搭建依申请公开答复“连心桥”，组织学习</w:t>
      </w:r>
      <w:r>
        <w:rPr>
          <w:rFonts w:hint="eastAsia" w:ascii="仿宋_GB2312" w:hAnsi="仿宋_GB2312" w:eastAsia="仿宋_GB2312" w:cs="仿宋_GB2312"/>
          <w:b w:val="0"/>
          <w:bCs w:val="0"/>
          <w:color w:val="auto"/>
          <w:sz w:val="32"/>
          <w:szCs w:val="32"/>
          <w:lang w:val="en-US" w:eastAsia="zh-CN"/>
        </w:rPr>
        <w:t>依申请公开优秀案例，</w:t>
      </w:r>
      <w:r>
        <w:rPr>
          <w:rFonts w:hint="default" w:ascii="Times New Roman" w:hAnsi="Times New Roman" w:eastAsia="仿宋_GB2312" w:cs="Times New Roman"/>
          <w:color w:val="auto"/>
          <w:kern w:val="2"/>
          <w:sz w:val="32"/>
          <w:szCs w:val="32"/>
          <w:lang w:val="en-US" w:eastAsia="zh-CN" w:bidi="ar-SA"/>
        </w:rPr>
        <w:t>常态化组织开展专题培训，及时掌握政策要求与标准规范，持续提升政府信息依申请公开答复工作的制度化、标准化水平，</w:t>
      </w:r>
      <w:r>
        <w:rPr>
          <w:rFonts w:hint="eastAsia" w:ascii="仿宋_GB2312" w:hAnsi="仿宋_GB2312" w:eastAsia="仿宋_GB2312" w:cs="仿宋_GB2312"/>
          <w:b w:val="0"/>
          <w:bCs w:val="0"/>
          <w:color w:val="auto"/>
          <w:sz w:val="32"/>
          <w:szCs w:val="32"/>
          <w:lang w:val="en-US" w:eastAsia="zh-CN"/>
        </w:rPr>
        <w:t>充分确保群众的合理诉求能得到有效解决</w:t>
      </w:r>
      <w:r>
        <w:rPr>
          <w:rFonts w:hint="default" w:ascii="Times New Roman" w:hAnsi="Times New Roman" w:eastAsia="仿宋_GB2312" w:cs="Times New Roman"/>
          <w:i w:val="0"/>
          <w:iCs w:val="0"/>
          <w:caps w:val="0"/>
          <w:color w:val="000000"/>
          <w:spacing w:val="0"/>
          <w:sz w:val="32"/>
          <w:szCs w:val="32"/>
          <w:lang w:eastAsia="zh-CN"/>
        </w:rPr>
        <w:t>。</w:t>
      </w:r>
    </w:p>
    <w:p w14:paraId="1380D2C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640" w:leftChars="0" w:right="0" w:rightChars="0"/>
        <w:textAlignment w:val="auto"/>
        <w:rPr>
          <w:rFonts w:hint="default" w:ascii="Times New Roman" w:hAnsi="Times New Roman" w:eastAsia="楷体_GB2312" w:cs="Times New Roman"/>
          <w:i w:val="0"/>
          <w:iCs w:val="0"/>
          <w:caps w:val="0"/>
          <w:color w:val="000000"/>
          <w:spacing w:val="0"/>
          <w:sz w:val="32"/>
          <w:szCs w:val="32"/>
        </w:rPr>
      </w:pPr>
      <w:r>
        <w:rPr>
          <w:rFonts w:hint="eastAsia" w:ascii="Times New Roman" w:hAnsi="Times New Roman" w:eastAsia="楷体_GB2312" w:cs="Times New Roman"/>
          <w:i w:val="0"/>
          <w:iCs w:val="0"/>
          <w:caps w:val="0"/>
          <w:color w:val="000000"/>
          <w:spacing w:val="0"/>
          <w:sz w:val="32"/>
          <w:szCs w:val="32"/>
          <w:lang w:val="en-US" w:eastAsia="zh-CN"/>
        </w:rPr>
        <w:t>4.</w:t>
      </w:r>
      <w:r>
        <w:rPr>
          <w:rFonts w:hint="default" w:ascii="Times New Roman" w:hAnsi="Times New Roman" w:eastAsia="楷体_GB2312" w:cs="Times New Roman"/>
          <w:i w:val="0"/>
          <w:iCs w:val="0"/>
          <w:caps w:val="0"/>
          <w:color w:val="000000"/>
          <w:spacing w:val="0"/>
          <w:sz w:val="32"/>
          <w:szCs w:val="32"/>
          <w:lang w:eastAsia="zh-CN"/>
        </w:rPr>
        <w:t>政务公开</w:t>
      </w:r>
      <w:r>
        <w:rPr>
          <w:rFonts w:hint="default" w:ascii="Times New Roman" w:hAnsi="Times New Roman" w:eastAsia="楷体_GB2312" w:cs="Times New Roman"/>
          <w:i w:val="0"/>
          <w:iCs w:val="0"/>
          <w:caps w:val="0"/>
          <w:color w:val="000000"/>
          <w:spacing w:val="0"/>
          <w:sz w:val="32"/>
          <w:szCs w:val="32"/>
        </w:rPr>
        <w:t>工作</w:t>
      </w:r>
      <w:r>
        <w:rPr>
          <w:rFonts w:hint="default" w:ascii="Times New Roman" w:hAnsi="Times New Roman" w:eastAsia="楷体_GB2312" w:cs="Times New Roman"/>
          <w:i w:val="0"/>
          <w:iCs w:val="0"/>
          <w:caps w:val="0"/>
          <w:color w:val="000000"/>
          <w:spacing w:val="0"/>
          <w:sz w:val="32"/>
          <w:szCs w:val="32"/>
          <w:lang w:eastAsia="zh-CN"/>
        </w:rPr>
        <w:t>落实</w:t>
      </w:r>
      <w:r>
        <w:rPr>
          <w:rFonts w:hint="default" w:ascii="Times New Roman" w:hAnsi="Times New Roman" w:eastAsia="楷体_GB2312" w:cs="Times New Roman"/>
          <w:i w:val="0"/>
          <w:iCs w:val="0"/>
          <w:caps w:val="0"/>
          <w:color w:val="000000"/>
          <w:spacing w:val="0"/>
          <w:sz w:val="32"/>
          <w:szCs w:val="32"/>
        </w:rPr>
        <w:t>情况</w:t>
      </w:r>
    </w:p>
    <w:p w14:paraId="4D64F47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right="0" w:rightChars="0" w:firstLine="640" w:firstLineChars="200"/>
        <w:textAlignment w:val="auto"/>
        <w:rPr>
          <w:rFonts w:hint="eastAsia" w:ascii="Times New Roman" w:hAnsi="Times New Roman" w:eastAsia="仿宋_GB2312" w:cs="Times New Roman"/>
          <w:i w:val="0"/>
          <w:iCs w:val="0"/>
          <w:caps w:val="0"/>
          <w:color w:val="000000"/>
          <w:spacing w:val="0"/>
          <w:sz w:val="32"/>
          <w:szCs w:val="32"/>
          <w:shd w:val="clear" w:fill="FFFFFF"/>
          <w:lang w:eastAsia="zh-CN"/>
        </w:rPr>
      </w:pPr>
      <w:r>
        <w:rPr>
          <w:rFonts w:hint="default" w:ascii="Times New Roman" w:hAnsi="Times New Roman" w:eastAsia="仿宋_GB2312" w:cs="Times New Roman"/>
          <w:i w:val="0"/>
          <w:iCs w:val="0"/>
          <w:caps w:val="0"/>
          <w:color w:val="000000"/>
          <w:spacing w:val="0"/>
          <w:sz w:val="32"/>
          <w:szCs w:val="32"/>
          <w:shd w:val="clear" w:fill="FFFFFF"/>
        </w:rPr>
        <w:t>认真贯彻落实《</w:t>
      </w:r>
      <w:r>
        <w:rPr>
          <w:rFonts w:hint="default" w:ascii="Times New Roman" w:hAnsi="Times New Roman" w:eastAsia="宋体" w:cs="Times New Roman"/>
          <w:i w:val="0"/>
          <w:iCs w:val="0"/>
          <w:caps w:val="0"/>
          <w:color w:val="000000"/>
          <w:spacing w:val="0"/>
          <w:sz w:val="32"/>
          <w:szCs w:val="32"/>
          <w:shd w:val="clear" w:fill="FFFFFF"/>
        </w:rPr>
        <w:t>202</w:t>
      </w:r>
      <w:r>
        <w:rPr>
          <w:rFonts w:hint="eastAsia" w:ascii="Times New Roman" w:hAnsi="Times New Roman" w:eastAsia="宋体" w:cs="Times New Roman"/>
          <w:i w:val="0"/>
          <w:iCs w:val="0"/>
          <w:caps w:val="0"/>
          <w:color w:val="000000"/>
          <w:spacing w:val="0"/>
          <w:sz w:val="32"/>
          <w:szCs w:val="32"/>
          <w:shd w:val="clear" w:fill="FFFFFF"/>
          <w:lang w:val="en-US" w:eastAsia="zh-CN"/>
        </w:rPr>
        <w:t>5</w:t>
      </w:r>
      <w:r>
        <w:rPr>
          <w:rFonts w:hint="default" w:ascii="Times New Roman" w:hAnsi="Times New Roman" w:eastAsia="仿宋_GB2312" w:cs="Times New Roman"/>
          <w:i w:val="0"/>
          <w:iCs w:val="0"/>
          <w:caps w:val="0"/>
          <w:color w:val="000000"/>
          <w:spacing w:val="0"/>
          <w:sz w:val="32"/>
          <w:szCs w:val="32"/>
          <w:shd w:val="clear" w:fill="FFFFFF"/>
        </w:rPr>
        <w:t>年沂源县政务公开</w:t>
      </w:r>
      <w:r>
        <w:rPr>
          <w:rFonts w:hint="eastAsia" w:ascii="Times New Roman" w:hAnsi="Times New Roman" w:eastAsia="仿宋_GB2312" w:cs="Times New Roman"/>
          <w:i w:val="0"/>
          <w:iCs w:val="0"/>
          <w:caps w:val="0"/>
          <w:color w:val="000000"/>
          <w:spacing w:val="0"/>
          <w:sz w:val="32"/>
          <w:szCs w:val="32"/>
          <w:shd w:val="clear" w:fill="FFFFFF"/>
          <w:lang w:eastAsia="zh-CN"/>
        </w:rPr>
        <w:t>重点工作任务</w:t>
      </w:r>
      <w:r>
        <w:rPr>
          <w:rFonts w:hint="default" w:ascii="Times New Roman" w:hAnsi="Times New Roman" w:eastAsia="仿宋_GB2312" w:cs="Times New Roman"/>
          <w:i w:val="0"/>
          <w:iCs w:val="0"/>
          <w:caps w:val="0"/>
          <w:color w:val="000000"/>
          <w:spacing w:val="0"/>
          <w:sz w:val="32"/>
          <w:szCs w:val="32"/>
          <w:shd w:val="clear" w:fill="FFFFFF"/>
        </w:rPr>
        <w:t>》，重点围绕统筹规范政务公开专区建设</w:t>
      </w:r>
      <w:r>
        <w:rPr>
          <w:rFonts w:hint="eastAsia" w:ascii="Times New Roman" w:hAnsi="Times New Roman" w:eastAsia="仿宋_GB2312" w:cs="Times New Roman"/>
          <w:i w:val="0"/>
          <w:iCs w:val="0"/>
          <w:caps w:val="0"/>
          <w:color w:val="000000"/>
          <w:spacing w:val="0"/>
          <w:sz w:val="32"/>
          <w:szCs w:val="32"/>
          <w:shd w:val="clear" w:fill="FFFFFF"/>
          <w:lang w:eastAsia="zh-CN"/>
        </w:rPr>
        <w:t>、以高质量公开强化监督管理等工作任务，动态更新相关领域专题专栏相关信息，</w:t>
      </w:r>
      <w:r>
        <w:rPr>
          <w:rFonts w:hint="default" w:ascii="Times New Roman" w:hAnsi="Times New Roman" w:eastAsia="仿宋_GB2312" w:cs="Times New Roman"/>
          <w:i w:val="0"/>
          <w:iCs w:val="0"/>
          <w:caps w:val="0"/>
          <w:color w:val="000000"/>
          <w:spacing w:val="0"/>
          <w:sz w:val="32"/>
          <w:szCs w:val="32"/>
          <w:shd w:val="clear" w:fill="FFFFFF"/>
        </w:rPr>
        <w:t>推动全县</w:t>
      </w:r>
      <w:r>
        <w:rPr>
          <w:rFonts w:hint="eastAsia" w:ascii="Times New Roman" w:hAnsi="Times New Roman" w:eastAsia="仿宋_GB2312" w:cs="Times New Roman"/>
          <w:i w:val="0"/>
          <w:iCs w:val="0"/>
          <w:caps w:val="0"/>
          <w:color w:val="000000"/>
          <w:spacing w:val="0"/>
          <w:sz w:val="32"/>
          <w:szCs w:val="32"/>
          <w:shd w:val="clear" w:fill="FFFFFF"/>
          <w:lang w:eastAsia="zh-CN"/>
        </w:rPr>
        <w:t>交通运输</w:t>
      </w:r>
      <w:r>
        <w:rPr>
          <w:rFonts w:hint="default" w:ascii="Times New Roman" w:hAnsi="Times New Roman" w:eastAsia="仿宋_GB2312" w:cs="Times New Roman"/>
          <w:i w:val="0"/>
          <w:iCs w:val="0"/>
          <w:caps w:val="0"/>
          <w:color w:val="000000"/>
          <w:spacing w:val="0"/>
          <w:sz w:val="32"/>
          <w:szCs w:val="32"/>
          <w:shd w:val="clear" w:fill="FFFFFF"/>
        </w:rPr>
        <w:t>领域政务公开工作提质增效</w:t>
      </w:r>
      <w:r>
        <w:rPr>
          <w:rFonts w:hint="eastAsia" w:ascii="Times New Roman" w:hAnsi="Times New Roman" w:eastAsia="仿宋_GB2312" w:cs="Times New Roman"/>
          <w:i w:val="0"/>
          <w:iCs w:val="0"/>
          <w:caps w:val="0"/>
          <w:color w:val="000000"/>
          <w:spacing w:val="0"/>
          <w:sz w:val="32"/>
          <w:szCs w:val="32"/>
          <w:shd w:val="clear" w:fill="FFFFFF"/>
          <w:lang w:eastAsia="zh-CN"/>
        </w:rPr>
        <w:t>。</w:t>
      </w:r>
    </w:p>
    <w:p w14:paraId="2E537D49">
      <w:pPr>
        <w:pStyle w:val="9"/>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p>
    <w:p w14:paraId="3DAADA73">
      <w:pPr>
        <w:pStyle w:val="9"/>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p>
    <w:p w14:paraId="47CC605A">
      <w:pPr>
        <w:keepNext w:val="0"/>
        <w:keepLines w:val="0"/>
        <w:pageBreakBefore w:val="0"/>
        <w:kinsoku/>
        <w:wordWrap w:val="0"/>
        <w:overflowPunct/>
        <w:topLinePunct w:val="0"/>
        <w:autoSpaceDE/>
        <w:autoSpaceDN/>
        <w:bidi w:val="0"/>
        <w:adjustRightInd/>
        <w:snapToGrid/>
        <w:spacing w:line="560" w:lineRule="exact"/>
        <w:ind w:firstLine="420" w:firstLineChars="200"/>
        <w:jc w:val="right"/>
        <w:textAlignment w:val="auto"/>
        <w:rPr>
          <w:rFonts w:hint="default" w:ascii="Times New Roman" w:hAnsi="Times New Roman" w:cs="Times New Roman"/>
        </w:rPr>
      </w:pPr>
    </w:p>
    <w:sectPr>
      <w:footerReference r:id="rId3" w:type="default"/>
      <w:pgSz w:w="11906" w:h="16838"/>
      <w:pgMar w:top="1984" w:right="1474"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F321903-6E43-4383-8B07-D507DE92D4D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D8D6D86-69EC-4E72-8D70-726D7C3BF9D4}"/>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7FD93366-831D-47C2-A475-A7C47424ED13}"/>
  </w:font>
  <w:font w:name="楷体_GB2312">
    <w:panose1 w:val="02010609030101010101"/>
    <w:charset w:val="86"/>
    <w:family w:val="auto"/>
    <w:pitch w:val="default"/>
    <w:sig w:usb0="00000001" w:usb1="080E0000" w:usb2="00000000" w:usb3="00000000" w:csb0="00040000" w:csb1="00000000"/>
    <w:embedRegular r:id="rId4" w:fontKey="{4CEC143A-0D2D-4A2E-B065-D0B337F91737}"/>
  </w:font>
  <w:font w:name="楷体">
    <w:panose1 w:val="02010609060101010101"/>
    <w:charset w:val="86"/>
    <w:family w:val="auto"/>
    <w:pitch w:val="default"/>
    <w:sig w:usb0="800002BF" w:usb1="38CF7CFA" w:usb2="00000016" w:usb3="00000000" w:csb0="00040001" w:csb1="00000000"/>
    <w:embedRegular r:id="rId5" w:fontKey="{796BBBB5-9976-4FD2-8950-FA1C5BFB421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8F3A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F17FF3">
                          <w:pPr>
                            <w:pStyle w:val="6"/>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F17FF3">
                    <w:pPr>
                      <w:pStyle w:val="6"/>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3NGRjMWExZWVjMWNmZDBkZWFhMDJkMGFiNmRiNDIifQ=="/>
  </w:docVars>
  <w:rsids>
    <w:rsidRoot w:val="20AB1F09"/>
    <w:rsid w:val="002E6413"/>
    <w:rsid w:val="00975D66"/>
    <w:rsid w:val="009A7605"/>
    <w:rsid w:val="01176EA7"/>
    <w:rsid w:val="014D4677"/>
    <w:rsid w:val="01A97CEF"/>
    <w:rsid w:val="02385327"/>
    <w:rsid w:val="02A12ECC"/>
    <w:rsid w:val="02C46BBB"/>
    <w:rsid w:val="035E0DBD"/>
    <w:rsid w:val="03B46C2F"/>
    <w:rsid w:val="03B629A7"/>
    <w:rsid w:val="03CE5F43"/>
    <w:rsid w:val="03DB0660"/>
    <w:rsid w:val="04706FFA"/>
    <w:rsid w:val="04A90E4C"/>
    <w:rsid w:val="061D6D0E"/>
    <w:rsid w:val="06231E4A"/>
    <w:rsid w:val="063D2F0C"/>
    <w:rsid w:val="06CE0008"/>
    <w:rsid w:val="06D05B2E"/>
    <w:rsid w:val="073562D9"/>
    <w:rsid w:val="074A3B33"/>
    <w:rsid w:val="075B5D40"/>
    <w:rsid w:val="07837045"/>
    <w:rsid w:val="07B436A2"/>
    <w:rsid w:val="07D57174"/>
    <w:rsid w:val="07E31891"/>
    <w:rsid w:val="084C166F"/>
    <w:rsid w:val="08732C15"/>
    <w:rsid w:val="08A94889"/>
    <w:rsid w:val="08C276F9"/>
    <w:rsid w:val="08CB0CA3"/>
    <w:rsid w:val="08D631A4"/>
    <w:rsid w:val="08E73603"/>
    <w:rsid w:val="092E4D8E"/>
    <w:rsid w:val="09385C0D"/>
    <w:rsid w:val="095A135D"/>
    <w:rsid w:val="09CB4CD3"/>
    <w:rsid w:val="0A20501F"/>
    <w:rsid w:val="0A786C09"/>
    <w:rsid w:val="0A825391"/>
    <w:rsid w:val="0B666A61"/>
    <w:rsid w:val="0BA457DB"/>
    <w:rsid w:val="0C0544CC"/>
    <w:rsid w:val="0C9E2226"/>
    <w:rsid w:val="0CAE6912"/>
    <w:rsid w:val="0D75742F"/>
    <w:rsid w:val="0DA970D9"/>
    <w:rsid w:val="0DAE2941"/>
    <w:rsid w:val="0DC161D1"/>
    <w:rsid w:val="0DC932D7"/>
    <w:rsid w:val="0E016F15"/>
    <w:rsid w:val="0E2844A2"/>
    <w:rsid w:val="0E2D7D0A"/>
    <w:rsid w:val="0E3E5A73"/>
    <w:rsid w:val="0E8D2557"/>
    <w:rsid w:val="0E9B1C00"/>
    <w:rsid w:val="0E9C279A"/>
    <w:rsid w:val="0EC35F79"/>
    <w:rsid w:val="0ED168E7"/>
    <w:rsid w:val="10125409"/>
    <w:rsid w:val="10282537"/>
    <w:rsid w:val="105C48D7"/>
    <w:rsid w:val="105E23FD"/>
    <w:rsid w:val="10817E99"/>
    <w:rsid w:val="114535BD"/>
    <w:rsid w:val="118539B9"/>
    <w:rsid w:val="11BF336F"/>
    <w:rsid w:val="121C256F"/>
    <w:rsid w:val="127B54E8"/>
    <w:rsid w:val="128529DE"/>
    <w:rsid w:val="12AF5192"/>
    <w:rsid w:val="12C50511"/>
    <w:rsid w:val="12E017EF"/>
    <w:rsid w:val="136F647B"/>
    <w:rsid w:val="13871C6A"/>
    <w:rsid w:val="139D148E"/>
    <w:rsid w:val="13FA243C"/>
    <w:rsid w:val="145E0C1D"/>
    <w:rsid w:val="148443FC"/>
    <w:rsid w:val="14A14FAE"/>
    <w:rsid w:val="14B24AC5"/>
    <w:rsid w:val="14BB1888"/>
    <w:rsid w:val="15314406"/>
    <w:rsid w:val="158A77F0"/>
    <w:rsid w:val="15D1541F"/>
    <w:rsid w:val="15D60C87"/>
    <w:rsid w:val="15D649A0"/>
    <w:rsid w:val="15E213DA"/>
    <w:rsid w:val="16005D04"/>
    <w:rsid w:val="16AB5C70"/>
    <w:rsid w:val="16AE5760"/>
    <w:rsid w:val="16FE0496"/>
    <w:rsid w:val="1711641B"/>
    <w:rsid w:val="172D48D7"/>
    <w:rsid w:val="175B7696"/>
    <w:rsid w:val="17797B1C"/>
    <w:rsid w:val="1796126E"/>
    <w:rsid w:val="17B1375A"/>
    <w:rsid w:val="17DF2075"/>
    <w:rsid w:val="17EB6C6C"/>
    <w:rsid w:val="18602A8A"/>
    <w:rsid w:val="18A1732B"/>
    <w:rsid w:val="1921145F"/>
    <w:rsid w:val="19371A3D"/>
    <w:rsid w:val="1941466A"/>
    <w:rsid w:val="194B373A"/>
    <w:rsid w:val="19E971DB"/>
    <w:rsid w:val="1A8C400A"/>
    <w:rsid w:val="1B4346C9"/>
    <w:rsid w:val="1B674385"/>
    <w:rsid w:val="1B950C9D"/>
    <w:rsid w:val="1BA3160C"/>
    <w:rsid w:val="1BC42112"/>
    <w:rsid w:val="1C474D86"/>
    <w:rsid w:val="1CAA0778"/>
    <w:rsid w:val="1CDD6D9F"/>
    <w:rsid w:val="1D440BCC"/>
    <w:rsid w:val="1DAA4ED3"/>
    <w:rsid w:val="1DCF493A"/>
    <w:rsid w:val="1DF20628"/>
    <w:rsid w:val="1E1862E1"/>
    <w:rsid w:val="1E5170FD"/>
    <w:rsid w:val="1F0423C1"/>
    <w:rsid w:val="1F3507CD"/>
    <w:rsid w:val="1F5A46D7"/>
    <w:rsid w:val="1F66307C"/>
    <w:rsid w:val="20104D96"/>
    <w:rsid w:val="20AB1F09"/>
    <w:rsid w:val="21B87493"/>
    <w:rsid w:val="22031056"/>
    <w:rsid w:val="229677D4"/>
    <w:rsid w:val="22B440FE"/>
    <w:rsid w:val="22CC769A"/>
    <w:rsid w:val="233314C7"/>
    <w:rsid w:val="23571659"/>
    <w:rsid w:val="23733FB9"/>
    <w:rsid w:val="23BF5576"/>
    <w:rsid w:val="23C95987"/>
    <w:rsid w:val="249B5576"/>
    <w:rsid w:val="24BB1774"/>
    <w:rsid w:val="2500187D"/>
    <w:rsid w:val="25AB7A3A"/>
    <w:rsid w:val="25BF7042"/>
    <w:rsid w:val="25C66622"/>
    <w:rsid w:val="25D02FFD"/>
    <w:rsid w:val="2610789E"/>
    <w:rsid w:val="26321F0A"/>
    <w:rsid w:val="26451C3D"/>
    <w:rsid w:val="26526108"/>
    <w:rsid w:val="26633E71"/>
    <w:rsid w:val="26C863CA"/>
    <w:rsid w:val="26F96584"/>
    <w:rsid w:val="270311B0"/>
    <w:rsid w:val="27225ADA"/>
    <w:rsid w:val="273852FE"/>
    <w:rsid w:val="273B3040"/>
    <w:rsid w:val="274C0DA9"/>
    <w:rsid w:val="275B2D9A"/>
    <w:rsid w:val="27982240"/>
    <w:rsid w:val="27C748D4"/>
    <w:rsid w:val="27EB05C2"/>
    <w:rsid w:val="28302479"/>
    <w:rsid w:val="2849353B"/>
    <w:rsid w:val="288D78CB"/>
    <w:rsid w:val="289B1FE8"/>
    <w:rsid w:val="28D23530"/>
    <w:rsid w:val="28EA087A"/>
    <w:rsid w:val="2940493E"/>
    <w:rsid w:val="295B3526"/>
    <w:rsid w:val="296A19BB"/>
    <w:rsid w:val="2ABD05A7"/>
    <w:rsid w:val="2AC05D36"/>
    <w:rsid w:val="2B0379D1"/>
    <w:rsid w:val="2B2E1314"/>
    <w:rsid w:val="2B3E30FF"/>
    <w:rsid w:val="2B65243A"/>
    <w:rsid w:val="2B8A00F2"/>
    <w:rsid w:val="2B98280F"/>
    <w:rsid w:val="2BE710A1"/>
    <w:rsid w:val="2CDF446E"/>
    <w:rsid w:val="2D0839C4"/>
    <w:rsid w:val="2D1B54A6"/>
    <w:rsid w:val="2D2F71A3"/>
    <w:rsid w:val="2D88240F"/>
    <w:rsid w:val="2E84707B"/>
    <w:rsid w:val="2E933762"/>
    <w:rsid w:val="2FAF1ED5"/>
    <w:rsid w:val="2FB76FDC"/>
    <w:rsid w:val="303B5E5F"/>
    <w:rsid w:val="304C1E1A"/>
    <w:rsid w:val="30E958BB"/>
    <w:rsid w:val="310D3357"/>
    <w:rsid w:val="312E32CE"/>
    <w:rsid w:val="314825E1"/>
    <w:rsid w:val="31540F86"/>
    <w:rsid w:val="32026C34"/>
    <w:rsid w:val="321D581C"/>
    <w:rsid w:val="32236BAB"/>
    <w:rsid w:val="3227669B"/>
    <w:rsid w:val="323F1C36"/>
    <w:rsid w:val="324A05DB"/>
    <w:rsid w:val="32D103B5"/>
    <w:rsid w:val="335A65FC"/>
    <w:rsid w:val="33751688"/>
    <w:rsid w:val="33A75E0B"/>
    <w:rsid w:val="33BB353F"/>
    <w:rsid w:val="33D94143"/>
    <w:rsid w:val="33DA14EB"/>
    <w:rsid w:val="345D45F6"/>
    <w:rsid w:val="34655258"/>
    <w:rsid w:val="34C06933"/>
    <w:rsid w:val="356674DA"/>
    <w:rsid w:val="35944047"/>
    <w:rsid w:val="3598340C"/>
    <w:rsid w:val="35B069A7"/>
    <w:rsid w:val="35D501BC"/>
    <w:rsid w:val="36105698"/>
    <w:rsid w:val="365657A0"/>
    <w:rsid w:val="369167D9"/>
    <w:rsid w:val="36C50230"/>
    <w:rsid w:val="36CA1CEB"/>
    <w:rsid w:val="36EC1C61"/>
    <w:rsid w:val="36EF52AD"/>
    <w:rsid w:val="37070849"/>
    <w:rsid w:val="371A4A20"/>
    <w:rsid w:val="37737C8C"/>
    <w:rsid w:val="37781747"/>
    <w:rsid w:val="37BF7375"/>
    <w:rsid w:val="381C6576"/>
    <w:rsid w:val="38341B11"/>
    <w:rsid w:val="390C2146"/>
    <w:rsid w:val="39445D84"/>
    <w:rsid w:val="39785A2E"/>
    <w:rsid w:val="3A085004"/>
    <w:rsid w:val="3A775CE5"/>
    <w:rsid w:val="3A8D5509"/>
    <w:rsid w:val="3B762441"/>
    <w:rsid w:val="3C223B0C"/>
    <w:rsid w:val="3C2B4FD9"/>
    <w:rsid w:val="3CCD770B"/>
    <w:rsid w:val="3D3659E4"/>
    <w:rsid w:val="3D4D2D2E"/>
    <w:rsid w:val="3D670293"/>
    <w:rsid w:val="3D7B5AED"/>
    <w:rsid w:val="3DA908AC"/>
    <w:rsid w:val="3E2919ED"/>
    <w:rsid w:val="3E4632E8"/>
    <w:rsid w:val="3EAB41B0"/>
    <w:rsid w:val="3F010273"/>
    <w:rsid w:val="3F400D9C"/>
    <w:rsid w:val="3F7B6278"/>
    <w:rsid w:val="3F954DC1"/>
    <w:rsid w:val="3FBF43B6"/>
    <w:rsid w:val="3FC27A03"/>
    <w:rsid w:val="404448BC"/>
    <w:rsid w:val="40B57568"/>
    <w:rsid w:val="41171FD0"/>
    <w:rsid w:val="41676AB4"/>
    <w:rsid w:val="41C2018E"/>
    <w:rsid w:val="41D1217F"/>
    <w:rsid w:val="423A5F76"/>
    <w:rsid w:val="426E79CE"/>
    <w:rsid w:val="427B20EB"/>
    <w:rsid w:val="42894808"/>
    <w:rsid w:val="429D6505"/>
    <w:rsid w:val="42FF4ACA"/>
    <w:rsid w:val="430A3B9B"/>
    <w:rsid w:val="433C7ACC"/>
    <w:rsid w:val="435C1F1C"/>
    <w:rsid w:val="436460D6"/>
    <w:rsid w:val="43851473"/>
    <w:rsid w:val="440700DA"/>
    <w:rsid w:val="44641089"/>
    <w:rsid w:val="44692B43"/>
    <w:rsid w:val="44B33DBE"/>
    <w:rsid w:val="45156827"/>
    <w:rsid w:val="45C2075D"/>
    <w:rsid w:val="464473C4"/>
    <w:rsid w:val="46717A8D"/>
    <w:rsid w:val="46767799"/>
    <w:rsid w:val="46780E1B"/>
    <w:rsid w:val="46841EB6"/>
    <w:rsid w:val="46935C55"/>
    <w:rsid w:val="469D2F78"/>
    <w:rsid w:val="46C2478C"/>
    <w:rsid w:val="46CC1167"/>
    <w:rsid w:val="46D30747"/>
    <w:rsid w:val="46E75FA1"/>
    <w:rsid w:val="46F96400"/>
    <w:rsid w:val="477912EF"/>
    <w:rsid w:val="479B74B7"/>
    <w:rsid w:val="48FA020D"/>
    <w:rsid w:val="48FF3A76"/>
    <w:rsid w:val="49AB59AC"/>
    <w:rsid w:val="49B26D3A"/>
    <w:rsid w:val="49BE123B"/>
    <w:rsid w:val="49DE368B"/>
    <w:rsid w:val="4A1452FF"/>
    <w:rsid w:val="4A3E237C"/>
    <w:rsid w:val="4ADD1B95"/>
    <w:rsid w:val="4BA34822"/>
    <w:rsid w:val="4BC15012"/>
    <w:rsid w:val="4C285091"/>
    <w:rsid w:val="4C687B84"/>
    <w:rsid w:val="4D21045F"/>
    <w:rsid w:val="4D2407F9"/>
    <w:rsid w:val="4D6D5452"/>
    <w:rsid w:val="4D722A68"/>
    <w:rsid w:val="4E3D7F6A"/>
    <w:rsid w:val="4EF13E61"/>
    <w:rsid w:val="4F1638C7"/>
    <w:rsid w:val="4F7D74A2"/>
    <w:rsid w:val="4F8922EB"/>
    <w:rsid w:val="4FD5108C"/>
    <w:rsid w:val="4FDF63AF"/>
    <w:rsid w:val="50416722"/>
    <w:rsid w:val="505026C5"/>
    <w:rsid w:val="50502E09"/>
    <w:rsid w:val="50591CBD"/>
    <w:rsid w:val="508F3931"/>
    <w:rsid w:val="51703763"/>
    <w:rsid w:val="51A60F32"/>
    <w:rsid w:val="51EE0B2B"/>
    <w:rsid w:val="51F7178E"/>
    <w:rsid w:val="522E2CD6"/>
    <w:rsid w:val="524644C3"/>
    <w:rsid w:val="52C5363A"/>
    <w:rsid w:val="52E86357"/>
    <w:rsid w:val="53005A6E"/>
    <w:rsid w:val="535449BE"/>
    <w:rsid w:val="538C23AA"/>
    <w:rsid w:val="53C2401E"/>
    <w:rsid w:val="547370C6"/>
    <w:rsid w:val="55264138"/>
    <w:rsid w:val="555E1B24"/>
    <w:rsid w:val="55DD0C9B"/>
    <w:rsid w:val="55EC35D4"/>
    <w:rsid w:val="55F85AD5"/>
    <w:rsid w:val="56576C9F"/>
    <w:rsid w:val="56633896"/>
    <w:rsid w:val="56707D61"/>
    <w:rsid w:val="568823EB"/>
    <w:rsid w:val="568A7075"/>
    <w:rsid w:val="56AB6FEB"/>
    <w:rsid w:val="56D007FF"/>
    <w:rsid w:val="572A43B4"/>
    <w:rsid w:val="57D460CD"/>
    <w:rsid w:val="586B07E0"/>
    <w:rsid w:val="58975B15"/>
    <w:rsid w:val="59162E41"/>
    <w:rsid w:val="59BE5287"/>
    <w:rsid w:val="59BE7035"/>
    <w:rsid w:val="5B0608E3"/>
    <w:rsid w:val="5B294982"/>
    <w:rsid w:val="5B3255E5"/>
    <w:rsid w:val="5C0F3B78"/>
    <w:rsid w:val="5C3830CF"/>
    <w:rsid w:val="5C6B34A4"/>
    <w:rsid w:val="5C7B745F"/>
    <w:rsid w:val="5CAE15E3"/>
    <w:rsid w:val="5CD821BC"/>
    <w:rsid w:val="5D7A14C5"/>
    <w:rsid w:val="5DED7EE9"/>
    <w:rsid w:val="5E0D2339"/>
    <w:rsid w:val="5E0F60B1"/>
    <w:rsid w:val="5E47584B"/>
    <w:rsid w:val="5E652175"/>
    <w:rsid w:val="5E710B1A"/>
    <w:rsid w:val="5E747F09"/>
    <w:rsid w:val="5F24793A"/>
    <w:rsid w:val="5F61293D"/>
    <w:rsid w:val="5F8623A3"/>
    <w:rsid w:val="607E307A"/>
    <w:rsid w:val="60A96349"/>
    <w:rsid w:val="60D13AF2"/>
    <w:rsid w:val="60D96503"/>
    <w:rsid w:val="60EE6452"/>
    <w:rsid w:val="60FF41BB"/>
    <w:rsid w:val="61CF0031"/>
    <w:rsid w:val="622A34BA"/>
    <w:rsid w:val="62426A55"/>
    <w:rsid w:val="62EF64B1"/>
    <w:rsid w:val="632E0D88"/>
    <w:rsid w:val="63864720"/>
    <w:rsid w:val="63BD3EBA"/>
    <w:rsid w:val="63C67212"/>
    <w:rsid w:val="63E37DC4"/>
    <w:rsid w:val="63F7561D"/>
    <w:rsid w:val="63FA6EBC"/>
    <w:rsid w:val="64C9520C"/>
    <w:rsid w:val="65197815"/>
    <w:rsid w:val="651F307E"/>
    <w:rsid w:val="653603C7"/>
    <w:rsid w:val="65D11E9E"/>
    <w:rsid w:val="65D5373C"/>
    <w:rsid w:val="65F20792"/>
    <w:rsid w:val="662F5ADF"/>
    <w:rsid w:val="66DE4873"/>
    <w:rsid w:val="66F66060"/>
    <w:rsid w:val="671F55B7"/>
    <w:rsid w:val="67236729"/>
    <w:rsid w:val="67515045"/>
    <w:rsid w:val="67564D51"/>
    <w:rsid w:val="67713939"/>
    <w:rsid w:val="67CA4DF7"/>
    <w:rsid w:val="67D55C76"/>
    <w:rsid w:val="67F24A7A"/>
    <w:rsid w:val="67FA392E"/>
    <w:rsid w:val="687731D1"/>
    <w:rsid w:val="68817BAC"/>
    <w:rsid w:val="68D66149"/>
    <w:rsid w:val="68F14D31"/>
    <w:rsid w:val="69270753"/>
    <w:rsid w:val="69407A67"/>
    <w:rsid w:val="69562DE6"/>
    <w:rsid w:val="696F5C56"/>
    <w:rsid w:val="69796AD5"/>
    <w:rsid w:val="699F478D"/>
    <w:rsid w:val="6A1D1B56"/>
    <w:rsid w:val="6A325601"/>
    <w:rsid w:val="6A935974"/>
    <w:rsid w:val="6AA06A0F"/>
    <w:rsid w:val="6AA162E3"/>
    <w:rsid w:val="6AD62431"/>
    <w:rsid w:val="6AE52674"/>
    <w:rsid w:val="6B286A04"/>
    <w:rsid w:val="6BE40B7D"/>
    <w:rsid w:val="6C0C1E82"/>
    <w:rsid w:val="6CAD5413"/>
    <w:rsid w:val="6D683DB4"/>
    <w:rsid w:val="6DB85E1E"/>
    <w:rsid w:val="6DF42BCE"/>
    <w:rsid w:val="6E0E1EE1"/>
    <w:rsid w:val="6E414065"/>
    <w:rsid w:val="6E6715F2"/>
    <w:rsid w:val="6F834209"/>
    <w:rsid w:val="701E2184"/>
    <w:rsid w:val="707D334E"/>
    <w:rsid w:val="70C26FB3"/>
    <w:rsid w:val="71557E27"/>
    <w:rsid w:val="7157594D"/>
    <w:rsid w:val="71866233"/>
    <w:rsid w:val="723F6B0D"/>
    <w:rsid w:val="72477770"/>
    <w:rsid w:val="72F21DD2"/>
    <w:rsid w:val="734B3290"/>
    <w:rsid w:val="739509AF"/>
    <w:rsid w:val="73B52DFF"/>
    <w:rsid w:val="743106D8"/>
    <w:rsid w:val="74BF3F35"/>
    <w:rsid w:val="74FD4A5E"/>
    <w:rsid w:val="75E63744"/>
    <w:rsid w:val="75EB0D5A"/>
    <w:rsid w:val="76165DD7"/>
    <w:rsid w:val="762D4ECF"/>
    <w:rsid w:val="766E5C13"/>
    <w:rsid w:val="768D3BBF"/>
    <w:rsid w:val="770B16B4"/>
    <w:rsid w:val="77444BC6"/>
    <w:rsid w:val="77AB254F"/>
    <w:rsid w:val="77B43AFA"/>
    <w:rsid w:val="77C16217"/>
    <w:rsid w:val="781E71C5"/>
    <w:rsid w:val="782F3180"/>
    <w:rsid w:val="784F52B7"/>
    <w:rsid w:val="787E1A12"/>
    <w:rsid w:val="787E5EB6"/>
    <w:rsid w:val="78B11DE7"/>
    <w:rsid w:val="78DB50B6"/>
    <w:rsid w:val="78E33F6B"/>
    <w:rsid w:val="791F1447"/>
    <w:rsid w:val="793547C6"/>
    <w:rsid w:val="793842B6"/>
    <w:rsid w:val="79921C19"/>
    <w:rsid w:val="799A6D1F"/>
    <w:rsid w:val="79B55907"/>
    <w:rsid w:val="79C773E8"/>
    <w:rsid w:val="7A1B7E60"/>
    <w:rsid w:val="7A7E3F4B"/>
    <w:rsid w:val="7A8C48BA"/>
    <w:rsid w:val="7B1D7C08"/>
    <w:rsid w:val="7B3960C4"/>
    <w:rsid w:val="7B672C31"/>
    <w:rsid w:val="7CA659DB"/>
    <w:rsid w:val="7CDB5685"/>
    <w:rsid w:val="7CF77FE5"/>
    <w:rsid w:val="7D256900"/>
    <w:rsid w:val="7D4D5E56"/>
    <w:rsid w:val="7D8555F0"/>
    <w:rsid w:val="7DB303AF"/>
    <w:rsid w:val="7DD10836"/>
    <w:rsid w:val="7DEB18F7"/>
    <w:rsid w:val="7DFA5FDE"/>
    <w:rsid w:val="7E3D5ECB"/>
    <w:rsid w:val="7E5F5E41"/>
    <w:rsid w:val="7E885398"/>
    <w:rsid w:val="7E9C7095"/>
    <w:rsid w:val="7ED56104"/>
    <w:rsid w:val="7ED93E46"/>
    <w:rsid w:val="7EF90044"/>
    <w:rsid w:val="7F364DF4"/>
    <w:rsid w:val="7FAC1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unhideWhenUsed/>
    <w:qFormat/>
    <w:uiPriority w:val="99"/>
    <w:pPr>
      <w:ind w:firstLine="420" w:firstLineChars="200"/>
    </w:pPr>
  </w:style>
  <w:style w:type="paragraph" w:styleId="4">
    <w:name w:val="annotation text"/>
    <w:basedOn w:val="1"/>
    <w:autoRedefine/>
    <w:qFormat/>
    <w:uiPriority w:val="0"/>
    <w:pPr>
      <w:jc w:val="left"/>
    </w:pPr>
  </w:style>
  <w:style w:type="paragraph" w:styleId="5">
    <w:name w:val="Body Text Indent"/>
    <w:basedOn w:val="1"/>
    <w:next w:val="3"/>
    <w:autoRedefine/>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Autospacing="1" w:afterAutospacing="1"/>
      <w:jc w:val="left"/>
    </w:pPr>
    <w:rPr>
      <w:rFonts w:cs="Times New Roman"/>
      <w:kern w:val="0"/>
      <w:sz w:val="24"/>
    </w:rPr>
  </w:style>
  <w:style w:type="paragraph" w:styleId="9">
    <w:name w:val="Body Text First Indent 2"/>
    <w:basedOn w:val="5"/>
    <w:autoRedefine/>
    <w:unhideWhenUsed/>
    <w:qFormat/>
    <w:uiPriority w:val="0"/>
    <w:pPr>
      <w:ind w:firstLine="420" w:firstLineChars="200"/>
    </w:pPr>
    <w:rPr>
      <w:rFonts w:ascii="Calibri" w:hAnsi="Calibri" w:eastAsia="宋体" w:cs="Times New Roman"/>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2300</Words>
  <Characters>2407</Characters>
  <Lines>0</Lines>
  <Paragraphs>0</Paragraphs>
  <TotalTime>12</TotalTime>
  <ScaleCrop>false</ScaleCrop>
  <LinksUpToDate>false</LinksUpToDate>
  <CharactersWithSpaces>2407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2023-01-17T00:36:00Z</dcterms:created>
  <dc:creator>萌萌哒传宇</dc:creator>
  <cp:lastModifiedBy>非比晴空难以浅</cp:lastModifiedBy>
  <cp:lastPrinted>2026-01-28T01:13:24Z</cp:lastPrinted>
  <dcterms:modified xsi:type="dcterms:W3CDTF">2026-01-28T01:21:00Z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FF0F11F695BA4015BC8BB614162F289C_13</vt:lpwstr>
  </property>
  <property fmtid="{D5CDD505-2E9C-101B-9397-08002B2CF9AE}" pid="4" name="KSOTemplateDocerSaveRecord">
    <vt:lpwstr>eyJoZGlkIjoiYjA2MDQyMGY4ODhhYjNhZWJkNTIyMjYzOGY3ZWEwOGQiLCJ1c2VySWQiOiIyNTMxNDgxMjYifQ==</vt:lpwstr>
  </property>
</Properties>
</file>