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630" w:lineRule="atLeast"/>
        <w:jc w:val="center"/>
        <w:rPr>
          <w:rFonts w:hint="eastAsia" w:eastAsia="黑体"/>
          <w:color w:val="auto"/>
          <w:lang w:val="en-US" w:eastAsia="zh-CN"/>
        </w:rPr>
      </w:pPr>
      <w:r>
        <w:rPr>
          <w:rStyle w:val="5"/>
          <w:rFonts w:ascii="黑体" w:hAnsi="宋体" w:eastAsia="黑体" w:cs="黑体"/>
          <w:color w:val="auto"/>
          <w:sz w:val="43"/>
          <w:szCs w:val="43"/>
        </w:rPr>
        <w:t>沂源县</w:t>
      </w:r>
      <w:r>
        <w:rPr>
          <w:rStyle w:val="5"/>
          <w:rFonts w:hint="eastAsia" w:ascii="黑体" w:hAnsi="宋体" w:eastAsia="黑体" w:cs="黑体"/>
          <w:color w:val="auto"/>
          <w:sz w:val="43"/>
          <w:szCs w:val="43"/>
          <w:lang w:eastAsia="zh-CN"/>
        </w:rPr>
        <w:t>供销社</w:t>
      </w:r>
      <w:r>
        <w:rPr>
          <w:rStyle w:val="5"/>
          <w:rFonts w:ascii="黑体" w:hAnsi="宋体" w:eastAsia="黑体" w:cs="黑体"/>
          <w:color w:val="auto"/>
          <w:sz w:val="43"/>
          <w:szCs w:val="43"/>
        </w:rPr>
        <w:t>2019年政府信息公开工作年度报告</w:t>
      </w:r>
      <w:r>
        <w:rPr>
          <w:rStyle w:val="5"/>
          <w:rFonts w:hint="eastAsia" w:ascii="黑体" w:hAnsi="宋体" w:eastAsia="黑体" w:cs="黑体"/>
          <w:color w:val="auto"/>
          <w:sz w:val="43"/>
          <w:szCs w:val="43"/>
          <w:lang w:eastAsia="zh-CN"/>
        </w:rPr>
        <w:t>解读</w:t>
      </w:r>
    </w:p>
    <w:p>
      <w:pPr>
        <w:pStyle w:val="2"/>
        <w:keepNext w:val="0"/>
        <w:keepLines w:val="0"/>
        <w:widowControl/>
        <w:numPr>
          <w:ilvl w:val="0"/>
          <w:numId w:val="0"/>
        </w:numPr>
        <w:suppressLineNumbers w:val="0"/>
        <w:ind w:left="413" w:leftChars="0" w:right="0" w:rightChars="0"/>
        <w:rPr>
          <w:rStyle w:val="5"/>
          <w:rFonts w:hint="eastAsia" w:ascii="黑体" w:hAnsi="宋体" w:eastAsia="黑体" w:cs="黑体"/>
          <w:color w:val="auto"/>
          <w:sz w:val="31"/>
          <w:szCs w:val="31"/>
          <w:lang w:eastAsia="zh-CN"/>
        </w:rPr>
      </w:pPr>
      <w:r>
        <w:rPr>
          <w:rStyle w:val="5"/>
          <w:rFonts w:hint="eastAsia" w:ascii="黑体" w:hAnsi="宋体" w:eastAsia="黑体" w:cs="黑体"/>
          <w:color w:val="auto"/>
          <w:sz w:val="31"/>
          <w:szCs w:val="31"/>
          <w:lang w:eastAsia="zh-CN"/>
        </w:rPr>
        <w:t>一、起草背景</w:t>
      </w:r>
    </w:p>
    <w:p>
      <w:pPr>
        <w:numPr>
          <w:ilvl w:val="0"/>
          <w:numId w:val="0"/>
        </w:numPr>
        <w:ind w:firstLine="622" w:firstLineChars="200"/>
        <w:rPr>
          <w:rStyle w:val="5"/>
          <w:rFonts w:hint="eastAsia" w:ascii="仿宋_GB2312" w:hAnsi="仿宋_GB2312" w:eastAsia="仿宋_GB2312" w:cs="仿宋_GB2312"/>
          <w:i w:val="0"/>
          <w:caps w:val="0"/>
          <w:color w:val="auto"/>
          <w:spacing w:val="0"/>
          <w:sz w:val="32"/>
          <w:szCs w:val="32"/>
        </w:rPr>
      </w:pPr>
      <w:r>
        <w:rPr>
          <w:rStyle w:val="5"/>
          <w:rFonts w:hint="eastAsia" w:ascii="仿宋" w:hAnsi="仿宋" w:eastAsia="仿宋" w:cs="仿宋"/>
          <w:color w:val="auto"/>
          <w:sz w:val="31"/>
          <w:szCs w:val="31"/>
          <w:lang w:eastAsia="zh-CN"/>
        </w:rPr>
        <w:t>根据新修订</w:t>
      </w:r>
      <w:r>
        <w:rPr>
          <w:rStyle w:val="5"/>
          <w:rFonts w:ascii="仿宋" w:hAnsi="仿宋" w:eastAsia="仿宋" w:cs="仿宋"/>
          <w:color w:val="auto"/>
          <w:sz w:val="31"/>
          <w:szCs w:val="31"/>
        </w:rPr>
        <w:t>的《中华人民共和国政府信息公开条例》（以</w:t>
      </w:r>
      <w:bookmarkStart w:id="0" w:name="_GoBack"/>
      <w:bookmarkEnd w:id="0"/>
      <w:r>
        <w:rPr>
          <w:rStyle w:val="5"/>
          <w:rFonts w:ascii="仿宋" w:hAnsi="仿宋" w:eastAsia="仿宋" w:cs="仿宋"/>
          <w:color w:val="auto"/>
          <w:sz w:val="31"/>
          <w:szCs w:val="31"/>
        </w:rPr>
        <w:t>下简称《条例》）和《山东省政府信息公开办法》（以下简称《办法》）</w:t>
      </w:r>
      <w:r>
        <w:rPr>
          <w:rStyle w:val="5"/>
          <w:rFonts w:hint="eastAsia" w:ascii="仿宋" w:hAnsi="仿宋" w:eastAsia="仿宋" w:cs="仿宋"/>
          <w:color w:val="auto"/>
          <w:sz w:val="31"/>
          <w:szCs w:val="31"/>
          <w:lang w:eastAsia="zh-CN"/>
        </w:rPr>
        <w:t>要求和沂源县人民政府办公室《关于政府信息公开工作年度报告和政府信息公开指南有关事项的通知》等相关文件要求编制本报告。</w:t>
      </w:r>
      <w:r>
        <w:rPr>
          <w:rStyle w:val="5"/>
          <w:rFonts w:hint="eastAsia" w:ascii="仿宋" w:hAnsi="仿宋" w:eastAsia="仿宋" w:cs="仿宋"/>
          <w:color w:val="auto"/>
          <w:sz w:val="31"/>
          <w:szCs w:val="31"/>
        </w:rPr>
        <w:t>报告全文由总体情况、主动公开政府信息情况、收到和处理政府信息公开申请情况、因政府信息公开工作被申请行政复议与提起行政诉讼情况、政府信息公开工作存在的主要问题及改进情况等部分组成。</w:t>
      </w:r>
      <w:r>
        <w:rPr>
          <w:rStyle w:val="5"/>
          <w:rFonts w:hint="eastAsia" w:ascii="仿宋_GB2312" w:hAnsi="仿宋_GB2312" w:eastAsia="仿宋_GB2312" w:cs="仿宋_GB2312"/>
          <w:i w:val="0"/>
          <w:caps w:val="0"/>
          <w:color w:val="auto"/>
          <w:spacing w:val="0"/>
          <w:sz w:val="32"/>
          <w:szCs w:val="32"/>
        </w:rPr>
        <w:t> </w:t>
      </w:r>
    </w:p>
    <w:p>
      <w:pPr>
        <w:pStyle w:val="2"/>
        <w:keepNext w:val="0"/>
        <w:keepLines w:val="0"/>
        <w:widowControl/>
        <w:numPr>
          <w:ilvl w:val="0"/>
          <w:numId w:val="0"/>
        </w:numPr>
        <w:suppressLineNumbers w:val="0"/>
        <w:ind w:left="413" w:leftChars="0" w:right="0" w:rightChars="0"/>
        <w:rPr>
          <w:rStyle w:val="5"/>
          <w:rFonts w:hint="eastAsia" w:ascii="黑体" w:hAnsi="宋体" w:eastAsia="黑体" w:cs="黑体"/>
          <w:color w:val="auto"/>
          <w:sz w:val="31"/>
          <w:szCs w:val="31"/>
          <w:lang w:eastAsia="zh-CN"/>
        </w:rPr>
      </w:pPr>
      <w:r>
        <w:rPr>
          <w:rStyle w:val="5"/>
          <w:rFonts w:hint="eastAsia" w:ascii="黑体" w:hAnsi="宋体" w:eastAsia="黑体" w:cs="黑体"/>
          <w:color w:val="auto"/>
          <w:sz w:val="31"/>
          <w:szCs w:val="31"/>
          <w:lang w:eastAsia="zh-CN"/>
        </w:rPr>
        <w:t>二、总体情况</w:t>
      </w:r>
    </w:p>
    <w:p>
      <w:pPr>
        <w:pStyle w:val="2"/>
        <w:keepNext w:val="0"/>
        <w:keepLines w:val="0"/>
        <w:widowControl/>
        <w:suppressLineNumbers w:val="0"/>
        <w:spacing w:before="0" w:beforeAutospacing="0" w:after="0" w:afterAutospacing="0" w:line="444" w:lineRule="atLeast"/>
        <w:ind w:left="0" w:right="0" w:firstLine="0"/>
        <w:rPr>
          <w:rFonts w:hint="eastAsia" w:ascii="仿宋" w:hAnsi="仿宋" w:eastAsia="仿宋" w:cs="仿宋"/>
          <w:i w:val="0"/>
          <w:caps w:val="0"/>
          <w:color w:val="auto"/>
          <w:spacing w:val="0"/>
          <w:sz w:val="32"/>
          <w:szCs w:val="32"/>
        </w:rPr>
      </w:pPr>
      <w:r>
        <w:rPr>
          <w:rStyle w:val="5"/>
          <w:rFonts w:hint="eastAsia" w:ascii="仿宋" w:hAnsi="仿宋" w:eastAsia="仿宋" w:cs="仿宋"/>
          <w:color w:val="auto"/>
          <w:sz w:val="31"/>
          <w:szCs w:val="31"/>
        </w:rPr>
        <w:t> </w:t>
      </w:r>
      <w:r>
        <w:rPr>
          <w:rStyle w:val="5"/>
          <w:rFonts w:hint="eastAsia" w:ascii="仿宋" w:hAnsi="仿宋" w:eastAsia="仿宋" w:cs="仿宋"/>
          <w:color w:val="auto"/>
          <w:sz w:val="31"/>
          <w:szCs w:val="31"/>
          <w:lang w:val="en-US" w:eastAsia="zh-CN"/>
        </w:rPr>
        <w:t xml:space="preserve"> </w:t>
      </w:r>
      <w:r>
        <w:rPr>
          <w:rStyle w:val="5"/>
          <w:rFonts w:hint="eastAsia" w:ascii="仿宋" w:hAnsi="仿宋" w:eastAsia="仿宋" w:cs="仿宋"/>
          <w:i w:val="0"/>
          <w:caps w:val="0"/>
          <w:color w:val="auto"/>
          <w:spacing w:val="0"/>
          <w:sz w:val="32"/>
          <w:szCs w:val="32"/>
        </w:rPr>
        <w:t>（一）主动公开内容</w:t>
      </w:r>
    </w:p>
    <w:p>
      <w:pPr>
        <w:pStyle w:val="2"/>
        <w:keepNext w:val="0"/>
        <w:keepLines w:val="0"/>
        <w:widowControl/>
        <w:suppressLineNumbers w:val="0"/>
        <w:spacing w:before="0" w:beforeAutospacing="0" w:after="0" w:afterAutospacing="0" w:line="444" w:lineRule="atLeast"/>
        <w:ind w:left="0" w:right="0" w:firstLine="492"/>
        <w:rPr>
          <w:rFonts w:hint="eastAsia" w:ascii="仿宋" w:hAnsi="仿宋" w:eastAsia="仿宋" w:cs="仿宋"/>
          <w:i w:val="0"/>
          <w:caps w:val="0"/>
          <w:color w:val="auto"/>
          <w:spacing w:val="0"/>
          <w:sz w:val="32"/>
          <w:szCs w:val="32"/>
        </w:rPr>
      </w:pPr>
      <w:r>
        <w:rPr>
          <w:rStyle w:val="5"/>
          <w:rFonts w:hint="eastAsia" w:ascii="仿宋" w:hAnsi="仿宋" w:eastAsia="仿宋" w:cs="仿宋"/>
          <w:i w:val="0"/>
          <w:caps w:val="0"/>
          <w:color w:val="auto"/>
          <w:spacing w:val="0"/>
          <w:sz w:val="32"/>
          <w:szCs w:val="32"/>
        </w:rPr>
        <w:t>2019年，县供销社主动公开政府信息18条，其中财务预决算信息2条、公示公告16条。</w:t>
      </w:r>
    </w:p>
    <w:p>
      <w:pPr>
        <w:pStyle w:val="2"/>
        <w:keepNext w:val="0"/>
        <w:keepLines w:val="0"/>
        <w:widowControl/>
        <w:suppressLineNumbers w:val="0"/>
        <w:spacing w:before="0" w:beforeAutospacing="0" w:after="0" w:afterAutospacing="0" w:line="444" w:lineRule="atLeast"/>
        <w:ind w:left="0" w:right="0" w:firstLine="492"/>
        <w:rPr>
          <w:rFonts w:hint="eastAsia" w:ascii="仿宋" w:hAnsi="仿宋" w:eastAsia="仿宋" w:cs="仿宋"/>
          <w:i w:val="0"/>
          <w:caps w:val="0"/>
          <w:color w:val="auto"/>
          <w:spacing w:val="0"/>
          <w:sz w:val="32"/>
          <w:szCs w:val="32"/>
        </w:rPr>
      </w:pPr>
      <w:r>
        <w:rPr>
          <w:rStyle w:val="5"/>
          <w:rFonts w:hint="eastAsia" w:ascii="仿宋" w:hAnsi="仿宋" w:eastAsia="仿宋" w:cs="仿宋"/>
          <w:i w:val="0"/>
          <w:caps w:val="0"/>
          <w:color w:val="auto"/>
          <w:spacing w:val="0"/>
          <w:sz w:val="32"/>
          <w:szCs w:val="32"/>
        </w:rPr>
        <w:t>（二）依申请公开情况</w:t>
      </w:r>
    </w:p>
    <w:p>
      <w:pPr>
        <w:pStyle w:val="2"/>
        <w:keepNext w:val="0"/>
        <w:keepLines w:val="0"/>
        <w:widowControl/>
        <w:suppressLineNumbers w:val="0"/>
        <w:spacing w:before="0" w:beforeAutospacing="0" w:after="0" w:afterAutospacing="0" w:line="444" w:lineRule="atLeast"/>
        <w:ind w:left="0" w:right="0" w:firstLine="0"/>
        <w:rPr>
          <w:rFonts w:hint="eastAsia" w:ascii="仿宋" w:hAnsi="仿宋" w:eastAsia="仿宋" w:cs="仿宋"/>
          <w:i w:val="0"/>
          <w:caps w:val="0"/>
          <w:color w:val="auto"/>
          <w:spacing w:val="0"/>
          <w:sz w:val="32"/>
          <w:szCs w:val="32"/>
        </w:rPr>
      </w:pPr>
      <w:r>
        <w:rPr>
          <w:rStyle w:val="5"/>
          <w:rFonts w:hint="eastAsia" w:ascii="仿宋" w:hAnsi="仿宋" w:eastAsia="仿宋" w:cs="仿宋"/>
          <w:i w:val="0"/>
          <w:caps w:val="0"/>
          <w:color w:val="auto"/>
          <w:spacing w:val="0"/>
          <w:sz w:val="32"/>
          <w:szCs w:val="32"/>
        </w:rPr>
        <w:t>    2019年，县供销社未收到信息公开的申请。</w:t>
      </w:r>
    </w:p>
    <w:p>
      <w:pPr>
        <w:pStyle w:val="2"/>
        <w:keepNext w:val="0"/>
        <w:keepLines w:val="0"/>
        <w:widowControl/>
        <w:suppressLineNumbers w:val="0"/>
        <w:spacing w:before="0" w:beforeAutospacing="0" w:after="0" w:afterAutospacing="0" w:line="444" w:lineRule="atLeast"/>
        <w:ind w:left="0" w:right="0" w:firstLine="492"/>
        <w:rPr>
          <w:rFonts w:hint="eastAsia" w:ascii="仿宋" w:hAnsi="仿宋" w:eastAsia="仿宋" w:cs="仿宋"/>
          <w:i w:val="0"/>
          <w:caps w:val="0"/>
          <w:color w:val="auto"/>
          <w:spacing w:val="0"/>
          <w:sz w:val="32"/>
          <w:szCs w:val="32"/>
        </w:rPr>
      </w:pPr>
      <w:r>
        <w:rPr>
          <w:rStyle w:val="5"/>
          <w:rFonts w:hint="eastAsia" w:ascii="仿宋" w:hAnsi="仿宋" w:eastAsia="仿宋" w:cs="仿宋"/>
          <w:i w:val="0"/>
          <w:caps w:val="0"/>
          <w:color w:val="auto"/>
          <w:spacing w:val="0"/>
          <w:sz w:val="32"/>
          <w:szCs w:val="32"/>
        </w:rPr>
        <w:t>（三）政府信息管理情况</w:t>
      </w:r>
    </w:p>
    <w:p>
      <w:pPr>
        <w:pStyle w:val="2"/>
        <w:keepNext w:val="0"/>
        <w:keepLines w:val="0"/>
        <w:widowControl/>
        <w:suppressLineNumbers w:val="0"/>
        <w:spacing w:before="0" w:beforeAutospacing="0" w:after="0" w:afterAutospacing="0" w:line="444" w:lineRule="atLeast"/>
        <w:ind w:left="0" w:right="0" w:firstLine="492"/>
        <w:rPr>
          <w:rFonts w:hint="eastAsia" w:ascii="仿宋" w:hAnsi="仿宋" w:eastAsia="仿宋" w:cs="仿宋"/>
          <w:i w:val="0"/>
          <w:caps w:val="0"/>
          <w:color w:val="auto"/>
          <w:spacing w:val="0"/>
          <w:sz w:val="32"/>
          <w:szCs w:val="32"/>
        </w:rPr>
      </w:pPr>
      <w:r>
        <w:rPr>
          <w:rStyle w:val="5"/>
          <w:rFonts w:hint="eastAsia" w:ascii="仿宋" w:hAnsi="仿宋" w:eastAsia="仿宋" w:cs="仿宋"/>
          <w:i w:val="0"/>
          <w:caps w:val="0"/>
          <w:color w:val="auto"/>
          <w:spacing w:val="0"/>
          <w:sz w:val="32"/>
          <w:szCs w:val="32"/>
        </w:rPr>
        <w:t>根据《条例》和市县政府信息公开工作的有关规定，建立完善了《主动公开工作制度》和《工作考核和责任追究制度》等，把信息公开工作纳入了制度化、规范化发展轨道。</w:t>
      </w:r>
    </w:p>
    <w:p>
      <w:pPr>
        <w:pStyle w:val="2"/>
        <w:keepNext w:val="0"/>
        <w:keepLines w:val="0"/>
        <w:widowControl/>
        <w:suppressLineNumbers w:val="0"/>
        <w:spacing w:before="0" w:beforeAutospacing="0" w:after="0" w:afterAutospacing="0" w:line="444" w:lineRule="atLeast"/>
        <w:ind w:left="0" w:right="0" w:firstLine="492"/>
        <w:rPr>
          <w:rFonts w:hint="eastAsia" w:ascii="仿宋" w:hAnsi="仿宋" w:eastAsia="仿宋" w:cs="仿宋"/>
          <w:i w:val="0"/>
          <w:caps w:val="0"/>
          <w:color w:val="auto"/>
          <w:spacing w:val="0"/>
          <w:sz w:val="32"/>
          <w:szCs w:val="32"/>
        </w:rPr>
      </w:pPr>
      <w:r>
        <w:rPr>
          <w:rStyle w:val="5"/>
          <w:rFonts w:hint="eastAsia" w:ascii="仿宋" w:hAnsi="仿宋" w:eastAsia="仿宋" w:cs="仿宋"/>
          <w:i w:val="0"/>
          <w:caps w:val="0"/>
          <w:color w:val="auto"/>
          <w:spacing w:val="0"/>
          <w:sz w:val="32"/>
          <w:szCs w:val="32"/>
        </w:rPr>
        <w:t>（四）政府信息公开平台、机构建设和人员情况</w:t>
      </w:r>
    </w:p>
    <w:p>
      <w:pPr>
        <w:pStyle w:val="2"/>
        <w:keepNext w:val="0"/>
        <w:keepLines w:val="0"/>
        <w:widowControl/>
        <w:suppressLineNumbers w:val="0"/>
        <w:spacing w:before="0" w:beforeAutospacing="0" w:after="0" w:afterAutospacing="0" w:line="444" w:lineRule="atLeast"/>
        <w:ind w:left="0" w:right="0" w:firstLine="492"/>
        <w:rPr>
          <w:rFonts w:hint="eastAsia" w:ascii="仿宋" w:hAnsi="仿宋" w:eastAsia="仿宋" w:cs="仿宋"/>
          <w:i w:val="0"/>
          <w:caps w:val="0"/>
          <w:color w:val="auto"/>
          <w:spacing w:val="0"/>
          <w:sz w:val="32"/>
          <w:szCs w:val="32"/>
        </w:rPr>
      </w:pPr>
      <w:r>
        <w:rPr>
          <w:rStyle w:val="5"/>
          <w:rFonts w:hint="eastAsia" w:ascii="仿宋" w:hAnsi="仿宋" w:eastAsia="仿宋" w:cs="仿宋"/>
          <w:i w:val="0"/>
          <w:caps w:val="0"/>
          <w:color w:val="auto"/>
          <w:spacing w:val="0"/>
          <w:sz w:val="32"/>
          <w:szCs w:val="32"/>
        </w:rPr>
        <w:t>推进政府信息公开是转变政府职能、提高服务效率、提升政府形象的一个重要举措，贯彻实施《中华人民共和国政府信息公开条例》，对于建立公正透明的行政管理体制，保障公民、法人和其他组织的知情权利，监督政府依法行政具有十分重要的意义。县供销社高度重视信息公开工作，成立了沂源县供销合作社联合社政府信息公开工作领导小组，形成了主要领导亲自抓，分管领导靠上抓，办公室抓落实的工作机制。</w:t>
      </w:r>
    </w:p>
    <w:p>
      <w:pPr>
        <w:pStyle w:val="2"/>
        <w:keepNext w:val="0"/>
        <w:keepLines w:val="0"/>
        <w:widowControl/>
        <w:suppressLineNumbers w:val="0"/>
        <w:spacing w:before="0" w:beforeAutospacing="0" w:after="0" w:afterAutospacing="0" w:line="444" w:lineRule="atLeast"/>
        <w:ind w:left="0" w:right="0" w:firstLine="0"/>
        <w:rPr>
          <w:rFonts w:hint="eastAsia" w:ascii="仿宋" w:hAnsi="仿宋" w:eastAsia="仿宋" w:cs="仿宋"/>
          <w:i w:val="0"/>
          <w:caps w:val="0"/>
          <w:color w:val="auto"/>
          <w:spacing w:val="0"/>
          <w:sz w:val="32"/>
          <w:szCs w:val="32"/>
        </w:rPr>
      </w:pPr>
      <w:r>
        <w:rPr>
          <w:rStyle w:val="5"/>
          <w:rFonts w:hint="eastAsia" w:ascii="仿宋" w:hAnsi="仿宋" w:eastAsia="仿宋" w:cs="仿宋"/>
          <w:i w:val="0"/>
          <w:caps w:val="0"/>
          <w:color w:val="auto"/>
          <w:spacing w:val="0"/>
          <w:sz w:val="32"/>
          <w:szCs w:val="32"/>
        </w:rPr>
        <w:t>    （五）监督保障情况</w:t>
      </w:r>
    </w:p>
    <w:p>
      <w:pPr>
        <w:pStyle w:val="2"/>
        <w:keepNext w:val="0"/>
        <w:keepLines w:val="0"/>
        <w:widowControl/>
        <w:suppressLineNumbers w:val="0"/>
        <w:spacing w:before="0" w:beforeAutospacing="0" w:after="0" w:afterAutospacing="0" w:line="444" w:lineRule="atLeast"/>
        <w:ind w:left="0" w:right="0" w:firstLine="492"/>
        <w:rPr>
          <w:rFonts w:hint="eastAsia" w:ascii="仿宋" w:hAnsi="仿宋" w:eastAsia="仿宋" w:cs="仿宋"/>
          <w:i w:val="0"/>
          <w:caps w:val="0"/>
          <w:color w:val="auto"/>
          <w:spacing w:val="0"/>
          <w:sz w:val="32"/>
          <w:szCs w:val="32"/>
        </w:rPr>
      </w:pPr>
      <w:r>
        <w:rPr>
          <w:rStyle w:val="5"/>
          <w:rFonts w:hint="eastAsia" w:ascii="仿宋" w:hAnsi="仿宋" w:eastAsia="仿宋" w:cs="仿宋"/>
          <w:i w:val="0"/>
          <w:caps w:val="0"/>
          <w:color w:val="auto"/>
          <w:spacing w:val="0"/>
          <w:sz w:val="32"/>
          <w:szCs w:val="32"/>
        </w:rPr>
        <w:t>在公开方式上，主要采取了:一是网上公开。按照县政府的有关要求，按时将县供销社相关信息发布到政府信息网。二是及时向县委信息科、县政府信息科和市供销社办公室报送业务工作信息和工作动态，进行信息公开。三是在机关设立了公示栏，公布县供销社服务承诺和政务公开内容，凡事关干部群众切身利益的政务活动，不涉及保密范围内的都实行了上墙公示，提高了工作的透明度。</w:t>
      </w:r>
    </w:p>
    <w:p>
      <w:pPr>
        <w:pStyle w:val="2"/>
        <w:keepNext w:val="0"/>
        <w:keepLines w:val="0"/>
        <w:widowControl/>
        <w:suppressLineNumbers w:val="0"/>
        <w:spacing w:before="0" w:beforeAutospacing="0" w:after="0" w:afterAutospacing="0" w:line="444" w:lineRule="atLeast"/>
        <w:ind w:left="0" w:right="0" w:firstLine="492"/>
        <w:rPr>
          <w:rFonts w:hint="eastAsia" w:ascii="仿宋" w:hAnsi="仿宋" w:eastAsia="仿宋" w:cs="仿宋"/>
          <w:i w:val="0"/>
          <w:caps w:val="0"/>
          <w:color w:val="auto"/>
          <w:spacing w:val="0"/>
          <w:sz w:val="32"/>
          <w:szCs w:val="32"/>
        </w:rPr>
      </w:pPr>
      <w:r>
        <w:rPr>
          <w:rStyle w:val="5"/>
          <w:rFonts w:hint="eastAsia" w:ascii="仿宋" w:hAnsi="仿宋" w:eastAsia="仿宋" w:cs="仿宋"/>
          <w:i w:val="0"/>
          <w:caps w:val="0"/>
          <w:color w:val="auto"/>
          <w:spacing w:val="0"/>
          <w:sz w:val="32"/>
          <w:szCs w:val="32"/>
          <w:shd w:val="clear" w:fill="FFFFFF"/>
        </w:rPr>
        <w:t>（六）建议提案办理结果公开情况 </w:t>
      </w:r>
      <w:r>
        <w:rPr>
          <w:rFonts w:hint="eastAsia" w:ascii="仿宋" w:hAnsi="仿宋" w:eastAsia="仿宋" w:cs="仿宋"/>
          <w:i w:val="0"/>
          <w:caps w:val="0"/>
          <w:color w:val="auto"/>
          <w:spacing w:val="0"/>
          <w:sz w:val="32"/>
          <w:szCs w:val="32"/>
          <w:shd w:val="clear" w:fill="FFFFFF"/>
        </w:rPr>
        <w:t> </w:t>
      </w:r>
    </w:p>
    <w:p>
      <w:pPr>
        <w:pStyle w:val="2"/>
        <w:keepNext w:val="0"/>
        <w:keepLines w:val="0"/>
        <w:widowControl/>
        <w:suppressLineNumbers w:val="0"/>
        <w:spacing w:before="0" w:beforeAutospacing="0" w:after="0" w:afterAutospacing="0" w:line="444" w:lineRule="atLeast"/>
        <w:ind w:left="0" w:right="0" w:firstLine="744"/>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无</w:t>
      </w:r>
    </w:p>
    <w:p>
      <w:pPr>
        <w:numPr>
          <w:ilvl w:val="0"/>
          <w:numId w:val="0"/>
        </w:numPr>
        <w:ind w:firstLine="311" w:firstLineChars="100"/>
        <w:rPr>
          <w:rFonts w:hint="eastAsia" w:ascii="黑体" w:hAnsi="宋体" w:eastAsia="黑体" w:cs="黑体"/>
          <w:b/>
          <w:bCs/>
          <w:color w:val="auto"/>
          <w:sz w:val="31"/>
          <w:szCs w:val="31"/>
          <w:shd w:val="clear" w:color="auto" w:fill="FFFFFF"/>
        </w:rPr>
      </w:pPr>
    </w:p>
    <w:p>
      <w:pPr>
        <w:pStyle w:val="2"/>
        <w:keepNext w:val="0"/>
        <w:keepLines w:val="0"/>
        <w:widowControl/>
        <w:numPr>
          <w:ilvl w:val="0"/>
          <w:numId w:val="0"/>
        </w:numPr>
        <w:suppressLineNumbers w:val="0"/>
        <w:ind w:left="413" w:leftChars="0" w:right="0" w:rightChars="0"/>
        <w:rPr>
          <w:color w:val="auto"/>
        </w:rPr>
      </w:pPr>
      <w:r>
        <w:rPr>
          <w:rStyle w:val="5"/>
          <w:rFonts w:hint="eastAsia" w:ascii="黑体" w:hAnsi="宋体" w:eastAsia="黑体" w:cs="黑体"/>
          <w:color w:val="auto"/>
          <w:sz w:val="31"/>
          <w:szCs w:val="31"/>
          <w:lang w:eastAsia="zh-CN"/>
        </w:rPr>
        <w:t>三</w:t>
      </w:r>
      <w:r>
        <w:rPr>
          <w:rStyle w:val="5"/>
          <w:rFonts w:hint="eastAsia" w:ascii="黑体" w:hAnsi="宋体" w:eastAsia="黑体" w:cs="黑体"/>
          <w:color w:val="auto"/>
          <w:sz w:val="31"/>
          <w:szCs w:val="31"/>
        </w:rPr>
        <w:t>、主动公开政府信息情况</w:t>
      </w:r>
    </w:p>
    <w:p>
      <w:pPr>
        <w:pStyle w:val="2"/>
        <w:keepNext w:val="0"/>
        <w:keepLines w:val="0"/>
        <w:widowControl/>
        <w:suppressLineNumbers w:val="0"/>
        <w:shd w:val="clear" w:color="auto" w:fill="FFFFFF"/>
        <w:spacing w:line="630" w:lineRule="atLeast"/>
        <w:jc w:val="both"/>
        <w:rPr>
          <w:rFonts w:ascii="仿宋_GB2312" w:eastAsia="仿宋_GB2312" w:cs="仿宋_GB2312"/>
          <w:color w:val="auto"/>
          <w:sz w:val="31"/>
          <w:szCs w:val="31"/>
          <w:shd w:val="clear" w:color="auto" w:fill="FFFFFF"/>
        </w:rPr>
      </w:pPr>
    </w:p>
    <w:tbl>
      <w:tblPr>
        <w:tblStyle w:val="3"/>
        <w:tblW w:w="8140" w:type="dxa"/>
        <w:tblInd w:w="93" w:type="dxa"/>
        <w:shd w:val="clear" w:color="auto" w:fill="E6F4FF"/>
        <w:tblLayout w:type="fixed"/>
        <w:tblCellMar>
          <w:top w:w="15" w:type="dxa"/>
          <w:left w:w="15" w:type="dxa"/>
          <w:bottom w:w="15" w:type="dxa"/>
          <w:right w:w="15" w:type="dxa"/>
        </w:tblCellMar>
      </w:tblPr>
      <w:tblGrid>
        <w:gridCol w:w="3113"/>
        <w:gridCol w:w="1875"/>
        <w:gridCol w:w="1271"/>
        <w:gridCol w:w="1881"/>
      </w:tblGrid>
      <w:tr>
        <w:tblPrEx>
          <w:shd w:val="clear" w:color="auto" w:fill="E6F4FF"/>
          <w:tblCellMar>
            <w:top w:w="15" w:type="dxa"/>
            <w:left w:w="15" w:type="dxa"/>
            <w:bottom w:w="15" w:type="dxa"/>
            <w:right w:w="15" w:type="dxa"/>
          </w:tblCellMar>
        </w:tblPrEx>
        <w:trPr>
          <w:trHeight w:val="495" w:hRule="atLeast"/>
        </w:trPr>
        <w:tc>
          <w:tcPr>
            <w:tcW w:w="8140" w:type="dxa"/>
            <w:gridSpan w:val="4"/>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第二十条第（一）项</w:t>
            </w:r>
          </w:p>
        </w:tc>
      </w:tr>
      <w:tr>
        <w:tblPrEx>
          <w:tblCellMar>
            <w:top w:w="15" w:type="dxa"/>
            <w:left w:w="15" w:type="dxa"/>
            <w:bottom w:w="15" w:type="dxa"/>
            <w:right w:w="15" w:type="dxa"/>
          </w:tblCellMar>
        </w:tblPrEx>
        <w:trPr>
          <w:trHeight w:val="882"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本年新</w:t>
            </w:r>
            <w:r>
              <w:rPr>
                <w:rFonts w:hint="eastAsia" w:ascii="宋体" w:hAnsi="宋体" w:eastAsia="宋体" w:cs="宋体"/>
                <w:b w:val="0"/>
                <w:i w:val="0"/>
                <w:caps w:val="0"/>
                <w:color w:val="auto"/>
                <w:spacing w:val="0"/>
                <w:kern w:val="0"/>
                <w:sz w:val="20"/>
                <w:szCs w:val="20"/>
                <w:lang w:val="en-US" w:eastAsia="zh-CN" w:bidi="ar"/>
              </w:rPr>
              <w:br w:type="textWrapping"/>
            </w:r>
            <w:r>
              <w:rPr>
                <w:rFonts w:hint="default" w:ascii="Segoe UI" w:hAnsi="Segoe UI" w:eastAsia="Segoe UI" w:cs="Segoe UI"/>
                <w:b w:val="0"/>
                <w:i w:val="0"/>
                <w:caps w:val="0"/>
                <w:color w:val="auto"/>
                <w:spacing w:val="0"/>
                <w:kern w:val="0"/>
                <w:sz w:val="20"/>
                <w:szCs w:val="20"/>
                <w:lang w:val="en-US" w:eastAsia="zh-CN" w:bidi="ar"/>
              </w:rPr>
              <w:t>制作数量</w:t>
            </w:r>
          </w:p>
        </w:tc>
        <w:tc>
          <w:tcPr>
            <w:tcW w:w="127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本年新</w:t>
            </w:r>
            <w:r>
              <w:rPr>
                <w:rFonts w:hint="eastAsia" w:ascii="宋体" w:hAnsi="宋体" w:eastAsia="宋体" w:cs="宋体"/>
                <w:b w:val="0"/>
                <w:i w:val="0"/>
                <w:caps w:val="0"/>
                <w:color w:val="auto"/>
                <w:spacing w:val="0"/>
                <w:kern w:val="0"/>
                <w:sz w:val="20"/>
                <w:szCs w:val="20"/>
                <w:lang w:val="en-US" w:eastAsia="zh-CN" w:bidi="ar"/>
              </w:rPr>
              <w:br w:type="textWrapping"/>
            </w:r>
            <w:r>
              <w:rPr>
                <w:rFonts w:hint="default" w:ascii="Segoe UI" w:hAnsi="Segoe UI" w:eastAsia="Segoe UI" w:cs="Segoe UI"/>
                <w:b w:val="0"/>
                <w:i w:val="0"/>
                <w:caps w:val="0"/>
                <w:color w:val="auto"/>
                <w:spacing w:val="0"/>
                <w:kern w:val="0"/>
                <w:sz w:val="20"/>
                <w:szCs w:val="20"/>
                <w:lang w:val="en-US" w:eastAsia="zh-CN" w:bidi="ar"/>
              </w:rPr>
              <w:t>公开数量</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对外公开总数量</w:t>
            </w:r>
          </w:p>
        </w:tc>
      </w:tr>
      <w:tr>
        <w:tblPrEx>
          <w:tblCellMar>
            <w:top w:w="15" w:type="dxa"/>
            <w:left w:w="15" w:type="dxa"/>
            <w:bottom w:w="15" w:type="dxa"/>
            <w:right w:w="15" w:type="dxa"/>
          </w:tblCellMar>
        </w:tblPrEx>
        <w:trPr>
          <w:trHeight w:val="523"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规章</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　　</w:t>
            </w:r>
          </w:p>
        </w:tc>
        <w:tc>
          <w:tcPr>
            <w:tcW w:w="12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 </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　</w:t>
            </w:r>
          </w:p>
        </w:tc>
      </w:tr>
      <w:tr>
        <w:tblPrEx>
          <w:tblCellMar>
            <w:top w:w="15" w:type="dxa"/>
            <w:left w:w="15" w:type="dxa"/>
            <w:bottom w:w="15" w:type="dxa"/>
            <w:right w:w="15" w:type="dxa"/>
          </w:tblCellMar>
        </w:tblPrEx>
        <w:trPr>
          <w:trHeight w:val="471"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规范性文件</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　　</w:t>
            </w:r>
          </w:p>
        </w:tc>
        <w:tc>
          <w:tcPr>
            <w:tcW w:w="12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 </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auto"/>
                <w:lang w:val="en-US"/>
              </w:rPr>
            </w:pPr>
            <w:r>
              <w:rPr>
                <w:rFonts w:hint="eastAsia" w:ascii="宋体" w:hAnsi="宋体" w:eastAsia="宋体" w:cs="宋体"/>
                <w:b w:val="0"/>
                <w:i w:val="0"/>
                <w:caps w:val="0"/>
                <w:color w:val="auto"/>
                <w:spacing w:val="0"/>
                <w:kern w:val="0"/>
                <w:sz w:val="20"/>
                <w:szCs w:val="20"/>
                <w:lang w:val="en-US" w:eastAsia="zh-CN" w:bidi="ar"/>
              </w:rPr>
              <w:t>　</w:t>
            </w:r>
            <w:r>
              <w:rPr>
                <w:rFonts w:hint="eastAsia" w:ascii="宋体" w:hAnsi="宋体" w:cs="宋体"/>
                <w:b w:val="0"/>
                <w:i w:val="0"/>
                <w:caps w:val="0"/>
                <w:color w:val="auto"/>
                <w:spacing w:val="0"/>
                <w:kern w:val="0"/>
                <w:sz w:val="20"/>
                <w:szCs w:val="20"/>
                <w:lang w:val="en-US" w:eastAsia="zh-CN" w:bidi="ar"/>
              </w:rPr>
              <w:t>18</w:t>
            </w:r>
          </w:p>
        </w:tc>
      </w:tr>
      <w:tr>
        <w:tblPrEx>
          <w:tblCellMar>
            <w:top w:w="15" w:type="dxa"/>
            <w:left w:w="15" w:type="dxa"/>
            <w:bottom w:w="15" w:type="dxa"/>
            <w:right w:w="15" w:type="dxa"/>
          </w:tblCellMar>
        </w:tblPrEx>
        <w:trPr>
          <w:trHeight w:val="480" w:hRule="atLeast"/>
        </w:trPr>
        <w:tc>
          <w:tcPr>
            <w:tcW w:w="8140"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第二十条第（五）项</w:t>
            </w:r>
          </w:p>
        </w:tc>
      </w:tr>
      <w:tr>
        <w:tblPrEx>
          <w:tblCellMar>
            <w:top w:w="15" w:type="dxa"/>
            <w:left w:w="15" w:type="dxa"/>
            <w:bottom w:w="15" w:type="dxa"/>
            <w:right w:w="15" w:type="dxa"/>
          </w:tblCellMar>
        </w:tblPrEx>
        <w:trPr>
          <w:trHeight w:val="634"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上一年项目数量</w:t>
            </w:r>
          </w:p>
        </w:tc>
        <w:tc>
          <w:tcPr>
            <w:tcW w:w="127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本年增/减</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处理决定数量</w:t>
            </w:r>
          </w:p>
        </w:tc>
      </w:tr>
      <w:tr>
        <w:tblPrEx>
          <w:tblCellMar>
            <w:top w:w="15" w:type="dxa"/>
            <w:left w:w="15" w:type="dxa"/>
            <w:bottom w:w="15" w:type="dxa"/>
            <w:right w:w="15" w:type="dxa"/>
          </w:tblCellMar>
        </w:tblPrEx>
        <w:trPr>
          <w:trHeight w:val="528"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行政许可</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　</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　</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　</w:t>
            </w:r>
          </w:p>
        </w:tc>
      </w:tr>
      <w:tr>
        <w:tblPrEx>
          <w:tblCellMar>
            <w:top w:w="15" w:type="dxa"/>
            <w:left w:w="15" w:type="dxa"/>
            <w:bottom w:w="15" w:type="dxa"/>
            <w:right w:w="15" w:type="dxa"/>
          </w:tblCellMar>
        </w:tblPrEx>
        <w:trPr>
          <w:trHeight w:val="550"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其他对外管理服务事项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　</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　</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　</w:t>
            </w:r>
          </w:p>
        </w:tc>
      </w:tr>
      <w:tr>
        <w:tblPrEx>
          <w:tblCellMar>
            <w:top w:w="15" w:type="dxa"/>
            <w:left w:w="15" w:type="dxa"/>
            <w:bottom w:w="15" w:type="dxa"/>
            <w:right w:w="15" w:type="dxa"/>
          </w:tblCellMar>
        </w:tblPrEx>
        <w:trPr>
          <w:trHeight w:val="406" w:hRule="atLeast"/>
        </w:trPr>
        <w:tc>
          <w:tcPr>
            <w:tcW w:w="8140"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第二十条第（六）项</w:t>
            </w:r>
          </w:p>
        </w:tc>
      </w:tr>
      <w:tr>
        <w:tblPrEx>
          <w:tblCellMar>
            <w:top w:w="15" w:type="dxa"/>
            <w:left w:w="15" w:type="dxa"/>
            <w:bottom w:w="15" w:type="dxa"/>
            <w:right w:w="15" w:type="dxa"/>
          </w:tblCellMar>
        </w:tblPrEx>
        <w:trPr>
          <w:trHeight w:val="634"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上一年项目数量</w:t>
            </w:r>
          </w:p>
        </w:tc>
        <w:tc>
          <w:tcPr>
            <w:tcW w:w="127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本年增/减</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处理决定数量</w:t>
            </w:r>
          </w:p>
        </w:tc>
      </w:tr>
      <w:tr>
        <w:tblPrEx>
          <w:tblCellMar>
            <w:top w:w="15" w:type="dxa"/>
            <w:left w:w="15" w:type="dxa"/>
            <w:bottom w:w="15" w:type="dxa"/>
            <w:right w:w="15" w:type="dxa"/>
          </w:tblCellMar>
        </w:tblPrEx>
        <w:trPr>
          <w:trHeight w:val="430"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行政处罚</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　</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　</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　</w:t>
            </w:r>
          </w:p>
        </w:tc>
      </w:tr>
      <w:tr>
        <w:tblPrEx>
          <w:tblCellMar>
            <w:top w:w="15" w:type="dxa"/>
            <w:left w:w="15" w:type="dxa"/>
            <w:bottom w:w="15" w:type="dxa"/>
            <w:right w:w="15" w:type="dxa"/>
          </w:tblCellMar>
        </w:tblPrEx>
        <w:trPr>
          <w:trHeight w:val="409"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行政强制</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　</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　</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　</w:t>
            </w:r>
          </w:p>
        </w:tc>
      </w:tr>
      <w:tr>
        <w:tblPrEx>
          <w:tblCellMar>
            <w:top w:w="15" w:type="dxa"/>
            <w:left w:w="15" w:type="dxa"/>
            <w:bottom w:w="15" w:type="dxa"/>
            <w:right w:w="15" w:type="dxa"/>
          </w:tblCellMar>
        </w:tblPrEx>
        <w:trPr>
          <w:trHeight w:val="474" w:hRule="atLeast"/>
        </w:trPr>
        <w:tc>
          <w:tcPr>
            <w:tcW w:w="8140"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第二十条第（八）项</w:t>
            </w:r>
          </w:p>
        </w:tc>
      </w:tr>
      <w:tr>
        <w:tblPrEx>
          <w:tblCellMar>
            <w:top w:w="15" w:type="dxa"/>
            <w:left w:w="15" w:type="dxa"/>
            <w:bottom w:w="15" w:type="dxa"/>
            <w:right w:w="15" w:type="dxa"/>
          </w:tblCellMar>
        </w:tblPrEx>
        <w:trPr>
          <w:trHeight w:val="270"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信息内容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上一年项目数量</w:t>
            </w:r>
          </w:p>
        </w:tc>
        <w:tc>
          <w:tcPr>
            <w:tcW w:w="3152" w:type="dxa"/>
            <w:gridSpan w:val="2"/>
            <w:tcBorders>
              <w:top w:val="single" w:color="auto" w:sz="8" w:space="0"/>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本年增/减</w:t>
            </w:r>
          </w:p>
        </w:tc>
      </w:tr>
      <w:tr>
        <w:tblPrEx>
          <w:tblCellMar>
            <w:top w:w="15" w:type="dxa"/>
            <w:left w:w="15" w:type="dxa"/>
            <w:bottom w:w="15" w:type="dxa"/>
            <w:right w:w="15" w:type="dxa"/>
          </w:tblCellMar>
        </w:tblPrEx>
        <w:trPr>
          <w:trHeight w:val="551"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行政事业性收费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　</w:t>
            </w:r>
          </w:p>
        </w:tc>
        <w:tc>
          <w:tcPr>
            <w:tcW w:w="3152" w:type="dxa"/>
            <w:gridSpan w:val="2"/>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 </w:t>
            </w:r>
          </w:p>
        </w:tc>
      </w:tr>
      <w:tr>
        <w:tblPrEx>
          <w:tblCellMar>
            <w:top w:w="15" w:type="dxa"/>
            <w:left w:w="15" w:type="dxa"/>
            <w:bottom w:w="15" w:type="dxa"/>
            <w:right w:w="15" w:type="dxa"/>
          </w:tblCellMar>
        </w:tblPrEx>
        <w:trPr>
          <w:trHeight w:val="476" w:hRule="atLeast"/>
        </w:trPr>
        <w:tc>
          <w:tcPr>
            <w:tcW w:w="8140"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第二十条第（九）项</w:t>
            </w:r>
          </w:p>
        </w:tc>
      </w:tr>
      <w:tr>
        <w:tblPrEx>
          <w:tblCellMar>
            <w:top w:w="15" w:type="dxa"/>
            <w:left w:w="15" w:type="dxa"/>
            <w:bottom w:w="15" w:type="dxa"/>
            <w:right w:w="15" w:type="dxa"/>
          </w:tblCellMar>
        </w:tblPrEx>
        <w:trPr>
          <w:trHeight w:val="585"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信息内容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采购项目数量</w:t>
            </w:r>
          </w:p>
        </w:tc>
        <w:tc>
          <w:tcPr>
            <w:tcW w:w="3152" w:type="dxa"/>
            <w:gridSpan w:val="2"/>
            <w:tcBorders>
              <w:top w:val="single" w:color="auto" w:sz="8" w:space="0"/>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采购总金额</w:t>
            </w:r>
          </w:p>
        </w:tc>
      </w:tr>
      <w:tr>
        <w:tblPrEx>
          <w:tblCellMar>
            <w:top w:w="15" w:type="dxa"/>
            <w:left w:w="15" w:type="dxa"/>
            <w:bottom w:w="15" w:type="dxa"/>
            <w:right w:w="15" w:type="dxa"/>
          </w:tblCellMar>
        </w:tblPrEx>
        <w:trPr>
          <w:trHeight w:val="539"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政府集中采购</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b w:val="0"/>
                <w:i w:val="0"/>
                <w:caps w:val="0"/>
                <w:color w:val="auto"/>
                <w:spacing w:val="0"/>
                <w:kern w:val="0"/>
                <w:sz w:val="20"/>
                <w:szCs w:val="20"/>
                <w:lang w:val="en-US" w:eastAsia="zh-CN" w:bidi="ar"/>
              </w:rPr>
              <w:t>　</w:t>
            </w:r>
          </w:p>
        </w:tc>
        <w:tc>
          <w:tcPr>
            <w:tcW w:w="3152" w:type="dxa"/>
            <w:gridSpan w:val="2"/>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rPr>
                <w:rFonts w:hint="default" w:ascii="Segoe UI" w:hAnsi="Segoe UI" w:eastAsia="Segoe UI" w:cs="Segoe UI"/>
                <w:b w:val="0"/>
                <w:i w:val="0"/>
                <w:caps w:val="0"/>
                <w:color w:val="auto"/>
                <w:spacing w:val="0"/>
                <w:sz w:val="21"/>
                <w:szCs w:val="21"/>
              </w:rPr>
            </w:pPr>
          </w:p>
        </w:tc>
      </w:tr>
    </w:tbl>
    <w:p>
      <w:pPr>
        <w:pStyle w:val="2"/>
        <w:keepNext w:val="0"/>
        <w:keepLines w:val="0"/>
        <w:widowControl/>
        <w:suppressLineNumbers w:val="0"/>
        <w:shd w:val="clear" w:color="auto" w:fill="FFFFFF"/>
        <w:spacing w:line="630" w:lineRule="atLeast"/>
        <w:jc w:val="both"/>
        <w:rPr>
          <w:color w:val="auto"/>
        </w:rPr>
      </w:pPr>
      <w:r>
        <w:rPr>
          <w:rFonts w:hint="eastAsia" w:ascii="宋体" w:hAnsi="宋体" w:eastAsia="宋体" w:cs="宋体"/>
          <w:color w:val="auto"/>
          <w:sz w:val="24"/>
          <w:szCs w:val="24"/>
          <w:shd w:val="clear" w:color="auto" w:fill="FFFFFF"/>
        </w:rPr>
        <w:t> </w:t>
      </w:r>
    </w:p>
    <w:tbl>
      <w:tblPr>
        <w:tblStyle w:val="3"/>
        <w:tblpPr w:leftFromText="180" w:rightFromText="180" w:vertAnchor="text" w:horzAnchor="page" w:tblpX="1520" w:tblpY="680"/>
        <w:tblOverlap w:val="never"/>
        <w:tblW w:w="90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6"/>
        <w:gridCol w:w="854"/>
        <w:gridCol w:w="2086"/>
        <w:gridCol w:w="813"/>
        <w:gridCol w:w="755"/>
        <w:gridCol w:w="755"/>
        <w:gridCol w:w="813"/>
        <w:gridCol w:w="973"/>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556"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（本列数据的勾稽关系为：第一项加第二项之和，等于第三项加第四项之和）</w:t>
            </w:r>
          </w:p>
        </w:tc>
        <w:tc>
          <w:tcPr>
            <w:tcW w:w="5515"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55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81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自然人</w:t>
            </w:r>
          </w:p>
        </w:tc>
        <w:tc>
          <w:tcPr>
            <w:tcW w:w="400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法人或其他组织</w:t>
            </w:r>
          </w:p>
        </w:tc>
        <w:tc>
          <w:tcPr>
            <w:tcW w:w="695"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55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8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商业企业</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科研机构</w:t>
            </w:r>
          </w:p>
        </w:tc>
        <w:tc>
          <w:tcPr>
            <w:tcW w:w="81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社会公益组织</w:t>
            </w:r>
          </w:p>
        </w:tc>
        <w:tc>
          <w:tcPr>
            <w:tcW w:w="9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法律服务机构</w:t>
            </w:r>
          </w:p>
        </w:tc>
        <w:tc>
          <w:tcPr>
            <w:tcW w:w="71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其他</w:t>
            </w:r>
          </w:p>
        </w:tc>
        <w:tc>
          <w:tcPr>
            <w:tcW w:w="695"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556"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一、本年新收政府信息公开申请数量</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556"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二、上年结转政府信息公开申请数量</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三、本年度办理结果</w:t>
            </w:r>
          </w:p>
        </w:tc>
        <w:tc>
          <w:tcPr>
            <w:tcW w:w="294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ascii="楷体" w:hAnsi="楷体" w:eastAsia="楷体" w:cs="楷体"/>
                <w:color w:val="auto"/>
                <w:kern w:val="0"/>
                <w:sz w:val="20"/>
                <w:szCs w:val="20"/>
                <w:lang w:val="en-US" w:eastAsia="zh-CN" w:bidi="ar"/>
              </w:rPr>
              <w:t>（一）予以公开</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6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294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楷体" w:hAnsi="楷体" w:eastAsia="楷体" w:cs="楷体"/>
                <w:color w:val="auto"/>
                <w:kern w:val="0"/>
                <w:sz w:val="20"/>
                <w:szCs w:val="20"/>
                <w:lang w:val="en-US" w:eastAsia="zh-CN" w:bidi="ar"/>
              </w:rPr>
              <w:t>（二）部分公开（区分处理的，只计这一情形，不计其他情形）</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85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楷体" w:hAnsi="楷体" w:eastAsia="楷体" w:cs="楷体"/>
                <w:color w:val="auto"/>
                <w:kern w:val="0"/>
                <w:sz w:val="20"/>
                <w:szCs w:val="20"/>
                <w:lang w:val="en-US" w:eastAsia="zh-CN" w:bidi="ar"/>
              </w:rPr>
              <w:t>（三）不予公开</w:t>
            </w: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楷体" w:hAnsi="楷体" w:eastAsia="楷体" w:cs="楷体"/>
                <w:color w:val="auto"/>
                <w:kern w:val="0"/>
                <w:sz w:val="20"/>
                <w:szCs w:val="20"/>
                <w:lang w:val="en-US" w:eastAsia="zh-CN" w:bidi="ar"/>
              </w:rPr>
              <w:t>1.属于国家秘密</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6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楷体" w:hAnsi="楷体" w:eastAsia="楷体" w:cs="楷体"/>
                <w:color w:val="auto"/>
                <w:kern w:val="0"/>
                <w:sz w:val="20"/>
                <w:szCs w:val="20"/>
                <w:lang w:val="en-US" w:eastAsia="zh-CN" w:bidi="ar"/>
              </w:rPr>
              <w:t>2.其他法律行政法规禁止公开</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楷体" w:hAnsi="楷体" w:eastAsia="楷体" w:cs="楷体"/>
                <w:color w:val="auto"/>
                <w:kern w:val="0"/>
                <w:sz w:val="20"/>
                <w:szCs w:val="20"/>
                <w:lang w:val="en-US" w:eastAsia="zh-CN" w:bidi="ar"/>
              </w:rPr>
              <w:t>3.危及“三安全一稳定”</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楷体" w:hAnsi="楷体" w:eastAsia="楷体" w:cs="楷体"/>
                <w:color w:val="auto"/>
                <w:kern w:val="0"/>
                <w:sz w:val="20"/>
                <w:szCs w:val="20"/>
                <w:lang w:val="en-US" w:eastAsia="zh-CN" w:bidi="ar"/>
              </w:rPr>
              <w:t>4.保护第三方合法权益</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楷体" w:hAnsi="楷体" w:eastAsia="楷体" w:cs="楷体"/>
                <w:color w:val="auto"/>
                <w:kern w:val="0"/>
                <w:sz w:val="20"/>
                <w:szCs w:val="20"/>
                <w:lang w:val="en-US" w:eastAsia="zh-CN" w:bidi="ar"/>
              </w:rPr>
              <w:t>5.属于三类内部事务信息</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楷体" w:hAnsi="楷体" w:eastAsia="楷体" w:cs="楷体"/>
                <w:color w:val="auto"/>
                <w:kern w:val="0"/>
                <w:sz w:val="20"/>
                <w:szCs w:val="20"/>
                <w:lang w:val="en-US" w:eastAsia="zh-CN" w:bidi="ar"/>
              </w:rPr>
              <w:t>6.属于四类过程性信息</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楷体" w:hAnsi="楷体" w:eastAsia="楷体" w:cs="楷体"/>
                <w:color w:val="auto"/>
                <w:kern w:val="0"/>
                <w:sz w:val="20"/>
                <w:szCs w:val="20"/>
                <w:lang w:val="en-US" w:eastAsia="zh-CN" w:bidi="ar"/>
              </w:rPr>
              <w:t>7.属于行政执法案卷</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楷体" w:hAnsi="楷体" w:eastAsia="楷体" w:cs="楷体"/>
                <w:color w:val="auto"/>
                <w:kern w:val="0"/>
                <w:sz w:val="20"/>
                <w:szCs w:val="20"/>
                <w:lang w:val="en-US" w:eastAsia="zh-CN" w:bidi="ar"/>
              </w:rPr>
              <w:t>8.属于行政查询事项</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85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楷体" w:hAnsi="楷体" w:eastAsia="楷体" w:cs="楷体"/>
                <w:color w:val="auto"/>
                <w:kern w:val="0"/>
                <w:sz w:val="20"/>
                <w:szCs w:val="20"/>
                <w:lang w:val="en-US" w:eastAsia="zh-CN" w:bidi="ar"/>
              </w:rPr>
              <w:t>（四）无法提供</w:t>
            </w: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楷体" w:hAnsi="楷体" w:eastAsia="楷体" w:cs="楷体"/>
                <w:color w:val="auto"/>
                <w:kern w:val="0"/>
                <w:sz w:val="20"/>
                <w:szCs w:val="20"/>
                <w:lang w:val="en-US" w:eastAsia="zh-CN" w:bidi="ar"/>
              </w:rPr>
              <w:t>1.本机关不掌握相关政府信息</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楷体" w:hAnsi="楷体" w:eastAsia="楷体" w:cs="楷体"/>
                <w:color w:val="auto"/>
                <w:kern w:val="0"/>
                <w:sz w:val="20"/>
                <w:szCs w:val="20"/>
                <w:lang w:val="en-US" w:eastAsia="zh-CN" w:bidi="ar"/>
              </w:rPr>
              <w:t>2.没有现成信息需要另行制作</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楷体" w:hAnsi="楷体" w:eastAsia="楷体" w:cs="楷体"/>
                <w:color w:val="auto"/>
                <w:kern w:val="0"/>
                <w:sz w:val="20"/>
                <w:szCs w:val="20"/>
                <w:lang w:val="en-US" w:eastAsia="zh-CN" w:bidi="ar"/>
              </w:rPr>
              <w:t>3.补正后申请内容仍不明确</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85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楷体" w:hAnsi="楷体" w:eastAsia="楷体" w:cs="楷体"/>
                <w:color w:val="auto"/>
                <w:kern w:val="0"/>
                <w:sz w:val="20"/>
                <w:szCs w:val="20"/>
                <w:lang w:val="en-US" w:eastAsia="zh-CN" w:bidi="ar"/>
              </w:rPr>
              <w:t>（五）不予处理</w:t>
            </w: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楷体" w:hAnsi="楷体" w:eastAsia="楷体" w:cs="楷体"/>
                <w:color w:val="auto"/>
                <w:kern w:val="0"/>
                <w:sz w:val="20"/>
                <w:szCs w:val="20"/>
                <w:lang w:val="en-US" w:eastAsia="zh-CN" w:bidi="ar"/>
              </w:rPr>
              <w:t>1.信访举报投诉类申请</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楷体" w:hAnsi="楷体" w:eastAsia="楷体" w:cs="楷体"/>
                <w:color w:val="auto"/>
                <w:kern w:val="0"/>
                <w:sz w:val="20"/>
                <w:szCs w:val="20"/>
                <w:lang w:val="en-US" w:eastAsia="zh-CN" w:bidi="ar"/>
              </w:rPr>
              <w:t>2.重复申请</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楷体" w:hAnsi="楷体" w:eastAsia="楷体" w:cs="楷体"/>
                <w:color w:val="auto"/>
                <w:kern w:val="0"/>
                <w:sz w:val="20"/>
                <w:szCs w:val="20"/>
                <w:lang w:val="en-US" w:eastAsia="zh-CN" w:bidi="ar"/>
              </w:rPr>
              <w:t>3.要求提供公开出版物</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楷体" w:hAnsi="楷体" w:eastAsia="楷体" w:cs="楷体"/>
                <w:color w:val="auto"/>
                <w:kern w:val="0"/>
                <w:sz w:val="20"/>
                <w:szCs w:val="20"/>
                <w:lang w:val="en-US" w:eastAsia="zh-CN" w:bidi="ar"/>
              </w:rPr>
              <w:t>4.无正当理由大量反复申请</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Calibri" w:eastAsia="宋体" w:cs="Times New Roman"/>
                <w:color w:val="auto"/>
                <w:kern w:val="2"/>
                <w:sz w:val="24"/>
                <w:szCs w:val="24"/>
                <w:lang w:val="en-US" w:eastAsia="zh-CN" w:bidi="ar-SA"/>
              </w:rPr>
            </w:pP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楷体" w:hAnsi="楷体" w:eastAsia="楷体" w:cs="楷体"/>
                <w:color w:val="auto"/>
                <w:kern w:val="0"/>
                <w:sz w:val="20"/>
                <w:szCs w:val="20"/>
                <w:lang w:val="en-US" w:eastAsia="zh-CN" w:bidi="ar"/>
              </w:rPr>
              <w:t>5.要求行政机关确认或重新出具已获取信息</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294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楷体" w:hAnsi="楷体" w:eastAsia="楷体" w:cs="楷体"/>
                <w:color w:val="auto"/>
                <w:kern w:val="0"/>
                <w:sz w:val="20"/>
                <w:szCs w:val="20"/>
                <w:lang w:val="en-US" w:eastAsia="zh-CN" w:bidi="ar"/>
              </w:rPr>
              <w:t>（六）其他处理</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294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楷体" w:hAnsi="楷体" w:eastAsia="楷体" w:cs="楷体"/>
                <w:color w:val="auto"/>
                <w:kern w:val="0"/>
                <w:sz w:val="20"/>
                <w:szCs w:val="20"/>
                <w:lang w:val="en-US" w:eastAsia="zh-CN" w:bidi="ar"/>
              </w:rPr>
              <w:t>（七）总计</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556"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四、结转下年度继续办理</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宋体" w:cs="Calibri"/>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r>
    </w:tbl>
    <w:p>
      <w:pPr>
        <w:pStyle w:val="2"/>
        <w:keepNext w:val="0"/>
        <w:keepLines w:val="0"/>
        <w:widowControl/>
        <w:suppressLineNumbers w:val="0"/>
        <w:shd w:val="clear" w:color="auto" w:fill="FFFFFF"/>
        <w:spacing w:line="630" w:lineRule="atLeast"/>
        <w:ind w:left="0" w:firstLine="615"/>
        <w:jc w:val="both"/>
        <w:rPr>
          <w:rStyle w:val="5"/>
          <w:rFonts w:hint="eastAsia" w:ascii="黑体" w:hAnsi="宋体" w:eastAsia="黑体" w:cs="黑体"/>
          <w:color w:val="auto"/>
          <w:sz w:val="31"/>
          <w:szCs w:val="31"/>
          <w:shd w:val="clear" w:color="auto" w:fill="FFFFFF"/>
        </w:rPr>
      </w:pPr>
      <w:r>
        <w:rPr>
          <w:rStyle w:val="5"/>
          <w:rFonts w:hint="eastAsia" w:ascii="黑体" w:hAnsi="宋体" w:eastAsia="黑体" w:cs="黑体"/>
          <w:color w:val="auto"/>
          <w:sz w:val="31"/>
          <w:szCs w:val="31"/>
          <w:shd w:val="clear" w:color="auto" w:fill="FFFFFF"/>
          <w:lang w:eastAsia="zh-CN"/>
        </w:rPr>
        <w:t>四</w:t>
      </w:r>
      <w:r>
        <w:rPr>
          <w:rStyle w:val="5"/>
          <w:rFonts w:hint="eastAsia" w:ascii="黑体" w:hAnsi="宋体" w:eastAsia="黑体" w:cs="黑体"/>
          <w:color w:val="auto"/>
          <w:sz w:val="31"/>
          <w:szCs w:val="31"/>
          <w:shd w:val="clear" w:color="auto" w:fill="FFFFFF"/>
        </w:rPr>
        <w:t>、收到和处理政府信息公开申请情况</w:t>
      </w:r>
    </w:p>
    <w:tbl>
      <w:tblPr>
        <w:tblStyle w:val="3"/>
        <w:tblW w:w="7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08"/>
        <w:gridCol w:w="1128"/>
        <w:gridCol w:w="1312"/>
        <w:gridCol w:w="582"/>
        <w:gridCol w:w="554"/>
        <w:gridCol w:w="554"/>
        <w:gridCol w:w="582"/>
        <w:gridCol w:w="660"/>
        <w:gridCol w:w="540"/>
        <w:gridCol w:w="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844"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jc w:val="center"/>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（本列数据的勾稽关系为：第一项加第二项之和，等于第三项加第四项之和）</w:t>
            </w:r>
          </w:p>
        </w:tc>
        <w:tc>
          <w:tcPr>
            <w:tcW w:w="4416" w:type="dxa"/>
            <w:gridSpan w:val="7"/>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jc w:val="center"/>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844"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648" w:type="dxa"/>
            <w:vMerge w:val="restart"/>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jc w:val="center"/>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自然人</w:t>
            </w:r>
          </w:p>
        </w:tc>
        <w:tc>
          <w:tcPr>
            <w:tcW w:w="3204" w:type="dxa"/>
            <w:gridSpan w:val="5"/>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jc w:val="center"/>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法人或其他组织</w:t>
            </w:r>
          </w:p>
        </w:tc>
        <w:tc>
          <w:tcPr>
            <w:tcW w:w="552" w:type="dxa"/>
            <w:vMerge w:val="restart"/>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jc w:val="center"/>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844"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648"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jc w:val="center"/>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商业企业</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jc w:val="center"/>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科研机构</w:t>
            </w:r>
          </w:p>
        </w:tc>
        <w:tc>
          <w:tcPr>
            <w:tcW w:w="648"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jc w:val="center"/>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社会公益组织</w:t>
            </w:r>
          </w:p>
        </w:tc>
        <w:tc>
          <w:tcPr>
            <w:tcW w:w="780"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jc w:val="center"/>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法律服务机构</w:t>
            </w:r>
          </w:p>
        </w:tc>
        <w:tc>
          <w:tcPr>
            <w:tcW w:w="564"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jc w:val="center"/>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其他</w:t>
            </w:r>
          </w:p>
        </w:tc>
        <w:tc>
          <w:tcPr>
            <w:tcW w:w="552" w:type="dxa"/>
            <w:vMerge w:val="continue"/>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844" w:type="dxa"/>
            <w:gridSpan w:val="3"/>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一、本年新收政府信息公开申请数量</w:t>
            </w: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78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6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5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844" w:type="dxa"/>
            <w:gridSpan w:val="3"/>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二、上年结转政府信息公开申请数量</w:t>
            </w: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78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6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5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92" w:type="dxa"/>
            <w:vMerge w:val="restart"/>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jc w:val="center"/>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三、本年度办理结果</w:t>
            </w:r>
          </w:p>
        </w:tc>
        <w:tc>
          <w:tcPr>
            <w:tcW w:w="2352" w:type="dxa"/>
            <w:gridSpan w:val="2"/>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（一）予以公开</w:t>
            </w: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78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6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52"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9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2352" w:type="dxa"/>
            <w:gridSpan w:val="2"/>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（二）部分公开（区分处理的，只计这一情形，不计其他情形）</w:t>
            </w: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78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6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5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9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684" w:type="dxa"/>
            <w:vMerge w:val="restart"/>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（三）不予公开</w:t>
            </w:r>
          </w:p>
        </w:tc>
        <w:tc>
          <w:tcPr>
            <w:tcW w:w="166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1.属于国家秘密</w:t>
            </w: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78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6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52"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9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684"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166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2.其他法律行政法规禁止公开</w:t>
            </w: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78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6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5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9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684"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166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3.危及“三安全一稳定”</w:t>
            </w: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78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6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5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9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684"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166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4.保护第三方合法权益</w:t>
            </w: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78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6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5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9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684"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166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5.属于三类内部事务信息</w:t>
            </w: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78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6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5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9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684"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166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6.属于四类过程性信息</w:t>
            </w: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78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6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5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9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684"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166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7.属于行政执法案卷</w:t>
            </w: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78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6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5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9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684"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166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8.属于行政查询事项</w:t>
            </w: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78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6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5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9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684" w:type="dxa"/>
            <w:vMerge w:val="restart"/>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（四）无法提供</w:t>
            </w:r>
          </w:p>
        </w:tc>
        <w:tc>
          <w:tcPr>
            <w:tcW w:w="166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1.本机关不掌握相关政府信息</w:t>
            </w: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78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6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5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9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684"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166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2.没有现成信息需要另行制作</w:t>
            </w: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78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6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5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9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684"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166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3.补正后申请内容仍不明确</w:t>
            </w: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78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6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5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9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684" w:type="dxa"/>
            <w:vMerge w:val="restart"/>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（五）不予处理</w:t>
            </w:r>
          </w:p>
        </w:tc>
        <w:tc>
          <w:tcPr>
            <w:tcW w:w="166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1.信访举报投诉类申请</w:t>
            </w: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78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6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5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9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684"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166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2.重复申请</w:t>
            </w: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78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6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5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9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684"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166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3.要求提供公开出版物</w:t>
            </w: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78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6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5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9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684"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166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4.无正当理由大量反复申请</w:t>
            </w: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78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6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5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9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684"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166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5.要求行政机关确认或重新出具已获取信息</w:t>
            </w: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78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6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5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9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2352" w:type="dxa"/>
            <w:gridSpan w:val="2"/>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（六）其他处理</w:t>
            </w: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78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6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5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9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rPr>
                <w:rFonts w:hint="eastAsia" w:ascii="仿宋" w:hAnsi="仿宋" w:eastAsia="仿宋" w:cs="仿宋"/>
                <w:i w:val="0"/>
                <w:caps w:val="0"/>
                <w:color w:val="auto"/>
                <w:spacing w:val="0"/>
                <w:sz w:val="32"/>
                <w:szCs w:val="32"/>
              </w:rPr>
            </w:pPr>
          </w:p>
        </w:tc>
        <w:tc>
          <w:tcPr>
            <w:tcW w:w="2352" w:type="dxa"/>
            <w:gridSpan w:val="2"/>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（七）总计</w:t>
            </w: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78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6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5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844" w:type="dxa"/>
            <w:gridSpan w:val="3"/>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rPr>
              <w:t>四、结转下年度继续办理</w:t>
            </w: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64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78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6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c>
          <w:tcPr>
            <w:tcW w:w="55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widowControl/>
              <w:suppressLineNumbers w:val="0"/>
              <w:ind w:left="0" w:firstLine="0"/>
              <w:jc w:val="left"/>
              <w:rPr>
                <w:rFonts w:hint="eastAsia" w:ascii="仿宋" w:hAnsi="仿宋" w:eastAsia="仿宋" w:cs="仿宋"/>
                <w:i w:val="0"/>
                <w:caps w:val="0"/>
                <w:color w:val="auto"/>
                <w:spacing w:val="0"/>
                <w:sz w:val="32"/>
                <w:szCs w:val="32"/>
              </w:rPr>
            </w:pPr>
          </w:p>
        </w:tc>
      </w:tr>
    </w:tbl>
    <w:p>
      <w:pPr>
        <w:pStyle w:val="2"/>
        <w:keepNext w:val="0"/>
        <w:keepLines w:val="0"/>
        <w:widowControl/>
        <w:suppressLineNumbers w:val="0"/>
        <w:shd w:val="clear" w:color="auto" w:fill="FFFFFF"/>
        <w:spacing w:line="630" w:lineRule="atLeast"/>
        <w:jc w:val="both"/>
        <w:rPr>
          <w:color w:val="auto"/>
        </w:rPr>
      </w:pPr>
    </w:p>
    <w:p>
      <w:pPr>
        <w:pStyle w:val="2"/>
        <w:keepNext w:val="0"/>
        <w:keepLines w:val="0"/>
        <w:widowControl/>
        <w:suppressLineNumbers w:val="0"/>
        <w:shd w:val="clear" w:color="auto" w:fill="FFFFFF"/>
        <w:spacing w:line="630" w:lineRule="atLeast"/>
        <w:ind w:left="0" w:firstLine="645"/>
        <w:jc w:val="both"/>
        <w:rPr>
          <w:color w:val="auto"/>
        </w:rPr>
      </w:pPr>
      <w:r>
        <w:rPr>
          <w:rStyle w:val="5"/>
          <w:rFonts w:hint="eastAsia" w:ascii="黑体" w:hAnsi="宋体" w:eastAsia="黑体" w:cs="黑体"/>
          <w:color w:val="auto"/>
          <w:sz w:val="31"/>
          <w:szCs w:val="31"/>
          <w:shd w:val="clear" w:color="auto" w:fill="FFFFFF"/>
          <w:lang w:eastAsia="zh-CN"/>
        </w:rPr>
        <w:t>五</w:t>
      </w:r>
      <w:r>
        <w:rPr>
          <w:rStyle w:val="5"/>
          <w:rFonts w:hint="eastAsia" w:ascii="黑体" w:hAnsi="宋体" w:eastAsia="黑体" w:cs="黑体"/>
          <w:color w:val="auto"/>
          <w:sz w:val="31"/>
          <w:szCs w:val="31"/>
          <w:shd w:val="clear" w:color="auto" w:fill="FFFFFF"/>
        </w:rPr>
        <w:t>、政府信息公开行政复议、行政诉讼情况</w:t>
      </w:r>
    </w:p>
    <w:tbl>
      <w:tblPr>
        <w:tblStyle w:val="3"/>
        <w:tblW w:w="9071"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6F4FF"/>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6F4FF"/>
          <w:tblCellMar>
            <w:top w:w="15" w:type="dxa"/>
            <w:left w:w="15" w:type="dxa"/>
            <w:bottom w:w="15" w:type="dxa"/>
            <w:right w:w="15" w:type="dxa"/>
          </w:tblCellMar>
        </w:tblPrEx>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6F4FF"/>
          <w:tblCellMar>
            <w:top w:w="15" w:type="dxa"/>
            <w:left w:w="15" w:type="dxa"/>
            <w:bottom w:w="15" w:type="dxa"/>
            <w:right w:w="15" w:type="dxa"/>
          </w:tblCellMar>
        </w:tblPrEx>
        <w:tc>
          <w:tcPr>
            <w:tcW w:w="60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6F4FF"/>
          <w:tblCellMar>
            <w:top w:w="15" w:type="dxa"/>
            <w:left w:w="15" w:type="dxa"/>
            <w:bottom w:w="15" w:type="dxa"/>
            <w:right w:w="15" w:type="dxa"/>
          </w:tblCellMar>
        </w:tblPrEx>
        <w:tc>
          <w:tcPr>
            <w:tcW w:w="60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egoe UI" w:hAnsi="Segoe UI" w:eastAsia="Segoe UI" w:cs="Segoe UI"/>
                <w:b w:val="0"/>
                <w:i w:val="0"/>
                <w:caps w:val="0"/>
                <w:color w:val="auto"/>
                <w:spacing w:val="0"/>
                <w:sz w:val="21"/>
                <w:szCs w:val="21"/>
              </w:rPr>
            </w:pPr>
          </w:p>
        </w:tc>
        <w:tc>
          <w:tcPr>
            <w:tcW w:w="6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egoe UI" w:hAnsi="Segoe UI" w:eastAsia="Segoe UI" w:cs="Segoe UI"/>
                <w:b w:val="0"/>
                <w:i w:val="0"/>
                <w:caps w:val="0"/>
                <w:color w:val="auto"/>
                <w:spacing w:val="0"/>
                <w:sz w:val="21"/>
                <w:szCs w:val="21"/>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egoe UI" w:hAnsi="Segoe UI" w:eastAsia="Segoe UI" w:cs="Segoe UI"/>
                <w:b w:val="0"/>
                <w:i w:val="0"/>
                <w:caps w:val="0"/>
                <w:color w:val="auto"/>
                <w:spacing w:val="0"/>
                <w:sz w:val="21"/>
                <w:szCs w:val="21"/>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egoe UI" w:hAnsi="Segoe UI" w:eastAsia="Segoe UI" w:cs="Segoe UI"/>
                <w:b w:val="0"/>
                <w:i w:val="0"/>
                <w:caps w:val="0"/>
                <w:color w:val="auto"/>
                <w:spacing w:val="0"/>
                <w:sz w:val="21"/>
                <w:szCs w:val="21"/>
              </w:rPr>
            </w:pPr>
          </w:p>
        </w:tc>
        <w:tc>
          <w:tcPr>
            <w:tcW w:w="65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egoe UI" w:hAnsi="Segoe UI" w:eastAsia="Segoe UI" w:cs="Segoe UI"/>
                <w:b w:val="0"/>
                <w:i w:val="0"/>
                <w:caps w:val="0"/>
                <w:color w:val="auto"/>
                <w:spacing w:val="0"/>
                <w:sz w:val="21"/>
                <w:szCs w:val="21"/>
              </w:rPr>
            </w:pP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6F4FF"/>
          <w:tblCellMar>
            <w:top w:w="15" w:type="dxa"/>
            <w:left w:w="15" w:type="dxa"/>
            <w:bottom w:w="15" w:type="dxa"/>
            <w:right w:w="15" w:type="dxa"/>
          </w:tblCellMar>
        </w:tblPrEx>
        <w:tc>
          <w:tcPr>
            <w:tcW w:w="6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ascii="Calibri" w:hAnsi="Calibri" w:eastAsia="Segoe UI" w:cs="Calibri"/>
                <w:b w:val="0"/>
                <w:i w:val="0"/>
                <w:caps w:val="0"/>
                <w:color w:val="auto"/>
                <w:spacing w:val="0"/>
                <w:kern w:val="0"/>
                <w:sz w:val="20"/>
                <w:szCs w:val="20"/>
                <w:lang w:val="en-US" w:eastAsia="zh-CN" w:bidi="ar"/>
              </w:rPr>
              <w:t>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Segoe UI" w:cs="Calibri"/>
                <w:b w:val="0"/>
                <w:i w:val="0"/>
                <w:caps w:val="0"/>
                <w:color w:val="auto"/>
                <w:spacing w:val="0"/>
                <w:kern w:val="0"/>
                <w:sz w:val="20"/>
                <w:szCs w:val="20"/>
                <w:lang w:val="en-US" w:eastAsia="zh-CN" w:bidi="ar"/>
              </w:rPr>
              <w:t>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Segoe UI" w:cs="Calibri"/>
                <w:b w:val="0"/>
                <w:i w:val="0"/>
                <w:caps w:val="0"/>
                <w:color w:val="auto"/>
                <w:spacing w:val="0"/>
                <w:kern w:val="0"/>
                <w:sz w:val="20"/>
                <w:szCs w:val="20"/>
                <w:lang w:val="en-US" w:eastAsia="zh-CN" w:bidi="ar"/>
              </w:rPr>
              <w:t>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Segoe UI" w:cs="Calibri"/>
                <w:b w:val="0"/>
                <w:i w:val="0"/>
                <w:caps w:val="0"/>
                <w:color w:val="auto"/>
                <w:spacing w:val="0"/>
                <w:kern w:val="0"/>
                <w:sz w:val="20"/>
                <w:szCs w:val="20"/>
                <w:lang w:val="en-US" w:eastAsia="zh-CN" w:bidi="ar"/>
              </w:rPr>
              <w:t> </w:t>
            </w:r>
          </w:p>
        </w:tc>
        <w:tc>
          <w:tcPr>
            <w:tcW w:w="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eastAsia="Segoe UI" w:cs="Calibri"/>
                <w:b w:val="0"/>
                <w:i w:val="0"/>
                <w:caps w:val="0"/>
                <w:color w:val="auto"/>
                <w:spacing w:val="0"/>
                <w:kern w:val="0"/>
                <w:sz w:val="20"/>
                <w:szCs w:val="20"/>
                <w:lang w:val="en-US" w:eastAsia="zh-CN" w:bidi="ar"/>
              </w:rPr>
              <w:t> </w:t>
            </w: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b w:val="0"/>
                <w:i w:val="0"/>
                <w:caps w:val="0"/>
                <w:color w:val="auto"/>
                <w:spacing w:val="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egoe UI" w:hAnsi="Segoe UI" w:eastAsia="Segoe UI" w:cs="Segoe UI"/>
                <w:b w:val="0"/>
                <w:i w:val="0"/>
                <w:caps w:val="0"/>
                <w:color w:val="auto"/>
                <w:spacing w:val="0"/>
                <w:sz w:val="21"/>
                <w:szCs w:val="21"/>
              </w:rPr>
            </w:pPr>
          </w:p>
        </w:tc>
      </w:tr>
    </w:tbl>
    <w:p>
      <w:pPr>
        <w:keepNext w:val="0"/>
        <w:keepLines w:val="0"/>
        <w:widowControl/>
        <w:suppressLineNumbers w:val="0"/>
        <w:jc w:val="left"/>
        <w:rPr>
          <w:color w:val="auto"/>
        </w:rPr>
      </w:pPr>
    </w:p>
    <w:p>
      <w:pPr>
        <w:pStyle w:val="2"/>
        <w:keepNext w:val="0"/>
        <w:keepLines w:val="0"/>
        <w:widowControl/>
        <w:numPr>
          <w:ilvl w:val="0"/>
          <w:numId w:val="1"/>
        </w:numPr>
        <w:suppressLineNumbers w:val="0"/>
        <w:ind w:firstLine="622" w:firstLineChars="200"/>
        <w:rPr>
          <w:rStyle w:val="5"/>
          <w:rFonts w:hint="eastAsia" w:ascii="黑体" w:hAnsi="宋体" w:eastAsia="黑体" w:cs="黑体"/>
          <w:color w:val="auto"/>
          <w:sz w:val="31"/>
          <w:szCs w:val="31"/>
        </w:rPr>
      </w:pPr>
      <w:r>
        <w:rPr>
          <w:rStyle w:val="5"/>
          <w:rFonts w:hint="eastAsia" w:ascii="黑体" w:hAnsi="宋体" w:eastAsia="黑体" w:cs="黑体"/>
          <w:color w:val="auto"/>
          <w:sz w:val="31"/>
          <w:szCs w:val="31"/>
        </w:rPr>
        <w:t>存在的主要问题及改进情况</w:t>
      </w:r>
    </w:p>
    <w:p>
      <w:pPr>
        <w:pStyle w:val="2"/>
        <w:keepNext w:val="0"/>
        <w:keepLines w:val="0"/>
        <w:widowControl/>
        <w:suppressLineNumbers w:val="0"/>
        <w:spacing w:before="0" w:beforeAutospacing="0" w:after="0" w:afterAutospacing="0" w:line="444" w:lineRule="atLeast"/>
        <w:ind w:left="0" w:right="0" w:firstLine="643" w:firstLineChars="200"/>
        <w:rPr>
          <w:rFonts w:hint="eastAsia" w:ascii="仿宋" w:hAnsi="仿宋" w:eastAsia="仿宋" w:cs="仿宋"/>
          <w:i w:val="0"/>
          <w:caps w:val="0"/>
          <w:color w:val="auto"/>
          <w:spacing w:val="0"/>
          <w:sz w:val="32"/>
          <w:szCs w:val="32"/>
        </w:rPr>
      </w:pPr>
      <w:r>
        <w:rPr>
          <w:rStyle w:val="5"/>
          <w:rFonts w:hint="eastAsia" w:ascii="仿宋" w:hAnsi="仿宋" w:eastAsia="仿宋" w:cs="仿宋"/>
          <w:i w:val="0"/>
          <w:caps w:val="0"/>
          <w:color w:val="auto"/>
          <w:spacing w:val="0"/>
          <w:sz w:val="32"/>
          <w:szCs w:val="32"/>
        </w:rPr>
        <w:t>县供销社政府信息公开工作虽然取得了一定的成绩，但也存在一些问题和不足，主要是信息公开的内容有待进一步完善，信息更新还不够及时。为进一步做好县供销社信息公开工作，我们在今后的信息公开工作中将进一步统一认识，努力规范工作流程，进一步梳理县供销社所掌握的政府信息，及时提供，定期维护，确保政府信息公开工作能按照既定的工作流程有效运作，方便公众查询。同时，我们还将进一步对政府信息公开目录进行补充完善，认真梳理，逐步扩大公开内容，保证公开信息的完整性和准确性。</w:t>
      </w:r>
    </w:p>
    <w:p>
      <w:pPr>
        <w:pStyle w:val="2"/>
        <w:keepNext w:val="0"/>
        <w:keepLines w:val="0"/>
        <w:widowControl/>
        <w:numPr>
          <w:ilvl w:val="0"/>
          <w:numId w:val="0"/>
        </w:numPr>
        <w:suppressLineNumbers w:val="0"/>
        <w:ind w:leftChars="200" w:right="0" w:rightChars="0"/>
        <w:rPr>
          <w:rStyle w:val="5"/>
          <w:rFonts w:hint="eastAsia" w:ascii="黑体" w:hAnsi="宋体" w:eastAsia="黑体" w:cs="黑体"/>
          <w:color w:val="auto"/>
          <w:sz w:val="31"/>
          <w:szCs w:val="31"/>
        </w:rPr>
      </w:pPr>
    </w:p>
    <w:p>
      <w:pPr>
        <w:pStyle w:val="2"/>
        <w:keepNext w:val="0"/>
        <w:keepLines w:val="0"/>
        <w:widowControl/>
        <w:suppressLineNumbers w:val="0"/>
        <w:rPr>
          <w:color w:val="auto"/>
        </w:rPr>
      </w:pPr>
      <w:r>
        <w:rPr>
          <w:rStyle w:val="5"/>
          <w:rFonts w:hint="eastAsia" w:ascii="仿宋" w:hAnsi="仿宋" w:eastAsia="仿宋" w:cs="仿宋"/>
          <w:color w:val="auto"/>
          <w:sz w:val="31"/>
          <w:szCs w:val="31"/>
        </w:rPr>
        <w:t> </w:t>
      </w:r>
      <w:r>
        <w:rPr>
          <w:rStyle w:val="5"/>
          <w:rFonts w:hint="eastAsia" w:ascii="仿宋" w:hAnsi="仿宋" w:eastAsia="仿宋" w:cs="仿宋"/>
          <w:color w:val="auto"/>
          <w:sz w:val="31"/>
          <w:szCs w:val="31"/>
          <w:lang w:val="en-US" w:eastAsia="zh-CN"/>
        </w:rPr>
        <w:t xml:space="preserve"> </w:t>
      </w:r>
      <w:r>
        <w:rPr>
          <w:rStyle w:val="5"/>
          <w:rFonts w:hint="eastAsia" w:ascii="仿宋" w:hAnsi="仿宋" w:eastAsia="仿宋" w:cs="仿宋"/>
          <w:color w:val="auto"/>
          <w:sz w:val="31"/>
          <w:szCs w:val="31"/>
        </w:rPr>
        <w:t xml:space="preserve"> </w:t>
      </w:r>
      <w:r>
        <w:rPr>
          <w:rStyle w:val="5"/>
          <w:rFonts w:hint="eastAsia" w:ascii="黑体" w:hAnsi="宋体" w:eastAsia="黑体" w:cs="黑体"/>
          <w:color w:val="auto"/>
          <w:sz w:val="31"/>
          <w:szCs w:val="31"/>
        </w:rPr>
        <w:t xml:space="preserve"> </w:t>
      </w:r>
      <w:r>
        <w:rPr>
          <w:rStyle w:val="5"/>
          <w:rFonts w:hint="eastAsia" w:ascii="黑体" w:hAnsi="宋体" w:eastAsia="黑体" w:cs="黑体"/>
          <w:color w:val="auto"/>
          <w:sz w:val="31"/>
          <w:szCs w:val="31"/>
          <w:lang w:eastAsia="zh-CN"/>
        </w:rPr>
        <w:t>七</w:t>
      </w:r>
      <w:r>
        <w:rPr>
          <w:rStyle w:val="5"/>
          <w:rFonts w:hint="eastAsia" w:ascii="黑体" w:hAnsi="宋体" w:eastAsia="黑体" w:cs="黑体"/>
          <w:color w:val="auto"/>
          <w:sz w:val="31"/>
          <w:szCs w:val="31"/>
        </w:rPr>
        <w:t>、其他需要报告的事项</w:t>
      </w:r>
    </w:p>
    <w:p>
      <w:pPr>
        <w:pStyle w:val="2"/>
        <w:keepNext w:val="0"/>
        <w:keepLines w:val="0"/>
        <w:widowControl/>
        <w:suppressLineNumbers w:val="0"/>
        <w:rPr>
          <w:rFonts w:hint="default" w:eastAsia="仿宋"/>
          <w:color w:val="auto"/>
          <w:lang w:val="en-US" w:eastAsia="zh-CN"/>
        </w:rPr>
      </w:pPr>
      <w:r>
        <w:rPr>
          <w:rStyle w:val="5"/>
          <w:rFonts w:hint="eastAsia" w:ascii="仿宋" w:hAnsi="仿宋" w:eastAsia="仿宋" w:cs="仿宋"/>
          <w:color w:val="auto"/>
          <w:sz w:val="31"/>
          <w:szCs w:val="31"/>
        </w:rPr>
        <w:t> </w:t>
      </w:r>
      <w:r>
        <w:rPr>
          <w:rStyle w:val="5"/>
          <w:rFonts w:hint="eastAsia" w:ascii="仿宋" w:hAnsi="仿宋" w:eastAsia="仿宋" w:cs="仿宋"/>
          <w:color w:val="auto"/>
          <w:sz w:val="31"/>
          <w:szCs w:val="31"/>
          <w:lang w:val="en-US" w:eastAsia="zh-CN"/>
        </w:rPr>
        <w:t xml:space="preserve">      无。</w:t>
      </w:r>
    </w:p>
    <w:p>
      <w:pPr>
        <w:pStyle w:val="2"/>
        <w:keepNext w:val="0"/>
        <w:keepLines w:val="0"/>
        <w:widowControl/>
        <w:suppressLineNumbers w:val="0"/>
        <w:rPr>
          <w:rStyle w:val="5"/>
          <w:rFonts w:hint="eastAsia" w:ascii="仿宋" w:hAnsi="仿宋" w:eastAsia="仿宋" w:cs="仿宋"/>
          <w:color w:val="auto"/>
          <w:sz w:val="31"/>
          <w:szCs w:val="31"/>
        </w:rPr>
      </w:pPr>
    </w:p>
    <w:p>
      <w:pPr>
        <w:pStyle w:val="2"/>
        <w:keepNext w:val="0"/>
        <w:keepLines w:val="0"/>
        <w:widowControl/>
        <w:suppressLineNumbers w:val="0"/>
        <w:rPr>
          <w:rStyle w:val="5"/>
          <w:rFonts w:hint="eastAsia" w:ascii="仿宋" w:hAnsi="仿宋" w:eastAsia="仿宋" w:cs="仿宋"/>
          <w:color w:val="auto"/>
          <w:sz w:val="31"/>
          <w:szCs w:val="31"/>
          <w:lang w:val="en-US" w:eastAsia="zh-CN"/>
        </w:rPr>
      </w:pPr>
      <w:r>
        <w:rPr>
          <w:rStyle w:val="5"/>
          <w:rFonts w:hint="eastAsia" w:ascii="仿宋" w:hAnsi="仿宋" w:eastAsia="仿宋" w:cs="仿宋"/>
          <w:color w:val="auto"/>
          <w:sz w:val="31"/>
          <w:szCs w:val="31"/>
          <w:lang w:val="en-US" w:eastAsia="zh-CN"/>
        </w:rPr>
        <w:t xml:space="preserve">                             沂源县供销合作社联合社</w:t>
      </w:r>
    </w:p>
    <w:p>
      <w:pPr>
        <w:pStyle w:val="2"/>
        <w:keepNext w:val="0"/>
        <w:keepLines w:val="0"/>
        <w:widowControl/>
        <w:suppressLineNumbers w:val="0"/>
        <w:rPr>
          <w:rStyle w:val="5"/>
          <w:rFonts w:hint="default" w:ascii="仿宋" w:hAnsi="仿宋" w:eastAsia="仿宋" w:cs="仿宋"/>
          <w:color w:val="auto"/>
          <w:sz w:val="31"/>
          <w:szCs w:val="31"/>
          <w:lang w:val="en-US" w:eastAsia="zh-CN"/>
        </w:rPr>
      </w:pPr>
      <w:r>
        <w:rPr>
          <w:rStyle w:val="5"/>
          <w:rFonts w:hint="eastAsia" w:ascii="仿宋" w:hAnsi="仿宋" w:eastAsia="仿宋" w:cs="仿宋"/>
          <w:color w:val="auto"/>
          <w:sz w:val="31"/>
          <w:szCs w:val="31"/>
          <w:lang w:val="en-US" w:eastAsia="zh-CN"/>
        </w:rPr>
        <w:t xml:space="preserve">                                2020年1月18日</w:t>
      </w:r>
    </w:p>
    <w:p>
      <w:pPr>
        <w:pStyle w:val="2"/>
        <w:keepNext w:val="0"/>
        <w:keepLines w:val="0"/>
        <w:widowControl/>
        <w:suppressLineNumbers w:val="0"/>
        <w:ind w:left="5913" w:hanging="5913" w:hangingChars="1900"/>
        <w:rPr>
          <w:color w:val="auto"/>
        </w:rPr>
      </w:pPr>
      <w:r>
        <w:rPr>
          <w:rStyle w:val="5"/>
          <w:rFonts w:hint="eastAsia" w:ascii="仿宋" w:hAnsi="仿宋" w:eastAsia="仿宋" w:cs="仿宋"/>
          <w:color w:val="auto"/>
          <w:sz w:val="31"/>
          <w:szCs w:val="31"/>
        </w:rPr>
        <w:t>                                                                     </w:t>
      </w:r>
    </w:p>
    <w:p>
      <w:pPr>
        <w:numPr>
          <w:ilvl w:val="0"/>
          <w:numId w:val="0"/>
        </w:numPr>
        <w:ind w:firstLine="311" w:firstLineChars="100"/>
        <w:rPr>
          <w:rFonts w:hint="eastAsia" w:ascii="黑体" w:hAnsi="宋体" w:eastAsia="黑体" w:cs="黑体"/>
          <w:b/>
          <w:bCs/>
          <w:color w:val="auto"/>
          <w:sz w:val="31"/>
          <w:szCs w:val="31"/>
          <w:shd w:val="clear" w:color="auto"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2E4B72"/>
    <w:multiLevelType w:val="singleLevel"/>
    <w:tmpl w:val="C82E4B7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831D1"/>
    <w:rsid w:val="06740AE1"/>
    <w:rsid w:val="1A9E77D1"/>
    <w:rsid w:val="3A4831D1"/>
    <w:rsid w:val="70692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rFonts w:ascii="微软雅黑" w:hAnsi="微软雅黑" w:eastAsia="微软雅黑" w:cs="微软雅黑"/>
      <w:color w:val="0000FF"/>
      <w:u w:val="none"/>
    </w:rPr>
  </w:style>
  <w:style w:type="character" w:customStyle="1" w:styleId="7">
    <w:name w:val="hover12"/>
    <w:basedOn w:val="4"/>
    <w:uiPriority w:val="0"/>
    <w:rPr>
      <w:shd w:val="clear" w:fill="003D9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2020-07-17T02:02:00Z</dcterms:created>
  <dc:creator>Darren</dc:creator>
  <cp:lastModifiedBy>公政</cp:lastModifiedBy>
  <dcterms:modified xsi:type="dcterms:W3CDTF">2020-07-21T08:58:03Z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