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hd w:val="clear" w:color="auto" w:fill="FFFFFF"/>
        <w:ind w:left="0" w:leftChars="0" w:right="0" w:rightChars="0" w:firstLine="0" w:firstLineChars="0"/>
        <w:jc w:val="center"/>
        <w:rPr>
          <w:rFonts w:hint="default" w:ascii="Times New Roman" w:hAnsi="Times New Roman" w:eastAsia="方正小标宋简体" w:cs="Times New Roman"/>
          <w:color w:val="333333"/>
          <w:sz w:val="44"/>
          <w:szCs w:val="44"/>
          <w:shd w:val="clear" w:color="auto" w:fill="FFFFFF"/>
        </w:rPr>
      </w:pPr>
      <w:r>
        <w:rPr>
          <w:rFonts w:hint="default" w:ascii="Times New Roman" w:hAnsi="Times New Roman" w:eastAsia="方正小标宋简体" w:cs="Times New Roman"/>
          <w:color w:val="333333"/>
          <w:sz w:val="44"/>
          <w:szCs w:val="44"/>
          <w:shd w:val="clear" w:color="auto" w:fill="FFFFFF"/>
        </w:rPr>
        <w:t>沂源县</w:t>
      </w:r>
      <w:r>
        <w:rPr>
          <w:rFonts w:hint="default" w:ascii="Times New Roman" w:hAnsi="Times New Roman" w:eastAsia="方正小标宋简体" w:cs="Times New Roman"/>
          <w:color w:val="333333"/>
          <w:sz w:val="44"/>
          <w:szCs w:val="44"/>
          <w:shd w:val="clear" w:color="auto" w:fill="FFFFFF"/>
          <w:lang w:val="en-US" w:eastAsia="zh-CN"/>
        </w:rPr>
        <w:t>东里镇人民政府</w:t>
      </w:r>
      <w:r>
        <w:rPr>
          <w:rFonts w:hint="default" w:ascii="Times New Roman" w:hAnsi="Times New Roman" w:eastAsia="方正小标宋简体" w:cs="Times New Roman"/>
          <w:color w:val="333333"/>
          <w:sz w:val="44"/>
          <w:szCs w:val="44"/>
          <w:shd w:val="clear" w:color="auto" w:fill="FFFFFF"/>
        </w:rPr>
        <w:t>202</w:t>
      </w:r>
      <w:r>
        <w:rPr>
          <w:rFonts w:hint="default" w:ascii="Times New Roman" w:hAnsi="Times New Roman" w:eastAsia="方正小标宋简体" w:cs="Times New Roman"/>
          <w:color w:val="333333"/>
          <w:sz w:val="44"/>
          <w:szCs w:val="44"/>
          <w:shd w:val="clear" w:color="auto" w:fill="FFFFFF"/>
          <w:lang w:val="en-US" w:eastAsia="zh-CN"/>
        </w:rPr>
        <w:t>3</w:t>
      </w:r>
      <w:r>
        <w:rPr>
          <w:rFonts w:hint="default" w:ascii="Times New Roman" w:hAnsi="Times New Roman" w:eastAsia="方正小标宋简体" w:cs="Times New Roman"/>
          <w:color w:val="333333"/>
          <w:sz w:val="44"/>
          <w:szCs w:val="44"/>
          <w:shd w:val="clear" w:color="auto" w:fill="FFFFFF"/>
        </w:rPr>
        <w:t>年政府信息</w:t>
      </w:r>
    </w:p>
    <w:p>
      <w:pPr>
        <w:pStyle w:val="8"/>
        <w:widowControl/>
        <w:shd w:val="clear" w:color="auto" w:fill="FFFFFF"/>
        <w:ind w:left="0" w:leftChars="0" w:right="0" w:rightChars="0" w:firstLine="0" w:firstLineChars="0"/>
        <w:jc w:val="center"/>
        <w:rPr>
          <w:rFonts w:hint="default" w:ascii="Times New Roman" w:hAnsi="Times New Roman" w:eastAsia="方正小标宋简体" w:cs="Times New Roman"/>
          <w:color w:val="333333"/>
          <w:sz w:val="44"/>
          <w:szCs w:val="44"/>
          <w:shd w:val="clear" w:color="auto" w:fill="FFFFFF"/>
          <w:lang w:val="en-US" w:eastAsia="zh-CN"/>
        </w:rPr>
      </w:pPr>
      <w:r>
        <w:rPr>
          <w:rFonts w:hint="default" w:ascii="Times New Roman" w:hAnsi="Times New Roman" w:eastAsia="方正小标宋简体" w:cs="Times New Roman"/>
          <w:color w:val="333333"/>
          <w:sz w:val="44"/>
          <w:szCs w:val="44"/>
          <w:shd w:val="clear" w:color="auto" w:fill="FFFFFF"/>
        </w:rPr>
        <w:t>公开工作年度报告</w:t>
      </w:r>
      <w:r>
        <w:rPr>
          <w:rFonts w:hint="default" w:ascii="Times New Roman" w:hAnsi="Times New Roman" w:eastAsia="方正小标宋简体" w:cs="Times New Roman"/>
          <w:color w:val="333333"/>
          <w:sz w:val="44"/>
          <w:szCs w:val="44"/>
          <w:shd w:val="clear" w:color="auto" w:fill="FFFFFF"/>
          <w:lang w:val="en-US" w:eastAsia="zh-CN"/>
        </w:rPr>
        <w:t>解读</w:t>
      </w:r>
    </w:p>
    <w:p>
      <w:pPr>
        <w:pStyle w:val="8"/>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沂源县东里镇人民政府2023年政府信息公开工作年度报告》已经编制完成并向社会公开，为方便群众获取年报信息，进一步了解2023年政府信息公开工作，现就年报内容编制该解读报告。报告根据《中华人民共和国政府信息公开条例》和《国务院办公厅政府信息与政务公开办公室关于印发&lt;中华人民共和国政府信息公开工作年度报告格式&gt;的通知》（国办公开办函〔2021〕30号）相关要求编制。报告全文由编制背景、编制目的、总体情况、收到和处理政府信息公开申请情况、政府信息公开行政复议、行政诉讼情况、存在的主要问题及改进情况和其他需要报告的事项等七个部分组成。报告中所列数据统计期限自2023年1月1日始，至2023年12月31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firstLine="643" w:firstLineChars="200"/>
        <w:jc w:val="both"/>
        <w:textAlignment w:val="auto"/>
        <w:rPr>
          <w:rFonts w:hint="default" w:ascii="Times New Roman" w:hAnsi="Times New Roman" w:eastAsia="黑体" w:cs="Times New Roman"/>
          <w:b/>
          <w:bCs/>
          <w:kern w:val="0"/>
          <w:sz w:val="32"/>
          <w:szCs w:val="32"/>
          <w:lang w:val="en-US" w:eastAsia="zh-CN"/>
        </w:rPr>
      </w:pPr>
      <w:r>
        <w:rPr>
          <w:rFonts w:hint="default" w:ascii="Times New Roman" w:hAnsi="Times New Roman" w:eastAsia="黑体" w:cs="Times New Roman"/>
          <w:b/>
          <w:bCs/>
          <w:kern w:val="0"/>
          <w:sz w:val="32"/>
          <w:szCs w:val="32"/>
          <w:lang w:val="en-US" w:eastAsia="zh-CN"/>
        </w:rPr>
        <w:t>一、编制背景</w:t>
      </w:r>
    </w:p>
    <w:p>
      <w:pPr>
        <w:pStyle w:val="8"/>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政府信息公开工作年度报告是《中华人民共和国政府信息公开条例》确立的法定制度安排，是全面反映政府信息公开工作情况，更好地发挥政府信息公开制度功能的重要途径。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firstLine="643" w:firstLineChars="200"/>
        <w:jc w:val="both"/>
        <w:textAlignment w:val="auto"/>
        <w:rPr>
          <w:rFonts w:hint="default" w:ascii="Times New Roman" w:hAnsi="Times New Roman" w:eastAsia="黑体" w:cs="Times New Roman"/>
          <w:b/>
          <w:color w:val="333333"/>
          <w:kern w:val="0"/>
          <w:sz w:val="32"/>
          <w:szCs w:val="32"/>
          <w:shd w:val="clear" w:color="auto" w:fill="FFFFFF"/>
          <w:lang w:val="en-US" w:eastAsia="zh-CN"/>
        </w:rPr>
      </w:pPr>
      <w:r>
        <w:rPr>
          <w:rFonts w:hint="default" w:ascii="Times New Roman" w:hAnsi="Times New Roman" w:eastAsia="黑体" w:cs="Times New Roman"/>
          <w:b/>
          <w:color w:val="333333"/>
          <w:kern w:val="0"/>
          <w:sz w:val="32"/>
          <w:szCs w:val="32"/>
          <w:shd w:val="clear" w:color="auto" w:fill="FFFFFF"/>
          <w:lang w:val="en-US" w:eastAsia="zh-CN"/>
        </w:rPr>
        <w:t>二、编制目的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通过编制并公开政府信息公开年报，将政府的决策、规划、执法等各项工作内容公开化，深化政务公开水平，形成政府与社会之间的良性互动，积极引导公民有序参与政府治理，推动政府由管理型向服务型转变，从而不断提升政府治理能力。</w:t>
      </w:r>
    </w:p>
    <w:p>
      <w:pPr>
        <w:pStyle w:val="8"/>
        <w:keepNext w:val="0"/>
        <w:keepLines w:val="0"/>
        <w:pageBreakBefore w:val="0"/>
        <w:widowControl/>
        <w:shd w:val="clear" w:color="auto" w:fill="FFFFFF"/>
        <w:kinsoku/>
        <w:wordWrap/>
        <w:overflowPunct/>
        <w:topLinePunct w:val="0"/>
        <w:autoSpaceDE/>
        <w:autoSpaceDN/>
        <w:bidi w:val="0"/>
        <w:adjustRightInd w:val="0"/>
        <w:snapToGrid/>
        <w:spacing w:afterAutospacing="0" w:line="560" w:lineRule="exact"/>
        <w:ind w:left="0" w:firstLine="643" w:firstLineChars="200"/>
        <w:jc w:val="both"/>
        <w:textAlignment w:val="auto"/>
        <w:outlineLvl w:val="9"/>
        <w:rPr>
          <w:rFonts w:hint="default" w:ascii="Times New Roman" w:hAnsi="Times New Roman" w:eastAsia="黑体" w:cs="Times New Roman"/>
          <w:b/>
          <w:color w:val="333333"/>
          <w:sz w:val="32"/>
          <w:szCs w:val="32"/>
          <w:shd w:val="clear" w:color="auto" w:fill="FFFFFF"/>
          <w:lang w:val="en-US" w:eastAsia="zh-CN"/>
        </w:rPr>
      </w:pPr>
      <w:r>
        <w:rPr>
          <w:rFonts w:hint="default" w:ascii="Times New Roman" w:hAnsi="Times New Roman" w:eastAsia="黑体" w:cs="Times New Roman"/>
          <w:b/>
          <w:color w:val="333333"/>
          <w:sz w:val="32"/>
          <w:szCs w:val="32"/>
          <w:shd w:val="clear" w:color="auto" w:fill="FFFFFF"/>
          <w:lang w:val="en-US" w:eastAsia="zh-CN"/>
        </w:rPr>
        <w:t>三、总体情况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3" w:firstLineChars="200"/>
        <w:jc w:val="both"/>
        <w:textAlignment w:val="auto"/>
        <w:rPr>
          <w:rFonts w:hint="default" w:ascii="Times New Roman" w:hAnsi="Times New Roman" w:eastAsia="仿宋_GB2312" w:cs="Times New Roman"/>
          <w:b/>
          <w:bCs/>
          <w:i w:val="0"/>
          <w:iCs w:val="0"/>
          <w:kern w:val="0"/>
          <w:sz w:val="32"/>
          <w:szCs w:val="32"/>
          <w:lang w:val="en-US" w:eastAsia="zh-CN"/>
        </w:rPr>
      </w:pPr>
      <w:r>
        <w:rPr>
          <w:rFonts w:hint="default" w:ascii="Times New Roman" w:hAnsi="Times New Roman" w:eastAsia="仿宋_GB2312" w:cs="Times New Roman"/>
          <w:b/>
          <w:bCs/>
          <w:i w:val="0"/>
          <w:iCs w:val="0"/>
          <w:kern w:val="0"/>
          <w:sz w:val="32"/>
          <w:szCs w:val="32"/>
          <w:lang w:val="en-US" w:eastAsia="zh-CN"/>
        </w:rPr>
        <w:t>（一）</w:t>
      </w:r>
      <w:r>
        <w:rPr>
          <w:rFonts w:hint="default" w:ascii="Times New Roman" w:hAnsi="Times New Roman" w:eastAsia="仿宋_GB2312" w:cs="Times New Roman"/>
          <w:kern w:val="0"/>
          <w:sz w:val="32"/>
          <w:szCs w:val="32"/>
          <w:lang w:val="en-US" w:eastAsia="zh-CN"/>
        </w:rPr>
        <w:t>主动公开政府信息情况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我单位严格按照《政府信息公开条例》第二十条之规定和上级指示要求</w:t>
      </w:r>
      <w:r>
        <w:rPr>
          <w:rFonts w:hint="default" w:ascii="Times New Roman" w:hAnsi="Times New Roman" w:eastAsia="仿宋_GB2312" w:cs="Times New Roman"/>
          <w:kern w:val="0"/>
          <w:sz w:val="32"/>
          <w:szCs w:val="32"/>
          <w:lang w:val="en-US" w:eastAsia="zh-CN"/>
        </w:rPr>
        <w:t>进行政务信息</w:t>
      </w:r>
      <w:r>
        <w:rPr>
          <w:rFonts w:hint="default" w:ascii="Times New Roman" w:hAnsi="Times New Roman" w:eastAsia="仿宋_GB2312" w:cs="Times New Roman"/>
          <w:kern w:val="0"/>
          <w:sz w:val="32"/>
          <w:szCs w:val="32"/>
          <w:lang w:val="en-US" w:eastAsia="zh-CN"/>
        </w:rPr>
        <w:t>主动公开。信息主动公开的类别有机构职能建设、</w:t>
      </w:r>
      <w:r>
        <w:rPr>
          <w:rFonts w:hint="default" w:ascii="Times New Roman" w:hAnsi="Times New Roman" w:eastAsia="仿宋_GB2312" w:cs="Times New Roman"/>
          <w:kern w:val="0"/>
          <w:sz w:val="32"/>
          <w:szCs w:val="32"/>
          <w:lang w:val="en-US" w:eastAsia="zh-CN"/>
        </w:rPr>
        <w:t>政策法规</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政府会议、信息公开</w:t>
      </w:r>
      <w:r>
        <w:rPr>
          <w:rFonts w:hint="default" w:ascii="Times New Roman" w:hAnsi="Times New Roman" w:eastAsia="仿宋_GB2312" w:cs="Times New Roman"/>
          <w:kern w:val="0"/>
          <w:sz w:val="32"/>
          <w:szCs w:val="32"/>
          <w:lang w:val="en-US" w:eastAsia="zh-CN"/>
        </w:rPr>
        <w:t>指南等。</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2023年1月1日至2023年12月31日，沂源县东里镇人民政府主要通过沂源县人民政府门户网站，以网上公开发布的形式，共制作和主动发布政府信息37条，</w:t>
      </w:r>
      <w:r>
        <w:rPr>
          <w:rFonts w:hint="default" w:ascii="Times New Roman" w:hAnsi="Times New Roman" w:eastAsia="仿宋_GB2312" w:cs="Times New Roman"/>
          <w:kern w:val="0"/>
          <w:sz w:val="32"/>
          <w:szCs w:val="32"/>
          <w:lang w:val="en-US" w:eastAsia="zh-CN"/>
        </w:rPr>
        <w:t>其中，机构职能1条，政策法规9条，政府会议14条，建议提案办理2条，管理和服务5条，政务公开组织领导1条，信息公开指南1条，信息公开年度报告2条，政务公开培训3条，主动公开基本目录，法治建设专栏1条。</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（二）依申请公开信息情况</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2022年1月1日至2022年12月31日，东里镇共收到通过在线方式提交的政府信息公开申请1件，已在规定时限内答复。</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（三）政府信息管理情况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560" w:lineRule="exact"/>
        <w:ind w:left="0" w:right="0" w:firstLine="640" w:firstLineChars="200"/>
        <w:jc w:val="both"/>
        <w:textAlignment w:val="baseline"/>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东里镇认真贯彻落实上级有关文件和会议精神，加强领导，健全机制，安排专人负责政府网站建设日常维护、信息发布、网上依申请公开、信息保密审查、相关制度制定等相关工作。通过规范程序，提高政务公开质量，大力促进信息公开工作规范有效运行，严格按照有关要求公布街道年度工作、财政预算、重大项目建设等情况。</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default" w:ascii="Times New Roman" w:hAnsi="Times New Roman" w:eastAsia="仿宋_GB2312" w:cs="Times New Roman"/>
          <w:b/>
          <w:bCs/>
          <w:kern w:val="0"/>
          <w:sz w:val="32"/>
          <w:szCs w:val="32"/>
          <w:lang w:val="en-US" w:eastAsia="zh-CN"/>
        </w:rPr>
      </w:pPr>
      <w:r>
        <w:rPr>
          <w:rFonts w:hint="default" w:ascii="Times New Roman" w:hAnsi="Times New Roman" w:eastAsia="仿宋_GB2312" w:cs="Times New Roman"/>
          <w:b/>
          <w:bCs/>
          <w:kern w:val="0"/>
          <w:sz w:val="32"/>
          <w:szCs w:val="32"/>
          <w:lang w:val="en-US" w:eastAsia="zh-CN"/>
        </w:rPr>
        <w:t>（四）平台建设情况</w:t>
      </w:r>
    </w:p>
    <w:p>
      <w:pPr>
        <w:pStyle w:val="8"/>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东里镇党委、政府高度重视政务信息管理及信息公开工作的开展，成立政务公开领导小组，以镇政府主要负责人为组长，班子成员为副组长，相关部门负责人为成员，领导小组下设办公室，具体负责组织实施领导小组决定事项，研究提出信息发布规划和有关工作方案，安排1名专职人员负责信息公开发布工作。2023年我镇组织2次政务公开业务培训，培训对象为各部门、站所业务骨干，加强政府信息公开的准确性、实效性。</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line="56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333333"/>
          <w:sz w:val="32"/>
          <w:szCs w:val="32"/>
          <w:lang w:eastAsia="zh-CN"/>
        </w:rPr>
        <w:t>（</w:t>
      </w:r>
      <w:r>
        <w:rPr>
          <w:rFonts w:hint="default" w:ascii="Times New Roman" w:hAnsi="Times New Roman" w:eastAsia="仿宋_GB2312" w:cs="Times New Roman"/>
          <w:b/>
          <w:bCs/>
          <w:color w:val="333333"/>
          <w:sz w:val="32"/>
          <w:szCs w:val="32"/>
          <w:lang w:val="en-US" w:eastAsia="zh-CN"/>
        </w:rPr>
        <w:t>五</w:t>
      </w:r>
      <w:r>
        <w:rPr>
          <w:rFonts w:hint="default" w:ascii="Times New Roman" w:hAnsi="Times New Roman" w:eastAsia="仿宋_GB2312" w:cs="Times New Roman"/>
          <w:b/>
          <w:bCs/>
          <w:color w:val="333333"/>
          <w:sz w:val="32"/>
          <w:szCs w:val="32"/>
          <w:lang w:eastAsia="zh-CN"/>
        </w:rPr>
        <w:t>）监督保障情况</w:t>
      </w:r>
    </w:p>
    <w:p>
      <w:pPr>
        <w:pStyle w:val="8"/>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1.落实考核监督。东里镇</w:t>
      </w:r>
      <w:r>
        <w:rPr>
          <w:rFonts w:hint="default" w:ascii="Times New Roman" w:hAnsi="Times New Roman" w:eastAsia="仿宋_GB2312" w:cs="Times New Roman"/>
          <w:i w:val="0"/>
          <w:iCs w:val="0"/>
          <w:caps w:val="0"/>
          <w:color w:val="000000"/>
          <w:spacing w:val="0"/>
          <w:sz w:val="32"/>
          <w:szCs w:val="32"/>
          <w:shd w:val="clear" w:fill="FFFFFF"/>
        </w:rPr>
        <w:t>加大对政务公开工作的督查力度，组织专人对政府信息公开相关工作开展情况进行检查。完善信息公开保密审查制度。按照</w:t>
      </w:r>
      <w:r>
        <w:rPr>
          <w:rFonts w:hint="default" w:ascii="Times New Roman" w:hAnsi="Times New Roman" w:eastAsia="仿宋_GB2312" w:cs="Times New Roman"/>
          <w:i w:val="0"/>
          <w:iCs w:val="0"/>
          <w:caps w:val="0"/>
          <w:color w:val="000000"/>
          <w:spacing w:val="0"/>
          <w:sz w:val="32"/>
          <w:szCs w:val="32"/>
          <w:shd w:val="clear" w:fill="FFFFFF"/>
        </w:rPr>
        <w:t>“谁提供、谁审核、谁负责”的原则审核后公开。实行信息公开考核制度。按照分级负责、加强协作、促进工作的原则，从</w:t>
      </w:r>
      <w:r>
        <w:rPr>
          <w:rFonts w:hint="default" w:ascii="Times New Roman" w:hAnsi="Times New Roman" w:eastAsia="仿宋_GB2312" w:cs="Times New Roman"/>
          <w:i w:val="0"/>
          <w:iCs w:val="0"/>
          <w:caps w:val="0"/>
          <w:color w:val="000000"/>
          <w:spacing w:val="0"/>
          <w:sz w:val="32"/>
          <w:szCs w:val="32"/>
          <w:shd w:val="clear" w:fill="FFFFFF"/>
          <w:lang w:val="en-US" w:eastAsia="zh-CN"/>
        </w:rPr>
        <w:t>信息公开工作的完成质量、及时率</w:t>
      </w:r>
      <w:r>
        <w:rPr>
          <w:rFonts w:hint="default" w:ascii="Times New Roman" w:hAnsi="Times New Roman" w:eastAsia="仿宋_GB2312" w:cs="Times New Roman"/>
          <w:i w:val="0"/>
          <w:iCs w:val="0"/>
          <w:caps w:val="0"/>
          <w:color w:val="000000"/>
          <w:spacing w:val="0"/>
          <w:sz w:val="32"/>
          <w:szCs w:val="32"/>
          <w:shd w:val="clear" w:fill="FFFFFF"/>
        </w:rPr>
        <w:t>等方面进行考核</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压实政务公开工作责任</w:t>
      </w:r>
      <w:r>
        <w:rPr>
          <w:rFonts w:hint="default" w:ascii="Times New Roman" w:hAnsi="Times New Roman" w:eastAsia="仿宋_GB2312" w:cs="Times New Roman"/>
          <w:i w:val="0"/>
          <w:iCs w:val="0"/>
          <w:caps w:val="0"/>
          <w:color w:val="000000"/>
          <w:spacing w:val="0"/>
          <w:sz w:val="32"/>
          <w:szCs w:val="32"/>
          <w:shd w:val="clear" w:fill="FFFFFF"/>
        </w:rPr>
        <w:t>。</w:t>
      </w:r>
    </w:p>
    <w:p>
      <w:pPr>
        <w:pStyle w:val="8"/>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i w:val="0"/>
          <w:iCs w:val="0"/>
          <w:caps w:val="0"/>
          <w:color w:val="000000"/>
          <w:spacing w:val="0"/>
          <w:sz w:val="32"/>
          <w:szCs w:val="32"/>
          <w:shd w:val="clear" w:fill="FFFFFF"/>
          <w:lang w:val="en-US" w:eastAsia="zh-CN"/>
        </w:rPr>
        <w:t>2.强化组织保障。形成了“主要领导</w:t>
      </w:r>
      <w:r>
        <w:rPr>
          <w:rFonts w:hint="default" w:ascii="Times New Roman" w:hAnsi="Times New Roman" w:eastAsia="仿宋_GB2312" w:cs="Times New Roman"/>
          <w:kern w:val="0"/>
          <w:sz w:val="32"/>
          <w:szCs w:val="32"/>
          <w:lang w:val="en-US" w:eastAsia="zh-CN" w:bidi="ar"/>
        </w:rPr>
        <w:t>亲自抓、分管领导具体抓、职能部门抓落实”的工作机制，为政务公开工作的开展，提供了强有力的组织、制度保障。进一步深化政务网站的内容建设，按要求及时发布真实、准确、完整的信息和数据，并充分运用各类公示栏、LED显示屏、微信公众号、微信群等方式公开信息，进一步加大公开的力度。</w:t>
      </w:r>
    </w:p>
    <w:p>
      <w:pPr>
        <w:pStyle w:val="8"/>
        <w:keepNext w:val="0"/>
        <w:keepLines w:val="0"/>
        <w:pageBreakBefore w:val="0"/>
        <w:widowControl/>
        <w:shd w:val="clear" w:color="auto" w:fill="FFFFFF"/>
        <w:kinsoku/>
        <w:wordWrap/>
        <w:overflowPunct/>
        <w:topLinePunct w:val="0"/>
        <w:autoSpaceDE/>
        <w:autoSpaceDN/>
        <w:bidi w:val="0"/>
        <w:adjustRightInd w:val="0"/>
        <w:snapToGrid/>
        <w:spacing w:line="560" w:lineRule="exact"/>
        <w:ind w:left="0" w:firstLine="640" w:firstLineChars="200"/>
        <w:jc w:val="both"/>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3.强化业务培训。加强业务人员的培训，要求党政办工作人员熟悉政务网站操作流程，全体镇村干部加强学习，提升撰稿能力，鼓励积极撰稿投稿，提升稿件质量和数量。</w:t>
      </w:r>
    </w:p>
    <w:p>
      <w:pPr>
        <w:pStyle w:val="8"/>
        <w:keepNext w:val="0"/>
        <w:keepLines w:val="0"/>
        <w:pageBreakBefore w:val="0"/>
        <w:widowControl/>
        <w:shd w:val="clear" w:color="auto" w:fill="FFFFFF"/>
        <w:kinsoku/>
        <w:wordWrap/>
        <w:overflowPunct/>
        <w:topLinePunct w:val="0"/>
        <w:autoSpaceDE/>
        <w:autoSpaceDN/>
        <w:bidi w:val="0"/>
        <w:adjustRightInd w:val="0"/>
        <w:snapToGrid/>
        <w:spacing w:afterAutospacing="0" w:line="560" w:lineRule="exact"/>
        <w:ind w:left="0" w:firstLine="643" w:firstLineChars="200"/>
        <w:jc w:val="both"/>
        <w:textAlignment w:val="auto"/>
        <w:outlineLvl w:val="9"/>
        <w:rPr>
          <w:rFonts w:hint="default" w:ascii="Times New Roman" w:hAnsi="Times New Roman" w:eastAsia="黑体" w:cs="Times New Roman"/>
          <w:color w:val="333333"/>
          <w:sz w:val="32"/>
          <w:szCs w:val="32"/>
        </w:rPr>
      </w:pPr>
      <w:r>
        <w:rPr>
          <w:rFonts w:hint="default" w:ascii="Times New Roman" w:hAnsi="Times New Roman" w:eastAsia="黑体" w:cs="Times New Roman"/>
          <w:b/>
          <w:color w:val="333333"/>
          <w:sz w:val="32"/>
          <w:szCs w:val="32"/>
          <w:shd w:val="clear" w:color="auto" w:fill="FFFFFF"/>
          <w:lang w:val="en-US" w:eastAsia="zh-CN"/>
        </w:rPr>
        <w:t>四</w:t>
      </w:r>
      <w:r>
        <w:rPr>
          <w:rFonts w:hint="default" w:ascii="Times New Roman" w:hAnsi="Times New Roman" w:eastAsia="黑体" w:cs="Times New Roman"/>
          <w:b/>
          <w:color w:val="333333"/>
          <w:sz w:val="32"/>
          <w:szCs w:val="32"/>
          <w:shd w:val="clear" w:color="auto" w:fill="FFFFFF"/>
        </w:rPr>
        <w:t>、收到和处理政府信息公开申请情况</w:t>
      </w:r>
    </w:p>
    <w:tbl>
      <w:tblPr>
        <w:tblStyle w:val="5"/>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134"/>
        <w:gridCol w:w="1878"/>
        <w:gridCol w:w="567"/>
        <w:gridCol w:w="637"/>
        <w:gridCol w:w="637"/>
        <w:gridCol w:w="776"/>
        <w:gridCol w:w="776"/>
        <w:gridCol w:w="497"/>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35" w:type="dxa"/>
            <w:gridSpan w:val="3"/>
            <w:vMerge w:val="restart"/>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（本列数据的勾稽关系为：第一项加第二项之和，等于第三项加第四项之和）</w:t>
            </w:r>
          </w:p>
        </w:tc>
        <w:tc>
          <w:tcPr>
            <w:tcW w:w="4387" w:type="dxa"/>
            <w:gridSpan w:val="7"/>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135" w:type="dxa"/>
            <w:gridSpan w:val="3"/>
            <w:vMerge w:val="continue"/>
            <w:noWrap w:val="0"/>
            <w:vAlign w:val="center"/>
          </w:tcPr>
          <w:p>
            <w:pPr>
              <w:jc w:val="both"/>
              <w:rPr>
                <w:rFonts w:hint="default" w:ascii="Times New Roman" w:hAnsi="Times New Roman" w:eastAsia="黑体" w:cs="Times New Roman"/>
                <w:b/>
                <w:bCs/>
                <w:sz w:val="21"/>
                <w:szCs w:val="21"/>
              </w:rPr>
            </w:pPr>
          </w:p>
        </w:tc>
        <w:tc>
          <w:tcPr>
            <w:tcW w:w="567" w:type="dxa"/>
            <w:vMerge w:val="restart"/>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自然人</w:t>
            </w:r>
          </w:p>
        </w:tc>
        <w:tc>
          <w:tcPr>
            <w:tcW w:w="3323" w:type="dxa"/>
            <w:gridSpan w:val="5"/>
            <w:noWrap w:val="0"/>
            <w:vAlign w:val="center"/>
          </w:tcPr>
          <w:p>
            <w:pPr>
              <w:jc w:val="center"/>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法人或其他组织</w:t>
            </w:r>
          </w:p>
        </w:tc>
        <w:tc>
          <w:tcPr>
            <w:tcW w:w="497" w:type="dxa"/>
            <w:vMerge w:val="restart"/>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4135" w:type="dxa"/>
            <w:gridSpan w:val="3"/>
            <w:vMerge w:val="continue"/>
            <w:noWrap w:val="0"/>
            <w:vAlign w:val="center"/>
          </w:tcPr>
          <w:p>
            <w:pPr>
              <w:jc w:val="both"/>
              <w:rPr>
                <w:rFonts w:hint="default" w:ascii="Times New Roman" w:hAnsi="Times New Roman" w:eastAsia="黑体" w:cs="Times New Roman"/>
                <w:b/>
                <w:bCs/>
                <w:sz w:val="21"/>
                <w:szCs w:val="21"/>
              </w:rPr>
            </w:pPr>
          </w:p>
        </w:tc>
        <w:tc>
          <w:tcPr>
            <w:tcW w:w="567" w:type="dxa"/>
            <w:vMerge w:val="continue"/>
            <w:noWrap w:val="0"/>
            <w:vAlign w:val="center"/>
          </w:tcPr>
          <w:p>
            <w:pPr>
              <w:jc w:val="both"/>
              <w:rPr>
                <w:rFonts w:hint="default" w:ascii="Times New Roman" w:hAnsi="Times New Roman" w:eastAsia="黑体" w:cs="Times New Roman"/>
                <w:b/>
                <w:bCs/>
                <w:sz w:val="21"/>
                <w:szCs w:val="21"/>
              </w:rPr>
            </w:pPr>
          </w:p>
        </w:tc>
        <w:tc>
          <w:tcPr>
            <w:tcW w:w="637"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商业企业</w:t>
            </w:r>
          </w:p>
        </w:tc>
        <w:tc>
          <w:tcPr>
            <w:tcW w:w="637"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科研机构</w:t>
            </w:r>
          </w:p>
        </w:tc>
        <w:tc>
          <w:tcPr>
            <w:tcW w:w="776"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社会公益组织</w:t>
            </w:r>
          </w:p>
        </w:tc>
        <w:tc>
          <w:tcPr>
            <w:tcW w:w="776"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法律服务机构</w:t>
            </w:r>
          </w:p>
        </w:tc>
        <w:tc>
          <w:tcPr>
            <w:tcW w:w="497" w:type="dxa"/>
            <w:noWrap w:val="0"/>
            <w:vAlign w:val="center"/>
          </w:tcPr>
          <w:p>
            <w:pPr>
              <w:jc w:val="both"/>
              <w:rPr>
                <w:rFonts w:hint="default" w:ascii="Times New Roman" w:hAnsi="Times New Roman" w:eastAsia="黑体" w:cs="Times New Roman"/>
                <w:b/>
                <w:bCs/>
                <w:sz w:val="21"/>
                <w:szCs w:val="21"/>
              </w:rPr>
            </w:pPr>
            <w:r>
              <w:rPr>
                <w:rFonts w:hint="default" w:ascii="Times New Roman" w:hAnsi="Times New Roman" w:eastAsia="黑体" w:cs="Times New Roman"/>
                <w:b/>
                <w:bCs/>
                <w:sz w:val="21"/>
                <w:szCs w:val="21"/>
              </w:rPr>
              <w:t>其他</w:t>
            </w:r>
          </w:p>
        </w:tc>
        <w:tc>
          <w:tcPr>
            <w:tcW w:w="497" w:type="dxa"/>
            <w:vMerge w:val="continue"/>
            <w:noWrap w:val="0"/>
            <w:vAlign w:val="center"/>
          </w:tcPr>
          <w:p>
            <w:pPr>
              <w:jc w:val="both"/>
              <w:rPr>
                <w:rFonts w:hint="default" w:ascii="Times New Roman" w:hAnsi="Times New Roman" w:eastAsia="宋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35" w:type="dxa"/>
            <w:gridSpan w:val="3"/>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一、本年新收政府信息公开申请数量</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35" w:type="dxa"/>
            <w:gridSpan w:val="3"/>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二、上年结转政府信息公开申请数量</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三、本年度办理结果</w:t>
            </w:r>
          </w:p>
        </w:tc>
        <w:tc>
          <w:tcPr>
            <w:tcW w:w="3012" w:type="dxa"/>
            <w:gridSpan w:val="2"/>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（一）予以公开</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1</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kern w:val="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3012" w:type="dxa"/>
            <w:gridSpan w:val="2"/>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（二）部分公开（区分处理的，只计这一情形，不计其他情形）</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（三）不予公开</w:t>
            </w: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1．属于国家秘密</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2．其他法律行政法规禁止公开</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3．危及“三安全一稳定”</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4．保护第三方合法权益</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5．属于三类内部事务信息</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6．属于四类过程性信息</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7．属于行政执法案卷</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8．属于行政查询事项</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（四）无法提供</w:t>
            </w: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1．本单位不掌握相关政府信息</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2．没有现成信息需要另行制作</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3．补正后申请内容仍不明确</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（五）不予处理</w:t>
            </w: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1．信访举报投诉类申请</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2．重复申请</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3．要求提供公开出版物</w:t>
            </w:r>
          </w:p>
        </w:tc>
        <w:tc>
          <w:tcPr>
            <w:tcW w:w="56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4．无正当理由大量反复申请</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top"/>
          </w:tcPr>
          <w:p>
            <w:pPr>
              <w:jc w:val="both"/>
              <w:rPr>
                <w:rFonts w:hint="default" w:ascii="Times New Roman" w:hAnsi="Times New Roman" w:eastAsia="宋体" w:cs="Times New Roman"/>
                <w:bCs/>
                <w:sz w:val="21"/>
                <w:szCs w:val="21"/>
              </w:rPr>
            </w:pPr>
          </w:p>
        </w:tc>
        <w:tc>
          <w:tcPr>
            <w:tcW w:w="1878" w:type="dxa"/>
            <w:noWrap w:val="0"/>
            <w:vAlign w:val="top"/>
          </w:tcPr>
          <w:p>
            <w:pPr>
              <w:ind w:left="210" w:hanging="210" w:hangingChars="100"/>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5．要求行政机关确认或重新出具已获取信息</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restart"/>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（六）其他处理</w:t>
            </w:r>
          </w:p>
        </w:tc>
        <w:tc>
          <w:tcPr>
            <w:tcW w:w="1878" w:type="dxa"/>
            <w:noWrap w:val="0"/>
            <w:vAlign w:val="center"/>
          </w:tcPr>
          <w:p>
            <w:pPr>
              <w:jc w:val="both"/>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1.申请人无正当理由逾期不补正、行政机关不再处理其政府信息公开申请</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center"/>
          </w:tcPr>
          <w:p>
            <w:pPr>
              <w:jc w:val="both"/>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2.申请人逾期未按收费通知要求缴纳费用、行政机关不再处理其政府信息公开申请</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1134" w:type="dxa"/>
            <w:vMerge w:val="continue"/>
            <w:noWrap w:val="0"/>
            <w:vAlign w:val="center"/>
          </w:tcPr>
          <w:p>
            <w:pPr>
              <w:jc w:val="both"/>
              <w:rPr>
                <w:rFonts w:hint="default" w:ascii="Times New Roman" w:hAnsi="Times New Roman" w:eastAsia="宋体" w:cs="Times New Roman"/>
                <w:bCs/>
                <w:sz w:val="21"/>
                <w:szCs w:val="21"/>
              </w:rPr>
            </w:pPr>
          </w:p>
        </w:tc>
        <w:tc>
          <w:tcPr>
            <w:tcW w:w="1878" w:type="dxa"/>
            <w:noWrap w:val="0"/>
            <w:vAlign w:val="center"/>
          </w:tcPr>
          <w:p>
            <w:pPr>
              <w:jc w:val="both"/>
              <w:rPr>
                <w:rFonts w:hint="default" w:ascii="Times New Roman" w:hAnsi="Times New Roman" w:eastAsia="宋体" w:cs="Times New Roman"/>
                <w:bCs/>
                <w:sz w:val="21"/>
                <w:szCs w:val="21"/>
                <w:lang w:val="en-US" w:eastAsia="zh-CN"/>
              </w:rPr>
            </w:pPr>
            <w:r>
              <w:rPr>
                <w:rFonts w:hint="default" w:ascii="Times New Roman" w:hAnsi="Times New Roman" w:cs="Times New Roman"/>
                <w:bCs/>
                <w:sz w:val="21"/>
                <w:szCs w:val="21"/>
                <w:lang w:val="en-US" w:eastAsia="zh-CN"/>
              </w:rPr>
              <w:t>3.其他</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23" w:type="dxa"/>
            <w:vMerge w:val="continue"/>
            <w:noWrap w:val="0"/>
            <w:vAlign w:val="top"/>
          </w:tcPr>
          <w:p>
            <w:pPr>
              <w:jc w:val="both"/>
              <w:rPr>
                <w:rFonts w:hint="default" w:ascii="Times New Roman" w:hAnsi="Times New Roman" w:eastAsia="宋体" w:cs="Times New Roman"/>
                <w:bCs/>
                <w:sz w:val="21"/>
                <w:szCs w:val="21"/>
              </w:rPr>
            </w:pPr>
          </w:p>
        </w:tc>
        <w:tc>
          <w:tcPr>
            <w:tcW w:w="3012" w:type="dxa"/>
            <w:gridSpan w:val="2"/>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（七）总计</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135" w:type="dxa"/>
            <w:gridSpan w:val="3"/>
            <w:noWrap w:val="0"/>
            <w:vAlign w:val="center"/>
          </w:tcPr>
          <w:p>
            <w:pPr>
              <w:jc w:val="both"/>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四、结转下年度继续办理</w:t>
            </w:r>
          </w:p>
        </w:tc>
        <w:tc>
          <w:tcPr>
            <w:tcW w:w="56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63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776"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c>
          <w:tcPr>
            <w:tcW w:w="497" w:type="dxa"/>
            <w:noWrap w:val="0"/>
            <w:vAlign w:val="center"/>
          </w:tcPr>
          <w:p>
            <w:pPr>
              <w:jc w:val="both"/>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0</w:t>
            </w:r>
          </w:p>
        </w:tc>
      </w:tr>
    </w:tbl>
    <w:p>
      <w:pPr>
        <w:pStyle w:val="8"/>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both"/>
        <w:textAlignment w:val="auto"/>
        <w:outlineLvl w:val="9"/>
        <w:rPr>
          <w:rFonts w:hint="default" w:ascii="Times New Roman" w:hAnsi="Times New Roman" w:eastAsia="黑体" w:cs="Times New Roman"/>
          <w:b/>
          <w:bCs/>
          <w:color w:val="333333"/>
          <w:sz w:val="32"/>
          <w:szCs w:val="32"/>
        </w:rPr>
      </w:pPr>
      <w:r>
        <w:rPr>
          <w:rFonts w:hint="default" w:ascii="Times New Roman" w:hAnsi="Times New Roman" w:eastAsia="黑体" w:cs="Times New Roman"/>
          <w:b/>
          <w:bCs/>
          <w:color w:val="333333"/>
          <w:sz w:val="32"/>
          <w:szCs w:val="32"/>
          <w:shd w:val="clear" w:color="auto" w:fill="FFFFFF"/>
          <w:lang w:val="en-US" w:eastAsia="zh-CN"/>
        </w:rPr>
        <w:t>五</w:t>
      </w:r>
      <w:r>
        <w:rPr>
          <w:rFonts w:hint="default" w:ascii="Times New Roman" w:hAnsi="Times New Roman" w:eastAsia="黑体" w:cs="Times New Roman"/>
          <w:b/>
          <w:bCs/>
          <w:color w:val="333333"/>
          <w:sz w:val="32"/>
          <w:szCs w:val="32"/>
          <w:shd w:val="clear" w:color="auto" w:fill="FFFFFF"/>
        </w:rPr>
        <w:t>、政府信息公开行政复议、行政诉讼情况</w:t>
      </w:r>
    </w:p>
    <w:tbl>
      <w:tblPr>
        <w:tblStyle w:val="5"/>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594"/>
        <w:gridCol w:w="594"/>
        <w:gridCol w:w="597"/>
        <w:gridCol w:w="465"/>
        <w:gridCol w:w="594"/>
        <w:gridCol w:w="594"/>
        <w:gridCol w:w="594"/>
        <w:gridCol w:w="594"/>
        <w:gridCol w:w="463"/>
        <w:gridCol w:w="594"/>
        <w:gridCol w:w="594"/>
        <w:gridCol w:w="594"/>
        <w:gridCol w:w="594"/>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44" w:type="dxa"/>
            <w:gridSpan w:val="5"/>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行政复议</w:t>
            </w:r>
          </w:p>
        </w:tc>
        <w:tc>
          <w:tcPr>
            <w:tcW w:w="5678" w:type="dxa"/>
            <w:gridSpan w:val="10"/>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4"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7"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5" w:type="dxa"/>
            <w:vMerge w:val="restart"/>
            <w:noWrap w:val="0"/>
            <w:vAlign w:val="center"/>
          </w:tcPr>
          <w:p>
            <w:pPr>
              <w:autoSpaceDE/>
              <w:autoSpaceDN/>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2839" w:type="dxa"/>
            <w:gridSpan w:val="5"/>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未经复议直接起诉</w:t>
            </w:r>
          </w:p>
        </w:tc>
        <w:tc>
          <w:tcPr>
            <w:tcW w:w="2839" w:type="dxa"/>
            <w:gridSpan w:val="5"/>
            <w:noWrap w:val="0"/>
            <w:vAlign w:val="center"/>
          </w:tcPr>
          <w:p>
            <w:pPr>
              <w:autoSpaceDE/>
              <w:autoSpaceDN/>
              <w:jc w:val="center"/>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94" w:type="dxa"/>
            <w:vMerge w:val="continue"/>
            <w:noWrap w:val="0"/>
            <w:vAlign w:val="center"/>
          </w:tcPr>
          <w:p>
            <w:pPr>
              <w:jc w:val="both"/>
              <w:rPr>
                <w:rFonts w:hint="default" w:ascii="Times New Roman" w:hAnsi="Times New Roman" w:eastAsia="黑体" w:cs="Times New Roman"/>
                <w:b/>
                <w:bCs/>
                <w:sz w:val="18"/>
                <w:szCs w:val="18"/>
              </w:rPr>
            </w:pPr>
          </w:p>
        </w:tc>
        <w:tc>
          <w:tcPr>
            <w:tcW w:w="594" w:type="dxa"/>
            <w:vMerge w:val="continue"/>
            <w:noWrap w:val="0"/>
            <w:vAlign w:val="center"/>
          </w:tcPr>
          <w:p>
            <w:pPr>
              <w:jc w:val="both"/>
              <w:rPr>
                <w:rFonts w:hint="default" w:ascii="Times New Roman" w:hAnsi="Times New Roman" w:eastAsia="黑体" w:cs="Times New Roman"/>
                <w:b/>
                <w:bCs/>
                <w:sz w:val="18"/>
                <w:szCs w:val="18"/>
              </w:rPr>
            </w:pPr>
          </w:p>
        </w:tc>
        <w:tc>
          <w:tcPr>
            <w:tcW w:w="594" w:type="dxa"/>
            <w:vMerge w:val="continue"/>
            <w:noWrap w:val="0"/>
            <w:vAlign w:val="center"/>
          </w:tcPr>
          <w:p>
            <w:pPr>
              <w:jc w:val="both"/>
              <w:rPr>
                <w:rFonts w:hint="default" w:ascii="Times New Roman" w:hAnsi="Times New Roman" w:eastAsia="黑体" w:cs="Times New Roman"/>
                <w:b/>
                <w:bCs/>
                <w:sz w:val="18"/>
                <w:szCs w:val="18"/>
              </w:rPr>
            </w:pPr>
          </w:p>
        </w:tc>
        <w:tc>
          <w:tcPr>
            <w:tcW w:w="597" w:type="dxa"/>
            <w:vMerge w:val="continue"/>
            <w:noWrap w:val="0"/>
            <w:vAlign w:val="center"/>
          </w:tcPr>
          <w:p>
            <w:pPr>
              <w:jc w:val="both"/>
              <w:rPr>
                <w:rFonts w:hint="default" w:ascii="Times New Roman" w:hAnsi="Times New Roman" w:eastAsia="黑体" w:cs="Times New Roman"/>
                <w:b/>
                <w:bCs/>
                <w:sz w:val="18"/>
                <w:szCs w:val="18"/>
              </w:rPr>
            </w:pPr>
          </w:p>
        </w:tc>
        <w:tc>
          <w:tcPr>
            <w:tcW w:w="465" w:type="dxa"/>
            <w:vMerge w:val="continue"/>
            <w:noWrap w:val="0"/>
            <w:vAlign w:val="center"/>
          </w:tcPr>
          <w:p>
            <w:pPr>
              <w:jc w:val="both"/>
              <w:rPr>
                <w:rFonts w:hint="default" w:ascii="Times New Roman" w:hAnsi="Times New Roman" w:eastAsia="黑体" w:cs="Times New Roman"/>
                <w:b/>
                <w:bCs/>
                <w:sz w:val="18"/>
                <w:szCs w:val="18"/>
              </w:rPr>
            </w:pP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3"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结果维持</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结果纠正</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其他结果</w:t>
            </w:r>
          </w:p>
        </w:tc>
        <w:tc>
          <w:tcPr>
            <w:tcW w:w="594"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尚未审结</w:t>
            </w:r>
          </w:p>
        </w:tc>
        <w:tc>
          <w:tcPr>
            <w:tcW w:w="463" w:type="dxa"/>
            <w:noWrap w:val="0"/>
            <w:vAlign w:val="center"/>
          </w:tcPr>
          <w:p>
            <w:pPr>
              <w:jc w:val="both"/>
              <w:rPr>
                <w:rFonts w:hint="default" w:ascii="Times New Roman" w:hAnsi="Times New Roman" w:eastAsia="黑体" w:cs="Times New Roman"/>
                <w:b/>
                <w:bCs/>
                <w:sz w:val="18"/>
                <w:szCs w:val="18"/>
              </w:rPr>
            </w:pPr>
            <w:r>
              <w:rPr>
                <w:rFonts w:hint="default" w:ascii="Times New Roman" w:hAnsi="Times New Roman" w:eastAsia="黑体" w:cs="Times New Roman"/>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7"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465"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463"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594"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c>
          <w:tcPr>
            <w:tcW w:w="463" w:type="dxa"/>
            <w:noWrap w:val="0"/>
            <w:vAlign w:val="center"/>
          </w:tcPr>
          <w:p>
            <w:pPr>
              <w:jc w:val="both"/>
              <w:rPr>
                <w:rFonts w:hint="default" w:ascii="Times New Roman" w:hAnsi="Times New Roman" w:eastAsia="仿宋_GB2312" w:cs="Times New Roman"/>
                <w:b w:val="0"/>
                <w:bCs w:val="0"/>
                <w:sz w:val="18"/>
                <w:szCs w:val="18"/>
                <w:lang w:val="en-US" w:eastAsia="zh-CN"/>
              </w:rPr>
            </w:pPr>
            <w:r>
              <w:rPr>
                <w:rFonts w:hint="default" w:ascii="Times New Roman" w:hAnsi="Times New Roman" w:eastAsia="仿宋_GB2312" w:cs="Times New Roman"/>
                <w:b w:val="0"/>
                <w:bCs w:val="0"/>
                <w:sz w:val="18"/>
                <w:szCs w:val="18"/>
                <w:lang w:val="en-US" w:eastAsia="zh-CN"/>
              </w:rPr>
              <w:t>0</w:t>
            </w:r>
          </w:p>
        </w:tc>
      </w:tr>
    </w:tbl>
    <w:p>
      <w:pPr>
        <w:pStyle w:val="8"/>
        <w:keepNext w:val="0"/>
        <w:keepLines w:val="0"/>
        <w:pageBreakBefore w:val="0"/>
        <w:widowControl/>
        <w:shd w:val="clear" w:color="auto" w:fill="FFFFFF"/>
        <w:kinsoku/>
        <w:wordWrap/>
        <w:overflowPunct/>
        <w:topLinePunct w:val="0"/>
        <w:autoSpaceDE/>
        <w:autoSpaceDN/>
        <w:bidi w:val="0"/>
        <w:adjustRightInd/>
        <w:spacing w:line="500" w:lineRule="exact"/>
        <w:jc w:val="both"/>
        <w:textAlignment w:val="auto"/>
        <w:outlineLvl w:val="9"/>
        <w:rPr>
          <w:rFonts w:hint="default" w:ascii="Times New Roman" w:hAnsi="Times New Roman" w:eastAsia="仿宋_GB2312" w:cs="Times New Roman"/>
          <w:kern w:val="0"/>
          <w:sz w:val="32"/>
          <w:szCs w:val="32"/>
          <w:lang w:val="en-US" w:eastAsia="zh-CN" w:bidi="ar"/>
        </w:rPr>
      </w:pPr>
    </w:p>
    <w:p>
      <w:pPr>
        <w:pStyle w:val="8"/>
        <w:keepNext w:val="0"/>
        <w:keepLines w:val="0"/>
        <w:pageBreakBefore w:val="0"/>
        <w:widowControl/>
        <w:shd w:val="clear" w:color="auto" w:fill="FFFFFF"/>
        <w:kinsoku/>
        <w:wordWrap/>
        <w:overflowPunct/>
        <w:topLinePunct w:val="0"/>
        <w:autoSpaceDE/>
        <w:autoSpaceDN/>
        <w:bidi w:val="0"/>
        <w:adjustRightInd/>
        <w:snapToGrid/>
        <w:spacing w:line="500" w:lineRule="exact"/>
        <w:ind w:firstLine="643" w:firstLineChars="200"/>
        <w:jc w:val="both"/>
        <w:textAlignment w:val="auto"/>
        <w:outlineLvl w:val="9"/>
        <w:rPr>
          <w:rFonts w:hint="default" w:ascii="Times New Roman" w:hAnsi="Times New Roman" w:eastAsia="黑体" w:cs="Times New Roman"/>
          <w:b/>
          <w:bCs/>
          <w:color w:val="333333"/>
          <w:sz w:val="32"/>
          <w:szCs w:val="32"/>
          <w:shd w:val="clear" w:color="auto" w:fill="FFFFFF"/>
        </w:rPr>
      </w:pPr>
      <w:r>
        <w:rPr>
          <w:rFonts w:hint="default" w:ascii="Times New Roman" w:hAnsi="Times New Roman" w:eastAsia="黑体" w:cs="Times New Roman"/>
          <w:b/>
          <w:bCs/>
          <w:color w:val="333333"/>
          <w:sz w:val="32"/>
          <w:szCs w:val="32"/>
          <w:shd w:val="clear" w:color="auto" w:fill="FFFFFF"/>
          <w:lang w:val="en-US" w:eastAsia="zh-CN"/>
        </w:rPr>
        <w:t>六</w:t>
      </w:r>
      <w:r>
        <w:rPr>
          <w:rFonts w:hint="default" w:ascii="Times New Roman" w:hAnsi="Times New Roman" w:eastAsia="黑体" w:cs="Times New Roman"/>
          <w:b/>
          <w:bCs/>
          <w:color w:val="333333"/>
          <w:sz w:val="32"/>
          <w:szCs w:val="32"/>
          <w:shd w:val="clear" w:color="auto" w:fill="FFFFFF"/>
        </w:rPr>
        <w:t>、存在的主要问题及改进情况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Style w:val="7"/>
          <w:rFonts w:hint="default" w:ascii="Times New Roman" w:hAnsi="Times New Roman" w:eastAsia="仿宋_GB2312" w:cs="Times New Roman"/>
          <w:b/>
          <w:bCs/>
          <w:color w:val="auto"/>
          <w:sz w:val="32"/>
          <w:szCs w:val="32"/>
          <w:shd w:val="clear" w:color="auto" w:fill="FFFFFF"/>
          <w:lang w:val="en-US" w:eastAsia="zh-CN"/>
        </w:rPr>
      </w:pPr>
      <w:r>
        <w:rPr>
          <w:rStyle w:val="7"/>
          <w:rFonts w:hint="default" w:ascii="Times New Roman" w:hAnsi="Times New Roman" w:eastAsia="仿宋_GB2312" w:cs="Times New Roman"/>
          <w:b/>
          <w:bCs/>
          <w:color w:val="auto"/>
          <w:sz w:val="32"/>
          <w:szCs w:val="32"/>
          <w:shd w:val="clear" w:color="auto" w:fill="FFFFFF"/>
          <w:lang w:eastAsia="zh-CN"/>
        </w:rPr>
        <w:t>（</w:t>
      </w:r>
      <w:r>
        <w:rPr>
          <w:rStyle w:val="7"/>
          <w:rFonts w:hint="default" w:ascii="Times New Roman" w:hAnsi="Times New Roman" w:eastAsia="仿宋_GB2312" w:cs="Times New Roman"/>
          <w:b/>
          <w:bCs/>
          <w:color w:val="auto"/>
          <w:sz w:val="32"/>
          <w:szCs w:val="32"/>
          <w:shd w:val="clear" w:color="auto" w:fill="FFFFFF"/>
          <w:lang w:val="en-US" w:eastAsia="zh-CN"/>
        </w:rPr>
        <w:t>一</w:t>
      </w:r>
      <w:r>
        <w:rPr>
          <w:rStyle w:val="7"/>
          <w:rFonts w:hint="default" w:ascii="Times New Roman" w:hAnsi="Times New Roman" w:eastAsia="仿宋_GB2312" w:cs="Times New Roman"/>
          <w:b/>
          <w:bCs/>
          <w:color w:val="auto"/>
          <w:sz w:val="32"/>
          <w:szCs w:val="32"/>
          <w:shd w:val="clear" w:color="auto" w:fill="FFFFFF"/>
          <w:lang w:eastAsia="zh-CN"/>
        </w:rPr>
        <w:t>）</w:t>
      </w:r>
      <w:r>
        <w:rPr>
          <w:rStyle w:val="7"/>
          <w:rFonts w:hint="default" w:ascii="Times New Roman" w:hAnsi="Times New Roman" w:eastAsia="仿宋_GB2312" w:cs="Times New Roman"/>
          <w:b/>
          <w:bCs/>
          <w:color w:val="auto"/>
          <w:sz w:val="32"/>
          <w:szCs w:val="32"/>
          <w:shd w:val="clear" w:color="auto" w:fill="FFFFFF"/>
          <w:lang w:val="en-US" w:eastAsia="zh-CN"/>
        </w:rPr>
        <w:t>存在问题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7"/>
          <w:rFonts w:hint="default" w:ascii="Times New Roman" w:hAnsi="Times New Roman" w:eastAsia="仿宋_GB2312" w:cs="Times New Roman"/>
          <w:b w:val="0"/>
          <w:bCs w:val="0"/>
          <w:color w:val="auto"/>
          <w:sz w:val="32"/>
          <w:szCs w:val="32"/>
          <w:shd w:val="clear" w:color="auto" w:fill="FFFFFF"/>
          <w:lang w:val="en-US" w:eastAsia="zh-CN"/>
        </w:rPr>
      </w:pPr>
      <w:r>
        <w:rPr>
          <w:rStyle w:val="7"/>
          <w:rFonts w:hint="default" w:ascii="Times New Roman" w:hAnsi="Times New Roman" w:eastAsia="仿宋_GB2312" w:cs="Times New Roman"/>
          <w:b w:val="0"/>
          <w:bCs w:val="0"/>
          <w:color w:val="auto"/>
          <w:sz w:val="32"/>
          <w:szCs w:val="32"/>
          <w:shd w:val="clear" w:color="auto" w:fill="FFFFFF"/>
          <w:lang w:val="en-US" w:eastAsia="zh-CN"/>
        </w:rPr>
        <w:t>1.</w:t>
      </w:r>
      <w:r>
        <w:rPr>
          <w:rStyle w:val="7"/>
          <w:rFonts w:hint="default" w:ascii="Times New Roman" w:hAnsi="Times New Roman" w:eastAsia="仿宋_GB2312" w:cs="Times New Roman"/>
          <w:b w:val="0"/>
          <w:bCs w:val="0"/>
          <w:color w:val="auto"/>
          <w:sz w:val="32"/>
          <w:szCs w:val="32"/>
          <w:shd w:val="clear" w:color="auto" w:fill="FFFFFF"/>
        </w:rPr>
        <w:t>信息公开工作内容不够丰富</w:t>
      </w:r>
      <w:r>
        <w:rPr>
          <w:rStyle w:val="7"/>
          <w:rFonts w:hint="default" w:ascii="Times New Roman" w:hAnsi="Times New Roman" w:eastAsia="仿宋_GB2312" w:cs="Times New Roman"/>
          <w:b w:val="0"/>
          <w:bCs w:val="0"/>
          <w:color w:val="auto"/>
          <w:sz w:val="32"/>
          <w:szCs w:val="32"/>
          <w:shd w:val="clear" w:color="auto" w:fill="FFFFFF"/>
          <w:lang w:eastAsia="zh-CN"/>
        </w:rPr>
        <w:t>，公开的重点还不够突出，内容和形式还有待加强，政务信息的社会知晓度还不高。</w:t>
      </w:r>
      <w:r>
        <w:rPr>
          <w:rStyle w:val="7"/>
          <w:rFonts w:hint="default" w:ascii="Times New Roman" w:hAnsi="Times New Roman" w:eastAsia="仿宋_GB2312" w:cs="Times New Roman"/>
          <w:b w:val="0"/>
          <w:bCs w:val="0"/>
          <w:color w:val="auto"/>
          <w:sz w:val="32"/>
          <w:szCs w:val="32"/>
          <w:shd w:val="clear" w:color="auto" w:fill="FFFFFF"/>
          <w:lang w:val="en-US" w:eastAsia="zh-CN"/>
        </w:rPr>
        <w:t>2.少数部门对政府信息公开工作的重要意义认识不够，信息公开还不够及时，主动公开意识薄弱。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60" w:firstLineChars="112"/>
        <w:textAlignment w:val="auto"/>
        <w:rPr>
          <w:rFonts w:hint="default" w:ascii="Times New Roman" w:hAnsi="Times New Roman" w:eastAsia="仿宋_GB2312" w:cs="Times New Roman"/>
          <w:b/>
          <w:bCs/>
          <w:color w:val="333333"/>
          <w:kern w:val="0"/>
          <w:sz w:val="32"/>
          <w:szCs w:val="32"/>
          <w:shd w:val="clear" w:color="auto" w:fill="FFFFFF"/>
          <w:lang w:val="en-US" w:eastAsia="zh-CN"/>
        </w:rPr>
      </w:pPr>
      <w:r>
        <w:rPr>
          <w:rFonts w:hint="default" w:ascii="Times New Roman" w:hAnsi="Times New Roman" w:eastAsia="仿宋_GB2312" w:cs="Times New Roman"/>
          <w:b/>
          <w:bCs/>
          <w:color w:val="333333"/>
          <w:kern w:val="0"/>
          <w:sz w:val="32"/>
          <w:szCs w:val="32"/>
          <w:shd w:val="clear" w:color="auto" w:fill="FFFFFF"/>
          <w:lang w:val="en-US" w:eastAsia="zh-CN"/>
        </w:rPr>
        <w:t>（二）改进措施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pacing w:before="0" w:beforeAutospacing="0" w:after="0" w:afterAutospacing="0" w:line="315" w:lineRule="atLeast"/>
        <w:ind w:right="0" w:firstLine="358" w:firstLineChars="112"/>
        <w:textAlignment w:val="auto"/>
        <w:rPr>
          <w:rStyle w:val="7"/>
          <w:rFonts w:hint="default" w:ascii="Times New Roman" w:hAnsi="Times New Roman" w:eastAsia="仿宋_GB2312" w:cs="Times New Roman"/>
          <w:b w:val="0"/>
          <w:bCs w:val="0"/>
          <w:color w:val="auto"/>
          <w:sz w:val="32"/>
          <w:szCs w:val="32"/>
          <w:shd w:val="clear" w:color="auto" w:fill="FFFFFF"/>
        </w:rPr>
      </w:pPr>
      <w:r>
        <w:rPr>
          <w:rStyle w:val="7"/>
          <w:rFonts w:hint="default" w:ascii="Times New Roman" w:hAnsi="Times New Roman" w:eastAsia="仿宋_GB2312" w:cs="Times New Roman"/>
          <w:b w:val="0"/>
          <w:bCs w:val="0"/>
          <w:color w:val="auto"/>
          <w:sz w:val="32"/>
          <w:szCs w:val="32"/>
          <w:shd w:val="clear" w:color="auto" w:fill="FFFFFF"/>
        </w:rPr>
        <w:t>1.充实公开内容。及时自查未更新的政策和信息，更新相应栏目和相关内容，公开内容做到真实、具体、全面。</w:t>
      </w:r>
      <w:r>
        <w:rPr>
          <w:rStyle w:val="7"/>
          <w:rFonts w:hint="default" w:ascii="Times New Roman" w:hAnsi="Times New Roman" w:eastAsia="仿宋_GB2312" w:cs="Times New Roman"/>
          <w:b w:val="0"/>
          <w:bCs w:val="0"/>
          <w:color w:val="auto"/>
          <w:sz w:val="32"/>
          <w:szCs w:val="32"/>
          <w:shd w:val="clear" w:color="auto" w:fill="FFFFFF"/>
          <w:lang w:val="en-US" w:eastAsia="zh-CN"/>
        </w:rPr>
        <w:t>2.全面</w:t>
      </w:r>
      <w:r>
        <w:rPr>
          <w:rStyle w:val="7"/>
          <w:rFonts w:hint="default" w:ascii="Times New Roman" w:hAnsi="Times New Roman" w:eastAsia="仿宋_GB2312" w:cs="Times New Roman"/>
          <w:b w:val="0"/>
          <w:bCs w:val="0"/>
          <w:color w:val="auto"/>
          <w:sz w:val="32"/>
          <w:szCs w:val="32"/>
          <w:shd w:val="clear" w:color="auto" w:fill="FFFFFF"/>
        </w:rPr>
        <w:t>提高认识，规范工作流程。按照上级部门的要求和工作部署，明确工作职责，细化工作内容，将信息公开工作落实到各部门。</w:t>
      </w:r>
      <w:r>
        <w:rPr>
          <w:rStyle w:val="7"/>
          <w:rFonts w:hint="default" w:ascii="Times New Roman" w:hAnsi="Times New Roman" w:eastAsia="仿宋_GB2312" w:cs="Times New Roman"/>
          <w:b w:val="0"/>
          <w:bCs w:val="0"/>
          <w:color w:val="auto"/>
          <w:sz w:val="32"/>
          <w:szCs w:val="32"/>
          <w:shd w:val="clear" w:color="auto" w:fill="FFFFFF"/>
          <w:lang w:val="en-US" w:eastAsia="zh-CN"/>
        </w:rPr>
        <w:t>3</w:t>
      </w:r>
      <w:r>
        <w:rPr>
          <w:rStyle w:val="7"/>
          <w:rFonts w:hint="default" w:ascii="Times New Roman" w:hAnsi="Times New Roman" w:eastAsia="仿宋_GB2312" w:cs="Times New Roman"/>
          <w:b w:val="0"/>
          <w:bCs w:val="0"/>
          <w:color w:val="auto"/>
          <w:sz w:val="32"/>
          <w:szCs w:val="32"/>
          <w:shd w:val="clear" w:color="auto" w:fill="FFFFFF"/>
        </w:rPr>
        <w:t>.</w:t>
      </w:r>
      <w:r>
        <w:rPr>
          <w:rFonts w:hint="default" w:ascii="Times New Roman" w:hAnsi="Times New Roman" w:eastAsia="仿宋_GB2312" w:cs="Times New Roman"/>
          <w:i w:val="0"/>
          <w:iCs w:val="0"/>
          <w:caps w:val="0"/>
          <w:color w:val="333333"/>
          <w:spacing w:val="0"/>
          <w:sz w:val="32"/>
          <w:szCs w:val="32"/>
          <w:shd w:val="clear" w:fill="FFFFFF"/>
        </w:rPr>
        <w:t>加强政务公开工作队伍建设，定期开展业务培训会，切实提升工作人员的业务能力，提高政务公开工作的质量和水平。</w:t>
      </w:r>
    </w:p>
    <w:p>
      <w:pPr>
        <w:pStyle w:val="8"/>
        <w:keepNext w:val="0"/>
        <w:keepLines w:val="0"/>
        <w:pageBreakBefore w:val="0"/>
        <w:widowControl/>
        <w:shd w:val="clear" w:color="auto" w:fill="FFFFFF"/>
        <w:kinsoku/>
        <w:wordWrap/>
        <w:overflowPunct/>
        <w:topLinePunct w:val="0"/>
        <w:autoSpaceDE/>
        <w:autoSpaceDN/>
        <w:bidi w:val="0"/>
        <w:adjustRightInd/>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黑体" w:cs="Times New Roman"/>
          <w:b/>
          <w:bCs/>
          <w:color w:val="333333"/>
          <w:sz w:val="32"/>
          <w:szCs w:val="32"/>
          <w:shd w:val="clear" w:color="auto" w:fill="FFFFFF"/>
          <w:lang w:val="en-US" w:eastAsia="zh-CN"/>
        </w:rPr>
        <w:t xml:space="preserve"> 七</w:t>
      </w:r>
      <w:r>
        <w:rPr>
          <w:rFonts w:hint="default" w:ascii="Times New Roman" w:hAnsi="Times New Roman" w:eastAsia="黑体" w:cs="Times New Roman"/>
          <w:b/>
          <w:bCs/>
          <w:color w:val="333333"/>
          <w:sz w:val="32"/>
          <w:szCs w:val="32"/>
          <w:shd w:val="clear" w:color="auto" w:fill="FFFFFF"/>
        </w:rPr>
        <w:t>、其他需要报告的事项</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（一）依据《政府信息公开信息处理费管理办法》收取信息处理费情况</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eastAsia="zh-CN"/>
        </w:rPr>
        <w:t>本年度未收取任何政府信息公开信息处理费。</w:t>
      </w:r>
    </w:p>
    <w:p>
      <w:pPr>
        <w:pStyle w:val="8"/>
        <w:keepNext w:val="0"/>
        <w:keepLines w:val="0"/>
        <w:pageBreakBefore w:val="0"/>
        <w:numPr>
          <w:ilvl w:val="0"/>
          <w:numId w:val="1"/>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落实上级年度政务公开工作要点情况</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东里</w:t>
      </w:r>
      <w:r>
        <w:rPr>
          <w:rFonts w:hint="default" w:ascii="Times New Roman" w:hAnsi="Times New Roman" w:eastAsia="仿宋_GB2312" w:cs="Times New Roman"/>
          <w:i w:val="0"/>
          <w:iCs w:val="0"/>
          <w:caps w:val="0"/>
          <w:color w:val="000000"/>
          <w:spacing w:val="0"/>
          <w:sz w:val="32"/>
          <w:szCs w:val="32"/>
          <w:shd w:val="clear" w:fill="FFFFFF"/>
        </w:rPr>
        <w:t>镇</w:t>
      </w:r>
      <w:r>
        <w:rPr>
          <w:rFonts w:hint="default" w:ascii="Times New Roman" w:hAnsi="Times New Roman" w:eastAsia="仿宋_GB2312" w:cs="Times New Roman"/>
          <w:i w:val="0"/>
          <w:iCs w:val="0"/>
          <w:caps w:val="0"/>
          <w:color w:val="000000"/>
          <w:spacing w:val="0"/>
          <w:sz w:val="32"/>
          <w:szCs w:val="32"/>
          <w:shd w:val="clear" w:fill="FFFFFF"/>
        </w:rPr>
        <w:t>积极落实县委、县政府对于政务公开工作的各项部署，积极开展政务公开工作。</w:t>
      </w:r>
      <w:r>
        <w:rPr>
          <w:rFonts w:hint="default" w:ascii="Times New Roman" w:hAnsi="Times New Roman" w:eastAsia="仿宋_GB2312" w:cs="Times New Roman"/>
          <w:i w:val="0"/>
          <w:iCs w:val="0"/>
          <w:caps w:val="0"/>
          <w:color w:val="000000"/>
          <w:spacing w:val="0"/>
          <w:sz w:val="32"/>
          <w:szCs w:val="32"/>
          <w:shd w:val="clear" w:fill="FFFFFF"/>
          <w:lang w:val="en-US" w:eastAsia="zh-CN"/>
        </w:rPr>
        <w:t>一是</w:t>
      </w:r>
      <w:r>
        <w:rPr>
          <w:rFonts w:hint="default" w:ascii="Times New Roman" w:hAnsi="Times New Roman" w:eastAsia="仿宋_GB2312" w:cs="Times New Roman"/>
          <w:i w:val="0"/>
          <w:iCs w:val="0"/>
          <w:caps w:val="0"/>
          <w:color w:val="000000"/>
          <w:spacing w:val="0"/>
          <w:sz w:val="32"/>
          <w:szCs w:val="32"/>
          <w:shd w:val="clear" w:fill="FFFFFF"/>
        </w:rPr>
        <w:t>加大重点工作、重点领域信息公开力度</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二是</w:t>
      </w:r>
      <w:r>
        <w:rPr>
          <w:rFonts w:hint="default" w:ascii="Times New Roman" w:hAnsi="Times New Roman" w:eastAsia="仿宋_GB2312" w:cs="Times New Roman"/>
          <w:i w:val="0"/>
          <w:iCs w:val="0"/>
          <w:caps w:val="0"/>
          <w:color w:val="000000"/>
          <w:spacing w:val="0"/>
          <w:sz w:val="32"/>
          <w:szCs w:val="32"/>
          <w:shd w:val="clear" w:fill="FFFFFF"/>
        </w:rPr>
        <w:t>强化政策解读、回应关切工作</w:t>
      </w:r>
      <w:r>
        <w:rPr>
          <w:rFonts w:hint="default" w:ascii="Times New Roman" w:hAnsi="Times New Roman" w:eastAsia="仿宋_GB2312" w:cs="Times New Roman"/>
          <w:i w:val="0"/>
          <w:iCs w:val="0"/>
          <w:caps w:val="0"/>
          <w:color w:val="000000"/>
          <w:spacing w:val="0"/>
          <w:sz w:val="32"/>
          <w:szCs w:val="32"/>
          <w:shd w:val="clear" w:fill="FFFFFF"/>
          <w:lang w:val="en-US" w:eastAsia="zh-CN"/>
        </w:rPr>
        <w:t>;三是</w:t>
      </w:r>
      <w:r>
        <w:rPr>
          <w:rFonts w:hint="default" w:ascii="Times New Roman" w:hAnsi="Times New Roman" w:eastAsia="仿宋_GB2312" w:cs="Times New Roman"/>
          <w:i w:val="0"/>
          <w:iCs w:val="0"/>
          <w:caps w:val="0"/>
          <w:color w:val="000000"/>
          <w:spacing w:val="0"/>
          <w:sz w:val="32"/>
          <w:szCs w:val="32"/>
          <w:shd w:val="clear" w:fill="FFFFFF"/>
        </w:rPr>
        <w:t>规范主动公开、政府信息依申请公开</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四是</w:t>
      </w:r>
      <w:r>
        <w:rPr>
          <w:rFonts w:hint="default" w:ascii="Times New Roman" w:hAnsi="Times New Roman" w:eastAsia="仿宋_GB2312" w:cs="Times New Roman"/>
          <w:i w:val="0"/>
          <w:iCs w:val="0"/>
          <w:caps w:val="0"/>
          <w:color w:val="000000"/>
          <w:spacing w:val="0"/>
          <w:sz w:val="32"/>
          <w:szCs w:val="32"/>
          <w:shd w:val="clear" w:fill="FFFFFF"/>
        </w:rPr>
        <w:t>健全政务公开工作制度</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强化组织领导</w:t>
      </w:r>
      <w:r>
        <w:rPr>
          <w:rFonts w:hint="default" w:ascii="Times New Roman" w:hAnsi="Times New Roman" w:eastAsia="仿宋_GB2312" w:cs="Times New Roman"/>
          <w:i w:val="0"/>
          <w:iCs w:val="0"/>
          <w:caps w:val="0"/>
          <w:color w:val="000000"/>
          <w:spacing w:val="0"/>
          <w:sz w:val="32"/>
          <w:szCs w:val="32"/>
          <w:shd w:val="clear" w:fill="FFFFFF"/>
          <w:lang w:eastAsia="zh-CN"/>
        </w:rPr>
        <w:t>。</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（三）人大代表建议和政协提案办理结果公开情况</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val="0"/>
          <w:bCs w:val="0"/>
          <w:color w:val="333333"/>
          <w:sz w:val="32"/>
          <w:szCs w:val="32"/>
          <w:shd w:val="clear" w:color="auto" w:fill="FFFFFF"/>
          <w:lang w:val="en-US" w:eastAsia="zh-CN"/>
        </w:rPr>
      </w:pPr>
      <w:r>
        <w:rPr>
          <w:rFonts w:hint="default" w:ascii="Times New Roman" w:hAnsi="Times New Roman" w:eastAsia="仿宋_GB2312" w:cs="Times New Roman"/>
          <w:b w:val="0"/>
          <w:bCs w:val="0"/>
          <w:color w:val="333333"/>
          <w:sz w:val="32"/>
          <w:szCs w:val="32"/>
          <w:shd w:val="clear" w:color="auto" w:fill="FFFFFF"/>
          <w:lang w:val="en-US" w:eastAsia="zh-CN"/>
        </w:rPr>
        <w:t>2023年，东里镇未收到县人大建议和县政协提案。</w:t>
      </w:r>
    </w:p>
    <w:p>
      <w:pPr>
        <w:pStyle w:val="8"/>
        <w:keepNext w:val="0"/>
        <w:keepLines w:val="0"/>
        <w:pageBreakBefore w:val="0"/>
        <w:numPr>
          <w:ilvl w:val="0"/>
          <w:numId w:val="0"/>
        </w:numPr>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（四）年度政务公开工作创新情况</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val="0"/>
          <w:bCs w:val="0"/>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一</w:t>
      </w:r>
      <w:r>
        <w:rPr>
          <w:rFonts w:hint="default" w:ascii="Times New Roman" w:hAnsi="Times New Roman" w:eastAsia="仿宋_GB2312" w:cs="Times New Roman"/>
          <w:b w:val="0"/>
          <w:bCs w:val="0"/>
          <w:color w:val="333333"/>
          <w:sz w:val="32"/>
          <w:szCs w:val="32"/>
          <w:shd w:val="clear" w:color="auto" w:fill="FFFFFF"/>
          <w:lang w:val="en-US" w:eastAsia="zh-CN"/>
        </w:rPr>
        <w:t>是以便民为目标，政务公开专区全面升级。依托镇便民服务中心，优化政务公开服务，升级政务服务办理流程，探索“线上线下”双线服务，梳理高频事项、简化办事流程，推进政务服务事项网上办、掌上办、智能办、打包办，打造“五极”服务新模式。配备政务公开专用电脑、自助叫号机、评价器、身份证自助服务一体机等全套专业化办公设备，特别是新开发使用的24小时政务服务自助终端，集医疗保险、养老保险等多种便民事项及行政审批事项办理、行政自助服务、社会自助服务于一体，大大提升政务公开水平。</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b w:val="0"/>
          <w:bCs w:val="0"/>
          <w:color w:val="333333"/>
          <w:sz w:val="32"/>
          <w:szCs w:val="32"/>
          <w:shd w:val="clear" w:color="auto" w:fill="FFFFFF"/>
          <w:lang w:val="en-US" w:eastAsia="zh-CN"/>
        </w:rPr>
      </w:pPr>
      <w:r>
        <w:rPr>
          <w:rFonts w:hint="default" w:ascii="Times New Roman" w:hAnsi="Times New Roman" w:eastAsia="仿宋_GB2312" w:cs="Times New Roman"/>
          <w:b w:val="0"/>
          <w:bCs w:val="0"/>
          <w:color w:val="333333"/>
          <w:sz w:val="32"/>
          <w:szCs w:val="32"/>
          <w:shd w:val="clear" w:color="auto" w:fill="FFFFFF"/>
          <w:lang w:val="en-US" w:eastAsia="zh-CN"/>
        </w:rPr>
        <w:t>二是以感情为依托，群众获取信息更加贴心。着力打造从内到外的贴心服务，统一着装，定期进行礼仪培训，塑造优雅形象；一方面不断营造好良好的服务环境，窗口标识鲜明统一、物品摆放整齐有序，并依托电子屏、宣传栏大力宣传社会主义核心价值观、诚实守信等公益广告，营造了干净整洁清新的服务环境。另一方面于细节之处做文章，提供贴心服务，完善政务公开栏、饮水机、休息椅、医疗箱、老花镜、报刊夹等便民设施，打造了雷锋志愿服务站、爱心母婴室、图书角、企业会客室等场所，同时摆放了雨伞、针线包、纸巾等用品，为群众提供方便，于细节之处展现政务服务的爱心理念、贴心理念。</w:t>
      </w:r>
    </w:p>
    <w:p>
      <w:pPr>
        <w:pStyle w:val="8"/>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（五）政府信息公开工作年度报告数据统计需要说明的事项</w:t>
      </w:r>
    </w:p>
    <w:p>
      <w:pPr>
        <w:pStyle w:val="8"/>
        <w:keepNext w:val="0"/>
        <w:keepLines w:val="0"/>
        <w:pageBreakBefore w:val="0"/>
        <w:kinsoku/>
        <w:wordWrap/>
        <w:overflowPunct/>
        <w:topLinePunct w:val="0"/>
        <w:autoSpaceDE/>
        <w:autoSpaceDN/>
        <w:bidi w:val="0"/>
        <w:adjustRightInd/>
        <w:snapToGrid w:val="0"/>
        <w:spacing w:line="500" w:lineRule="exact"/>
        <w:ind w:firstLine="347" w:firstLineChars="112"/>
        <w:jc w:val="both"/>
        <w:textAlignment w:val="auto"/>
        <w:outlineLvl w:val="9"/>
        <w:rPr>
          <w:rFonts w:hint="default" w:ascii="Times New Roman" w:hAnsi="Times New Roman" w:eastAsia="仿宋" w:cs="Times New Roman"/>
          <w:i w:val="0"/>
          <w:iCs w:val="0"/>
          <w:caps w:val="0"/>
          <w:color w:val="000000"/>
          <w:spacing w:val="0"/>
          <w:sz w:val="31"/>
          <w:szCs w:val="31"/>
          <w:shd w:val="clear" w:fill="FFFFFF"/>
        </w:rPr>
      </w:pPr>
      <w:r>
        <w:rPr>
          <w:rFonts w:hint="default" w:ascii="Times New Roman" w:hAnsi="Times New Roman" w:eastAsia="仿宋" w:cs="Times New Roman"/>
          <w:i w:val="0"/>
          <w:iCs w:val="0"/>
          <w:caps w:val="0"/>
          <w:color w:val="000000"/>
          <w:spacing w:val="0"/>
          <w:sz w:val="31"/>
          <w:szCs w:val="31"/>
          <w:shd w:val="clear" w:fill="FFFFFF"/>
        </w:rPr>
        <w:t>无</w:t>
      </w:r>
    </w:p>
    <w:p>
      <w:pPr>
        <w:pStyle w:val="8"/>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b/>
          <w:bCs/>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（六）需要报告的其他事项</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无</w:t>
      </w:r>
    </w:p>
    <w:p>
      <w:pPr>
        <w:pStyle w:val="8"/>
        <w:keepNext w:val="0"/>
        <w:keepLines w:val="0"/>
        <w:pageBreakBefore w:val="0"/>
        <w:kinsoku/>
        <w:wordWrap/>
        <w:overflowPunct/>
        <w:topLinePunct w:val="0"/>
        <w:autoSpaceDE/>
        <w:autoSpaceDN/>
        <w:bidi w:val="0"/>
        <w:adjustRightInd/>
        <w:snapToGrid w:val="0"/>
        <w:spacing w:line="500" w:lineRule="exact"/>
        <w:ind w:firstLine="360" w:firstLineChars="112"/>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b/>
          <w:bCs/>
          <w:color w:val="333333"/>
          <w:sz w:val="32"/>
          <w:szCs w:val="32"/>
          <w:shd w:val="clear" w:color="auto" w:fill="FFFFFF"/>
          <w:lang w:val="en-US" w:eastAsia="zh-CN"/>
        </w:rPr>
        <w:t>（七）其他有关文件专门要求通过政府信息公开工作年度报告予以报告的事项</w:t>
      </w:r>
    </w:p>
    <w:p>
      <w:pPr>
        <w:pStyle w:val="8"/>
        <w:keepNext w:val="0"/>
        <w:keepLines w:val="0"/>
        <w:pageBreakBefore w:val="0"/>
        <w:kinsoku/>
        <w:wordWrap/>
        <w:overflowPunct/>
        <w:topLinePunct w:val="0"/>
        <w:autoSpaceDE/>
        <w:autoSpaceDN/>
        <w:bidi w:val="0"/>
        <w:adjustRightInd/>
        <w:snapToGrid w:val="0"/>
        <w:spacing w:line="500" w:lineRule="exact"/>
        <w:ind w:firstLine="358" w:firstLineChars="112"/>
        <w:jc w:val="both"/>
        <w:textAlignment w:val="auto"/>
        <w:outlineLvl w:val="9"/>
        <w:rPr>
          <w:rFonts w:hint="default" w:ascii="Times New Roman" w:hAnsi="Times New Roman" w:eastAsia="仿宋_GB2312" w:cs="Times New Roman"/>
          <w:color w:val="333333"/>
          <w:sz w:val="32"/>
          <w:szCs w:val="32"/>
          <w:shd w:val="clear" w:color="auto" w:fill="FFFFFF"/>
          <w:lang w:eastAsia="zh-CN"/>
        </w:rPr>
      </w:pPr>
      <w:r>
        <w:rPr>
          <w:rFonts w:hint="default" w:ascii="Times New Roman" w:hAnsi="Times New Roman" w:eastAsia="仿宋_GB2312" w:cs="Times New Roman"/>
          <w:color w:val="333333"/>
          <w:sz w:val="32"/>
          <w:szCs w:val="32"/>
          <w:shd w:val="clear" w:color="auto" w:fill="FFFFFF"/>
          <w:lang w:val="en-US" w:eastAsia="zh-CN"/>
        </w:rPr>
        <w:t>无</w:t>
      </w:r>
    </w:p>
    <w:p>
      <w:pPr>
        <w:pStyle w:val="8"/>
        <w:keepNext w:val="0"/>
        <w:keepLines w:val="0"/>
        <w:pageBreakBefore w:val="0"/>
        <w:kinsoku/>
        <w:wordWrap/>
        <w:overflowPunct/>
        <w:topLinePunct w:val="0"/>
        <w:autoSpaceDE/>
        <w:autoSpaceDN/>
        <w:bidi w:val="0"/>
        <w:adjustRightInd/>
        <w:snapToGrid w:val="0"/>
        <w:spacing w:line="500" w:lineRule="exact"/>
        <w:ind w:firstLine="640" w:firstLineChars="200"/>
        <w:jc w:val="both"/>
        <w:textAlignment w:val="auto"/>
        <w:outlineLvl w:val="9"/>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color w:val="333333"/>
          <w:sz w:val="32"/>
          <w:szCs w:val="32"/>
          <w:shd w:val="clear" w:color="auto" w:fill="FFFFFF"/>
          <w:lang w:val="en-US" w:eastAsia="zh-CN"/>
        </w:rPr>
        <w:t xml:space="preserve">                            </w:t>
      </w:r>
    </w:p>
    <w:p>
      <w:pPr>
        <w:rPr>
          <w:rFonts w:hint="default" w:ascii="Times New Roman" w:hAnsi="Times New Roman" w:cs="Times New Roman"/>
        </w:rPr>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FF723"/>
    <w:multiLevelType w:val="singleLevel"/>
    <w:tmpl w:val="06EFF7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hZjIwYjhjMTQzNTBiNTZkZmU5NmYzOGRhNzMxYzEifQ=="/>
  </w:docVars>
  <w:rsids>
    <w:rsidRoot w:val="00000000"/>
    <w:rsid w:val="003F1847"/>
    <w:rsid w:val="018A1EA7"/>
    <w:rsid w:val="023A5F04"/>
    <w:rsid w:val="03514610"/>
    <w:rsid w:val="07876189"/>
    <w:rsid w:val="080A3FDA"/>
    <w:rsid w:val="0BFC15F3"/>
    <w:rsid w:val="11750E3E"/>
    <w:rsid w:val="17920BDE"/>
    <w:rsid w:val="18343071"/>
    <w:rsid w:val="1A573A8A"/>
    <w:rsid w:val="1D137488"/>
    <w:rsid w:val="1E264BF5"/>
    <w:rsid w:val="1E840DEB"/>
    <w:rsid w:val="1F9835FA"/>
    <w:rsid w:val="20E97AC1"/>
    <w:rsid w:val="23233C10"/>
    <w:rsid w:val="258A1AC5"/>
    <w:rsid w:val="2927463C"/>
    <w:rsid w:val="2B27797B"/>
    <w:rsid w:val="2E30178D"/>
    <w:rsid w:val="2EBA484A"/>
    <w:rsid w:val="32ED1244"/>
    <w:rsid w:val="360B40A0"/>
    <w:rsid w:val="3AE3715C"/>
    <w:rsid w:val="3B102C79"/>
    <w:rsid w:val="3D780336"/>
    <w:rsid w:val="3FC6128D"/>
    <w:rsid w:val="40AF0544"/>
    <w:rsid w:val="426B4382"/>
    <w:rsid w:val="43727992"/>
    <w:rsid w:val="43E3471E"/>
    <w:rsid w:val="4546335C"/>
    <w:rsid w:val="492741B5"/>
    <w:rsid w:val="4B337A07"/>
    <w:rsid w:val="4EF7095A"/>
    <w:rsid w:val="50AC0013"/>
    <w:rsid w:val="53784B50"/>
    <w:rsid w:val="56CF456E"/>
    <w:rsid w:val="57FE49CA"/>
    <w:rsid w:val="5AF14BCF"/>
    <w:rsid w:val="5BAE7FE7"/>
    <w:rsid w:val="5CC6222F"/>
    <w:rsid w:val="5F080159"/>
    <w:rsid w:val="6188503F"/>
    <w:rsid w:val="621B4CA0"/>
    <w:rsid w:val="631A1780"/>
    <w:rsid w:val="65FF497E"/>
    <w:rsid w:val="67E83121"/>
    <w:rsid w:val="68E64A3B"/>
    <w:rsid w:val="6AC92352"/>
    <w:rsid w:val="70EE0B15"/>
    <w:rsid w:val="72291189"/>
    <w:rsid w:val="78424C0F"/>
    <w:rsid w:val="78C14E7A"/>
    <w:rsid w:val="7E9C7095"/>
    <w:rsid w:val="7EBF106A"/>
    <w:rsid w:val="7F17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Normal (Web)"/>
    <w:basedOn w:val="9"/>
    <w:qFormat/>
    <w:uiPriority w:val="0"/>
    <w:pPr>
      <w:jc w:val="left"/>
    </w:pPr>
    <w:rPr>
      <w:rFonts w:cs="Times New Roman"/>
      <w:kern w:val="0"/>
      <w:sz w:val="24"/>
    </w:rPr>
  </w:style>
  <w:style w:type="paragraph" w:customStyle="1" w:styleId="9">
    <w:name w:val="正文 New"/>
    <w:qFormat/>
    <w:uiPriority w:val="0"/>
    <w:pPr>
      <w:widowControl w:val="0"/>
      <w:jc w:val="both"/>
    </w:pPr>
    <w:rPr>
      <w:rFonts w:ascii="Calibri" w:hAnsi="Calibri" w:eastAsia="宋体" w:cs="黑体"/>
      <w:kern w:val="2"/>
      <w:sz w:val="21"/>
      <w:szCs w:val="24"/>
      <w:lang w:val="en-US" w:eastAsia="zh-CN"/>
    </w:rPr>
  </w:style>
  <w:style w:type="paragraph" w:customStyle="1" w:styleId="10">
    <w:name w:val="正文 New New New New New"/>
    <w:autoRedefine/>
    <w:qFormat/>
    <w:uiPriority w:val="0"/>
    <w:pPr>
      <w:widowControl w:val="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3434</Words>
  <Characters>3497</Characters>
  <Lines>0</Lines>
  <Paragraphs>0</Paragraphs>
  <TotalTime>0</TotalTime>
  <ScaleCrop>false</ScaleCrop>
  <LinksUpToDate>false</LinksUpToDate>
  <CharactersWithSpaces>3526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2023-02-15T01:31:00Z</dcterms:created>
  <dc:creator>dongli</dc:creator>
  <cp:lastModifiedBy>Mr   龍</cp:lastModifiedBy>
  <dcterms:modified xsi:type="dcterms:W3CDTF">2024-03-04T01:18:53Z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6703CFE289E1400A8AFA203F681B4FB3</vt:lpwstr>
  </property>
</Properties>
</file>