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57" w:afterAutospacing="0"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pacing w:val="36"/>
          <w:sz w:val="36"/>
          <w:szCs w:val="36"/>
        </w:rPr>
        <w:t>关于印发《沂源县财政局2021年度 “双随机、一公开”抽查工作计划》的通知</w:t>
      </w:r>
    </w:p>
    <w:bookmarkEnd w:id="0"/>
    <w:p>
      <w:pPr>
        <w:pStyle w:val="2"/>
        <w:keepNext w:val="0"/>
        <w:keepLines w:val="0"/>
        <w:widowControl/>
        <w:suppressLineNumbers w:val="0"/>
        <w:spacing w:after="157" w:afterAutospacing="0" w:line="26" w:lineRule="atLeast"/>
        <w:jc w:val="center"/>
      </w:pPr>
      <w:r>
        <w:rPr>
          <w:rFonts w:hint="eastAsia" w:ascii="微软雅黑" w:hAnsi="微软雅黑" w:eastAsia="微软雅黑" w:cs="微软雅黑"/>
          <w:spacing w:val="36"/>
          <w:sz w:val="24"/>
          <w:szCs w:val="24"/>
        </w:rPr>
        <w:t>源财办〔2021〕4号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各相关部门、单位：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为进一步做好沂源县财政局“双随机、一公开”监管工作，根据《淄博市2021年度部门联合“双随机、一公开”抽查计划》要求，着力提升监管的公平性、规范性和有效性，结合我局工作实际，制定本抽查工作计划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一、目标任务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为进一步严肃财经纪律，规范财经秩序，确保决算公开情况真实性。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二、抽查时间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决算公开情况真实性抽查定于2021年7月至11月进行。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三、抽查内容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决算公开的及时性、完整性、细化程度、公开方式以及财政收支的真实性。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四、抽查流程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（一）抽查名单的确定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确定抽查对象，对2019年、2020年决算公开涉及的预算一级部门、单位按照不低于10%的抽查比例从检查对象名录库中随机抽查确定；行政执法人员从本单位执法人员名录库随机选派。被抽取的检查人员与被抽取的检查对象有利害关系的，应当回避，并重新抽取行政检查人员。每次抽取的检查人员不得少于2人。  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（二）抽查结果的公示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抽查结束后，将通过政府网站，将抽查结果向社会公示，抽查结果公示率应达到100%。对检查中发现的违反法律、法规的，依法进行处理并公示处理结果。对检查中发现不属于本部门职权范围内的违法行为，要依法移送有关部门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五、法律依据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依据《中华人民共和国预算法》。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六、工作要求   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加强领导，精心组织。全局高度重“双随机一公开”工作，充分认识开展“双随机一公开”工作的的必要性和重要性，加强领导，精心组织，统筹协调，主要领导亲自抓，分管领导具体抓，切实将“双随机一公开”工作落到实处，安排业务能力强、责任心较强的人员具体负责“双随机一公开”工作，加强对具体工作人员的培训力度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增强责任意识。明确工作进度要求，落实责任，强化对随机抽查工作的过程监控和绩效评价。根据实施方案要求，确保此项工作落到实处，抓出成效。对工作失职或消极不作为的人员，按照机关效能建设有关规定进行责任追究。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加强宣传培训。“双随机”抽查是事中事后监管方式的探索和创新，要加大宣传力度，各责任科室要加强执法人员培训，转变执法理念，总结、交流“双随机”抽查工作经验，探索完善“双随机”抽查监管方法，不断提高执法能力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（四）接受社会监督。通过政府门户网站等平台，及时向社会公开随机抽查事项清单，及时更新相关信息，定期公布抽查情况和抽查结果，扩大随机抽查的影响面，自觉接受社会监督。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附件：《沂源县财政局2021年度“双随机、一公开”随机抽查事项清单》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t> </w:t>
      </w:r>
    </w:p>
    <w:tbl>
      <w:tblPr>
        <w:tblW w:w="15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1237"/>
        <w:gridCol w:w="4315"/>
        <w:gridCol w:w="3066"/>
        <w:gridCol w:w="1274"/>
        <w:gridCol w:w="2027"/>
        <w:gridCol w:w="1272"/>
        <w:gridCol w:w="1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5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overflowPunct w:val="0"/>
              <w:snapToGrid w:val="0"/>
              <w:spacing w:line="560" w:lineRule="atLeast"/>
              <w:ind w:left="936" w:hanging="936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       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5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  <w:textAlignment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沂源县财政局2021年度“双随机、一公开”随机抽查事项清单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抽查类别</w:t>
            </w:r>
          </w:p>
        </w:tc>
        <w:tc>
          <w:tcPr>
            <w:tcW w:w="4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抽查事项</w:t>
            </w:r>
          </w:p>
        </w:tc>
        <w:tc>
          <w:tcPr>
            <w:tcW w:w="30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检查对象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事项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20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抽查比例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及频次</w:t>
            </w:r>
          </w:p>
        </w:tc>
        <w:tc>
          <w:tcPr>
            <w:tcW w:w="12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检查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检查主体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6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决算公开情况真实性抽查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ind w:left="0" w:firstLine="400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决算公开的及时性、完整性、细化程度、公开方式以及财政收支的真实性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2019年部门决算公开部门、单位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2020年部门决算公开部门、单位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一般检查事项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10%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7月-11月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沂源县财政局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ind w:left="0" w:firstLine="61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31680" w:firstLine="31680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NWRjMGM2N2JlMThlNDE1YjczOTlhNmNhMDg5NTkifQ=="/>
  </w:docVars>
  <w:rsids>
    <w:rsidRoot w:val="00000000"/>
    <w:rsid w:val="4C91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2023-09-25T07:33:52Z</dcterms:created>
  <dc:creator>user</dc:creator>
  <cp:lastModifiedBy>user</cp:lastModifiedBy>
  <dcterms:modified xsi:type="dcterms:W3CDTF">2023-09-25T07:34:12Z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60402B2E7DFD441E8256DC1B06A6F826_12</vt:lpwstr>
  </property>
</Properties>
</file>