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8" w:lineRule="atLeast"/>
        <w:jc w:val="center"/>
        <w:rPr>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color w:val="000000"/>
          <w:spacing w:val="-11"/>
          <w:sz w:val="44"/>
          <w:szCs w:val="44"/>
        </w:rPr>
        <w:t>沂源县财政局关于印发</w:t>
      </w:r>
      <w:r>
        <w:rPr>
          <w:rStyle w:val="5"/>
          <w:rFonts w:hint="eastAsia" w:ascii="方正小标宋简体" w:hAnsi="方正小标宋简体" w:eastAsia="方正小标宋简体" w:cs="方正小标宋简体"/>
          <w:color w:val="000000"/>
          <w:spacing w:val="-11"/>
          <w:sz w:val="44"/>
          <w:szCs w:val="44"/>
        </w:rPr>
        <w:t>《沂源县企业财政贡献奖政策》的通知</w:t>
      </w:r>
    </w:p>
    <w:p>
      <w:pPr>
        <w:pStyle w:val="2"/>
        <w:keepNext w:val="0"/>
        <w:keepLines w:val="0"/>
        <w:widowControl/>
        <w:suppressLineNumbers w:val="0"/>
        <w:spacing w:line="368" w:lineRule="atLeast"/>
        <w:jc w:val="center"/>
      </w:pPr>
      <w:r>
        <w:rPr>
          <w:rFonts w:hint="eastAsia" w:ascii="仿宋_GB2312" w:hAnsi="仿宋_GB2312" w:eastAsia="仿宋_GB2312" w:cs="仿宋_GB2312"/>
          <w:color w:val="000000"/>
          <w:sz w:val="32"/>
          <w:szCs w:val="32"/>
        </w:rPr>
        <w:t>源财办〔2021〕3号</w:t>
      </w:r>
    </w:p>
    <w:p>
      <w:pPr>
        <w:pStyle w:val="2"/>
        <w:keepNext w:val="0"/>
        <w:keepLines w:val="0"/>
        <w:widowControl/>
        <w:suppressLineNumbers w:val="0"/>
        <w:spacing w:line="26"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各镇（街道），县直有关部门、单位：</w:t>
      </w:r>
    </w:p>
    <w:p>
      <w:pPr>
        <w:pStyle w:val="2"/>
        <w:keepNext w:val="0"/>
        <w:keepLines w:val="0"/>
        <w:widowControl/>
        <w:suppressLineNumbers w:val="0"/>
        <w:spacing w:line="26"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为进一步激励企业领导团队发展企业生产经营的积极性，并依法足额纳税，根据县政府2021年第58次常务会议确定的《突出“五个优化”推进工业高质量发展的十一条政策》，县政府设立企业财政贡献奖，由县财政对符合条件的企业进行奖励。现将《沂源县企业财政贡献奖励政策》印发给你们，请遵照执行并做好政策的宣传工作，在执行过程中如有意见和建议，请及时反馈县财政局。</w:t>
      </w:r>
    </w:p>
    <w:p>
      <w:pPr>
        <w:pStyle w:val="2"/>
        <w:keepNext w:val="0"/>
        <w:keepLines w:val="0"/>
        <w:widowControl/>
        <w:suppressLineNumbers w:val="0"/>
        <w:spacing w:line="26" w:lineRule="atLeast"/>
        <w:rPr>
          <w:rFonts w:hint="eastAsia" w:ascii="仿宋_GB2312" w:hAnsi="仿宋_GB2312" w:eastAsia="仿宋_GB2312" w:cs="仿宋_GB2312"/>
          <w:sz w:val="32"/>
          <w:szCs w:val="32"/>
        </w:rPr>
      </w:pPr>
    </w:p>
    <w:p>
      <w:pPr>
        <w:pStyle w:val="2"/>
        <w:keepNext w:val="0"/>
        <w:keepLines w:val="0"/>
        <w:widowControl/>
        <w:suppressLineNumbers w:val="0"/>
        <w:spacing w:line="26"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附件：沂源县企业财政贡献奖政策</w:t>
      </w:r>
    </w:p>
    <w:p>
      <w:pPr>
        <w:pStyle w:val="2"/>
        <w:keepNext w:val="0"/>
        <w:keepLines w:val="0"/>
        <w:widowControl/>
        <w:suppressLineNumbers w:val="0"/>
        <w:spacing w:line="26" w:lineRule="atLeast"/>
        <w:ind w:left="0" w:firstLine="420"/>
        <w:jc w:val="righ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2021年4月9日</w:t>
      </w:r>
    </w:p>
    <w:p>
      <w:pPr>
        <w:pStyle w:val="2"/>
        <w:keepNext w:val="0"/>
        <w:keepLines w:val="0"/>
        <w:widowControl/>
        <w:suppressLineNumbers w:val="0"/>
        <w:spacing w:line="26" w:lineRule="atLeast"/>
        <w:ind w:left="0" w:firstLine="420"/>
        <w:jc w:val="both"/>
        <w:rPr>
          <w:rFonts w:hint="eastAsia" w:ascii="仿宋_GB2312" w:hAnsi="仿宋_GB2312" w:eastAsia="仿宋_GB2312" w:cs="仿宋_GB2312"/>
          <w:color w:val="000000"/>
          <w:sz w:val="32"/>
          <w:szCs w:val="32"/>
        </w:rPr>
      </w:pPr>
    </w:p>
    <w:p>
      <w:pPr>
        <w:pStyle w:val="2"/>
        <w:keepNext w:val="0"/>
        <w:keepLines w:val="0"/>
        <w:widowControl/>
        <w:suppressLineNumbers w:val="0"/>
        <w:spacing w:line="26" w:lineRule="atLeast"/>
        <w:ind w:left="0" w:firstLine="420"/>
        <w:jc w:val="both"/>
        <w:rPr>
          <w:rFonts w:hint="eastAsia" w:ascii="仿宋_GB2312" w:hAnsi="仿宋_GB2312" w:eastAsia="仿宋_GB2312" w:cs="仿宋_GB2312"/>
          <w:color w:val="000000"/>
          <w:sz w:val="32"/>
          <w:szCs w:val="32"/>
        </w:rPr>
      </w:pPr>
    </w:p>
    <w:p>
      <w:pPr>
        <w:pStyle w:val="2"/>
        <w:keepNext w:val="0"/>
        <w:keepLines w:val="0"/>
        <w:widowControl/>
        <w:suppressLineNumbers w:val="0"/>
        <w:spacing w:line="26" w:lineRule="atLeast"/>
        <w:ind w:left="0" w:firstLine="420"/>
        <w:jc w:val="both"/>
        <w:rPr>
          <w:rFonts w:hint="eastAsia" w:ascii="仿宋_GB2312" w:hAnsi="仿宋_GB2312" w:eastAsia="仿宋_GB2312" w:cs="仿宋_GB2312"/>
          <w:color w:val="000000"/>
          <w:sz w:val="32"/>
          <w:szCs w:val="32"/>
        </w:rPr>
      </w:pPr>
    </w:p>
    <w:p>
      <w:pPr>
        <w:pStyle w:val="2"/>
        <w:keepNext w:val="0"/>
        <w:keepLines w:val="0"/>
        <w:widowControl/>
        <w:suppressLineNumbers w:val="0"/>
        <w:spacing w:line="26" w:lineRule="atLeast"/>
        <w:ind w:lef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附件</w:t>
      </w:r>
    </w:p>
    <w:p>
      <w:pPr>
        <w:pStyle w:val="2"/>
        <w:keepNext w:val="0"/>
        <w:keepLines w:val="0"/>
        <w:widowControl/>
        <w:suppressLineNumbers w:val="0"/>
        <w:spacing w:line="26" w:lineRule="atLeast"/>
        <w:ind w:left="0" w:firstLine="420"/>
        <w:jc w:val="center"/>
        <w:rPr>
          <w:rStyle w:val="5"/>
          <w:rFonts w:hint="eastAsia" w:ascii="仿宋_GB2312" w:hAnsi="仿宋_GB2312" w:eastAsia="仿宋_GB2312" w:cs="仿宋_GB2312"/>
          <w:sz w:val="32"/>
          <w:szCs w:val="32"/>
        </w:rPr>
      </w:pPr>
    </w:p>
    <w:p>
      <w:pPr>
        <w:pStyle w:val="2"/>
        <w:keepNext w:val="0"/>
        <w:keepLines w:val="0"/>
        <w:widowControl/>
        <w:suppressLineNumbers w:val="0"/>
        <w:spacing w:line="26" w:lineRule="atLeast"/>
        <w:ind w:firstLine="1928" w:firstLineChars="600"/>
        <w:jc w:val="both"/>
        <w:rPr>
          <w:rFonts w:hint="eastAsia" w:ascii="仿宋_GB2312" w:hAnsi="仿宋_GB2312" w:eastAsia="仿宋_GB2312" w:cs="仿宋_GB2312"/>
          <w:sz w:val="32"/>
          <w:szCs w:val="32"/>
        </w:rPr>
      </w:pPr>
      <w:bookmarkStart w:id="0" w:name="_GoBack"/>
      <w:bookmarkEnd w:id="0"/>
      <w:r>
        <w:rPr>
          <w:rStyle w:val="5"/>
          <w:rFonts w:hint="eastAsia" w:ascii="仿宋_GB2312" w:hAnsi="仿宋_GB2312" w:eastAsia="仿宋_GB2312" w:cs="仿宋_GB2312"/>
          <w:sz w:val="32"/>
          <w:szCs w:val="32"/>
        </w:rPr>
        <w:t>沂源县企业财政贡献奖政策</w:t>
      </w:r>
    </w:p>
    <w:p>
      <w:pPr>
        <w:pStyle w:val="2"/>
        <w:keepNext w:val="0"/>
        <w:keepLines w:val="0"/>
        <w:widowControl/>
        <w:suppressLineNumbers w:val="0"/>
        <w:spacing w:line="26" w:lineRule="atLeast"/>
        <w:ind w:left="0" w:firstLine="420"/>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一、奖励主体</w:t>
      </w:r>
    </w:p>
    <w:p>
      <w:pPr>
        <w:pStyle w:val="2"/>
        <w:keepNext w:val="0"/>
        <w:keepLines w:val="0"/>
        <w:widowControl/>
        <w:suppressLineNumbers w:val="0"/>
        <w:spacing w:line="26"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全县生产经营正常、无一票否决事项、依法足额纳税的企业（房地产销售企业除外）。有多家分公司、子公司的企业原则上以企业集团为奖励主体，奖励主体一经确定，以后不再进行更改。</w:t>
      </w:r>
    </w:p>
    <w:p>
      <w:pPr>
        <w:pStyle w:val="2"/>
        <w:keepNext w:val="0"/>
        <w:keepLines w:val="0"/>
        <w:widowControl/>
        <w:suppressLineNumbers w:val="0"/>
        <w:spacing w:line="26" w:lineRule="atLeast"/>
        <w:ind w:left="0" w:firstLine="420"/>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二、核算依据</w:t>
      </w:r>
    </w:p>
    <w:p>
      <w:pPr>
        <w:pStyle w:val="2"/>
        <w:keepNext w:val="0"/>
        <w:keepLines w:val="0"/>
        <w:widowControl/>
        <w:suppressLineNumbers w:val="0"/>
        <w:spacing w:line="26"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依据税务部门当年缴入国库的数据，核算企业实现的县级一般公共预算收入，包括：税收收入和专项收入（教育费附加和地方教育附加）。</w:t>
      </w:r>
    </w:p>
    <w:p>
      <w:pPr>
        <w:pStyle w:val="2"/>
        <w:keepNext w:val="0"/>
        <w:keepLines w:val="0"/>
        <w:widowControl/>
        <w:suppressLineNumbers w:val="0"/>
        <w:spacing w:line="26" w:lineRule="atLeast"/>
        <w:ind w:left="0" w:firstLine="420"/>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三、受奖条件</w:t>
      </w:r>
    </w:p>
    <w:p>
      <w:pPr>
        <w:pStyle w:val="2"/>
        <w:keepNext w:val="0"/>
        <w:keepLines w:val="0"/>
        <w:widowControl/>
        <w:suppressLineNumbers w:val="0"/>
        <w:spacing w:line="26"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1.企业当年实现的县级一般公共预算收入达到50万元，且比前三年同口径平均数增长10%（含）以上。</w:t>
      </w:r>
    </w:p>
    <w:p>
      <w:pPr>
        <w:pStyle w:val="2"/>
        <w:keepNext w:val="0"/>
        <w:keepLines w:val="0"/>
        <w:widowControl/>
        <w:suppressLineNumbers w:val="0"/>
        <w:spacing w:line="26"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2.企业享受的以税收为核算依据的财政扶持政策在财政贡献奖核算时予以扣除；若以后年度出台的财政扶持政策涉及到往年已兑付的财政贡献奖的，在核算新的财政扶持政策时需扣除已兑付的财政贡献奖。</w:t>
      </w:r>
    </w:p>
    <w:p>
      <w:pPr>
        <w:pStyle w:val="2"/>
        <w:keepNext w:val="0"/>
        <w:keepLines w:val="0"/>
        <w:widowControl/>
        <w:suppressLineNumbers w:val="0"/>
        <w:spacing w:line="26" w:lineRule="atLeast"/>
        <w:ind w:left="0" w:firstLine="420"/>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四、奖励办法</w:t>
      </w:r>
    </w:p>
    <w:p>
      <w:pPr>
        <w:pStyle w:val="2"/>
        <w:keepNext w:val="0"/>
        <w:keepLines w:val="0"/>
        <w:widowControl/>
        <w:suppressLineNumbers w:val="0"/>
        <w:spacing w:line="26"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贡献奖按超额累进方法分段进行核算。企业实现的县级一般公共预算收入50万元（含）-500万元的，按3%奖励；500万元（含）-1000万元的，按2%奖励；1000万元（含）以上的，按1%奖励，累计奖励额最高不超过300万元。</w:t>
      </w:r>
    </w:p>
    <w:p>
      <w:pPr>
        <w:pStyle w:val="2"/>
        <w:keepNext w:val="0"/>
        <w:keepLines w:val="0"/>
        <w:widowControl/>
        <w:suppressLineNumbers w:val="0"/>
        <w:spacing w:line="26" w:lineRule="atLeast"/>
        <w:ind w:left="0" w:firstLine="420"/>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五、奖励用途</w:t>
      </w:r>
    </w:p>
    <w:p>
      <w:pPr>
        <w:pStyle w:val="2"/>
        <w:keepNext w:val="0"/>
        <w:keepLines w:val="0"/>
        <w:widowControl/>
        <w:suppressLineNumbers w:val="0"/>
        <w:spacing w:line="26"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企业财政贡献奖主要用于企业领导团队奖励，原则上50%奖励主要负责人，其余部分由企业自主分配。企业也可以根据自身实际，参照企业财政贡献奖的办法，自筹资金对领导团队进行奖励。</w:t>
      </w:r>
    </w:p>
    <w:p>
      <w:pPr>
        <w:pStyle w:val="2"/>
        <w:keepNext w:val="0"/>
        <w:keepLines w:val="0"/>
        <w:widowControl/>
        <w:suppressLineNumbers w:val="0"/>
        <w:spacing w:line="26" w:lineRule="atLeast"/>
        <w:ind w:left="0" w:firstLine="420"/>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六、资金来源</w:t>
      </w:r>
    </w:p>
    <w:p>
      <w:pPr>
        <w:pStyle w:val="2"/>
        <w:keepNext w:val="0"/>
        <w:keepLines w:val="0"/>
        <w:widowControl/>
        <w:suppressLineNumbers w:val="0"/>
        <w:spacing w:line="26"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企业财政贡献奖由县财政负担并统一兑付。</w:t>
      </w:r>
    </w:p>
    <w:p>
      <w:pPr>
        <w:pStyle w:val="2"/>
        <w:keepNext w:val="0"/>
        <w:keepLines w:val="0"/>
        <w:widowControl/>
        <w:suppressLineNumbers w:val="0"/>
        <w:spacing w:line="26"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本政策由县财政局负责解释，自印发之日起实施，有效期至2022年12月31日。</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yNWRjMGM2N2JlMThlNDE1YjczOTlhNmNhMDg5NTkifQ=="/>
  </w:docVars>
  <w:rsids>
    <w:rsidRoot w:val="00000000"/>
    <w:rsid w:val="37BA34A8"/>
    <w:rsid w:val="58B70EFF"/>
    <w:rsid w:val="7E2F7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2023-09-25T07:38:00Z</dcterms:created>
  <dc:creator>user</dc:creator>
  <cp:lastModifiedBy>user</cp:lastModifiedBy>
  <dcterms:modified xsi:type="dcterms:W3CDTF">2023-09-25T07:43:27Z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3C2C04348F02457494FE42F4FB321378_12</vt:lpwstr>
  </property>
</Properties>
</file>